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FD117" w14:textId="48780EE5" w:rsidR="005B08E2" w:rsidRPr="005B08E2" w:rsidRDefault="004043E8" w:rsidP="005B08E2">
      <w:pPr>
        <w:keepNext/>
        <w:keepLines/>
        <w:spacing w:before="100" w:after="0" w:line="240" w:lineRule="auto"/>
        <w:ind w:left="578" w:hanging="578"/>
        <w:outlineLvl w:val="1"/>
        <w:rPr>
          <w:rFonts w:ascii="Arial" w:eastAsia="Times New Roman" w:hAnsi="Arial" w:cs="Times New Roman"/>
          <w:b/>
          <w:bCs/>
          <w:color w:val="8064A2"/>
          <w:sz w:val="20"/>
          <w:szCs w:val="26"/>
        </w:rPr>
      </w:pPr>
      <w:bookmarkStart w:id="0" w:name="OLE_LINK1"/>
      <w:bookmarkStart w:id="1" w:name="_GoBack"/>
      <w:bookmarkEnd w:id="1"/>
      <w:r w:rsidRPr="004043E8">
        <w:rPr>
          <w:rFonts w:ascii="Arial" w:eastAsia="Times New Roman" w:hAnsi="Arial" w:cs="Times New Roman"/>
          <w:b/>
          <w:bCs/>
          <w:color w:val="8064A2"/>
          <w:sz w:val="20"/>
          <w:szCs w:val="26"/>
        </w:rPr>
        <w:t xml:space="preserve">Draft strategic direction for </w:t>
      </w:r>
      <w:r w:rsidR="00C80929">
        <w:rPr>
          <w:rFonts w:ascii="Arial" w:eastAsia="Times New Roman" w:hAnsi="Arial" w:cs="Times New Roman"/>
          <w:b/>
          <w:bCs/>
          <w:color w:val="8064A2"/>
          <w:sz w:val="20"/>
          <w:szCs w:val="26"/>
        </w:rPr>
        <w:t>IATI 2016-2018</w:t>
      </w:r>
    </w:p>
    <w:bookmarkEnd w:id="0"/>
    <w:p w14:paraId="42252EDB" w14:textId="77777777" w:rsidR="005B08E2" w:rsidRPr="005B08E2" w:rsidRDefault="00163D7A" w:rsidP="005B08E2">
      <w:pPr>
        <w:rPr>
          <w:rFonts w:ascii="Calibri" w:eastAsia="Calibri" w:hAnsi="Calibri" w:cs="Times New Roman"/>
          <w:color w:val="8064A2"/>
          <w:lang w:val="en-US" w:eastAsia="en-US"/>
        </w:rPr>
      </w:pPr>
      <w:r>
        <w:rPr>
          <w:rFonts w:ascii="Calibri" w:eastAsia="Calibri" w:hAnsi="Calibri" w:cs="Times New Roman"/>
          <w:color w:val="8064A2"/>
          <w:lang w:val="en-US" w:eastAsia="en-US"/>
        </w:rPr>
        <w:pict w14:anchorId="189E02A8">
          <v:rect id="_x0000_i1025" style="width:451.3pt;height:1pt" o:hralign="center" o:hrstd="t" o:hrnoshade="t" o:hr="t" fillcolor="#acc32b [3204]" stroked="f"/>
        </w:pict>
      </w:r>
    </w:p>
    <w:p w14:paraId="04B10990" w14:textId="77777777" w:rsidR="004043E8" w:rsidRDefault="004043E8" w:rsidP="004043E8">
      <w:pPr>
        <w:rPr>
          <w:b/>
        </w:rPr>
      </w:pPr>
      <w:r>
        <w:rPr>
          <w:b/>
        </w:rPr>
        <w:t xml:space="preserve">Purpose of this document </w:t>
      </w:r>
    </w:p>
    <w:p w14:paraId="44D8F865" w14:textId="14C14E89" w:rsidR="00C80929" w:rsidRDefault="004043E8" w:rsidP="004043E8">
      <w:r>
        <w:t xml:space="preserve">The evaluation synthesis report identified </w:t>
      </w:r>
      <w:r w:rsidR="00D84333">
        <w:t xml:space="preserve">as </w:t>
      </w:r>
      <w:r>
        <w:t>a “</w:t>
      </w:r>
      <w:r w:rsidRPr="00FE48E7">
        <w:rPr>
          <w:i/>
        </w:rPr>
        <w:t>critical requirement for IATI to define and communicate clearly its vision and strategic direction”</w:t>
      </w:r>
      <w:r>
        <w:rPr>
          <w:i/>
        </w:rPr>
        <w:t xml:space="preserve">. </w:t>
      </w:r>
      <w:r>
        <w:t>T</w:t>
      </w:r>
      <w:r w:rsidR="00C80929">
        <w:t>aking note of members’ guidance at the December 2015 Steering Committee meeting, and building on the initial work of the Members’ Advisory Group (MAG), t</w:t>
      </w:r>
      <w:r>
        <w:t xml:space="preserve">his </w:t>
      </w:r>
      <w:r w:rsidR="00C80929">
        <w:t xml:space="preserve">document presents </w:t>
      </w:r>
      <w:r>
        <w:t>the key elements of IATI's proposed strategic direction o</w:t>
      </w:r>
      <w:r w:rsidR="00C80929">
        <w:t>ver the next two to three years</w:t>
      </w:r>
      <w:r>
        <w:t xml:space="preserve">. </w:t>
      </w:r>
    </w:p>
    <w:p w14:paraId="16C8908A" w14:textId="303506BE" w:rsidR="004043E8" w:rsidRPr="00C80929" w:rsidRDefault="00C80929" w:rsidP="004043E8">
      <w:r>
        <w:t>This</w:t>
      </w:r>
      <w:r w:rsidR="004043E8">
        <w:t xml:space="preserve"> paper </w:t>
      </w:r>
      <w:r>
        <w:t>is meant to support consultation</w:t>
      </w:r>
      <w:r w:rsidR="00366ED8">
        <w:t>s</w:t>
      </w:r>
      <w:r>
        <w:t xml:space="preserve"> with members as preparation for</w:t>
      </w:r>
      <w:r w:rsidR="004043E8">
        <w:t xml:space="preserve"> discussion and approval at the Members' Assembly</w:t>
      </w:r>
      <w:r w:rsidR="004043E8" w:rsidRPr="000677B3">
        <w:t xml:space="preserve"> in June 2016.</w:t>
      </w:r>
      <w:r w:rsidR="004043E8" w:rsidRPr="00880A39">
        <w:rPr>
          <w:b/>
        </w:rPr>
        <w:t xml:space="preserve"> </w:t>
      </w:r>
      <w:r>
        <w:t xml:space="preserve">It complements the draft statements on IATI’s vision and mission also submitted to members for discussion prior to members’ approval in June. </w:t>
      </w:r>
    </w:p>
    <w:p w14:paraId="2ED704E2" w14:textId="10B3293B" w:rsidR="004043E8" w:rsidRDefault="287D7138" w:rsidP="004043E8">
      <w:pPr>
        <w:rPr>
          <w:b/>
        </w:rPr>
      </w:pPr>
      <w:r w:rsidRPr="287D7138">
        <w:rPr>
          <w:b/>
          <w:bCs/>
        </w:rPr>
        <w:t xml:space="preserve">Key elements of IATI’s strategic direction </w:t>
      </w:r>
    </w:p>
    <w:p w14:paraId="6BA41EE4" w14:textId="61A06085" w:rsidR="287D7138" w:rsidRDefault="287D7138">
      <w:r w:rsidRPr="287D7138">
        <w:rPr>
          <w:rFonts w:ascii="Arial" w:eastAsia="Arial" w:hAnsi="Arial" w:cs="Arial"/>
          <w:lang w:val="en"/>
        </w:rPr>
        <w:t>For IATI to achieve its vision and deliver on its mission will require a greater number and range of development cooperation actors publishing to IATI, together with further improvements in data quality, and critically, greater use of the data, especially at country level. IATI must also maintain and develop the Standard to better respond to user needs. Finally, IATI needs institutional arrangements that cost-effectively support its vision and mission while clarifying the benefits offered to members.</w:t>
      </w:r>
    </w:p>
    <w:p w14:paraId="21028C9D" w14:textId="0763144C" w:rsidR="00C80929" w:rsidRDefault="005D3459" w:rsidP="00C80929">
      <w:r>
        <w:t>Five</w:t>
      </w:r>
      <w:r w:rsidR="00C80929">
        <w:t xml:space="preserve"> key areas for action </w:t>
      </w:r>
      <w:r w:rsidR="00C323E9">
        <w:t xml:space="preserve">in support of these strategic directions </w:t>
      </w:r>
      <w:r w:rsidR="00C80929">
        <w:t>are outlined below, with potential actions identified. Given resource constraints, it will be necessary to prioritize among t</w:t>
      </w:r>
      <w:r w:rsidR="00D3329A">
        <w:t>hem (while continuing to try to</w:t>
      </w:r>
      <w:r w:rsidR="00C80929">
        <w:t xml:space="preserve"> expand IATI’s resources). Th</w:t>
      </w:r>
      <w:r w:rsidR="00C323E9">
        <w:t xml:space="preserve">e Board would also recommend </w:t>
      </w:r>
      <w:r w:rsidR="00C80929">
        <w:t>develop</w:t>
      </w:r>
      <w:r w:rsidR="00C323E9">
        <w:t>ing</w:t>
      </w:r>
      <w:r w:rsidR="00C80929">
        <w:t xml:space="preserve"> specific targets </w:t>
      </w:r>
      <w:r w:rsidR="00D84333">
        <w:t xml:space="preserve">for each area </w:t>
      </w:r>
      <w:r w:rsidR="00C80929">
        <w:t>for monitoring and accountability purposes.</w:t>
      </w:r>
    </w:p>
    <w:p w14:paraId="0333DF29" w14:textId="6AA40797" w:rsidR="00C80929" w:rsidRDefault="00C80929" w:rsidP="00C80929">
      <w:pPr>
        <w:rPr>
          <w:b/>
        </w:rPr>
      </w:pPr>
      <w:r>
        <w:rPr>
          <w:b/>
        </w:rPr>
        <w:t xml:space="preserve">1) Promoting data use </w:t>
      </w:r>
    </w:p>
    <w:p w14:paraId="635F0C51" w14:textId="19AE9A10" w:rsidR="00C80929" w:rsidRDefault="00D3329A" w:rsidP="00C80929">
      <w:r>
        <w:t>Expanding use of IATI data</w:t>
      </w:r>
      <w:r w:rsidR="00C80929">
        <w:t xml:space="preserve"> is critical</w:t>
      </w:r>
      <w:r w:rsidR="00C80929">
        <w:rPr>
          <w:b/>
        </w:rPr>
        <w:t xml:space="preserve">. </w:t>
      </w:r>
      <w:r w:rsidR="00C80929">
        <w:t>Improving data quality is necessary, but it is not sufficient to promote</w:t>
      </w:r>
      <w:r>
        <w:t xml:space="preserve"> use - this</w:t>
      </w:r>
      <w:r w:rsidR="00C323E9">
        <w:t xml:space="preserve"> will require additional and specific</w:t>
      </w:r>
      <w:r w:rsidR="00C80929">
        <w:t xml:space="preserve"> action by the IATI community. The key strategic question</w:t>
      </w:r>
      <w:r w:rsidR="00366ED8">
        <w:t>s</w:t>
      </w:r>
      <w:r w:rsidR="00C80929">
        <w:t xml:space="preserve"> to consider </w:t>
      </w:r>
      <w:r w:rsidR="00366ED8">
        <w:t xml:space="preserve">are what would be the most effective means to increase use, and </w:t>
      </w:r>
      <w:r w:rsidR="00C80929">
        <w:t xml:space="preserve">what role </w:t>
      </w:r>
      <w:r w:rsidR="00366ED8">
        <w:t>the IATI Secretariat</w:t>
      </w:r>
      <w:r w:rsidR="00C80929">
        <w:t xml:space="preserve"> should play in this, as it is clearly impossible to support </w:t>
      </w:r>
      <w:r w:rsidR="00366ED8">
        <w:t xml:space="preserve">individual </w:t>
      </w:r>
      <w:r w:rsidR="00C80929">
        <w:t>data use</w:t>
      </w:r>
      <w:r w:rsidR="00366ED8">
        <w:t>rs</w:t>
      </w:r>
      <w:r w:rsidR="00C80929">
        <w:t xml:space="preserve">. </w:t>
      </w:r>
    </w:p>
    <w:p w14:paraId="40970F6A" w14:textId="00D1A96F" w:rsidR="00366ED8" w:rsidRDefault="00366ED8" w:rsidP="00C80929">
      <w:r>
        <w:t>The provision of user-friendly tools that enable the integration of IATI data in everyday work regarding the planning, implementation, monitoring and evaluation of development cooperation activities should be a priority. A dedicated effort to identify the potential user communities and their respective needs would help service providers</w:t>
      </w:r>
      <w:r w:rsidR="008A0FFB">
        <w:t xml:space="preserve"> develop services and tools</w:t>
      </w:r>
      <w:r>
        <w:t xml:space="preserve"> respons</w:t>
      </w:r>
      <w:r w:rsidR="005D2ED9">
        <w:t>ive</w:t>
      </w:r>
      <w:r>
        <w:t xml:space="preserve"> to these needs, and develop sustainable ecosystems</w:t>
      </w:r>
      <w:r w:rsidR="00993590">
        <w:t xml:space="preserve"> around IATI data</w:t>
      </w:r>
      <w:r>
        <w:t xml:space="preserve">. </w:t>
      </w:r>
    </w:p>
    <w:p w14:paraId="7804E170" w14:textId="0FF0D47B" w:rsidR="00C80929" w:rsidRDefault="00C80929" w:rsidP="00C80929">
      <w:r>
        <w:t xml:space="preserve">Potential actions </w:t>
      </w:r>
      <w:r w:rsidR="00366ED8">
        <w:t xml:space="preserve">in this area </w:t>
      </w:r>
      <w:r>
        <w:t xml:space="preserve">include: </w:t>
      </w:r>
    </w:p>
    <w:p w14:paraId="6E4972B5" w14:textId="2F5F0D13" w:rsidR="00C80929" w:rsidRDefault="00366ED8" w:rsidP="00C80929">
      <w:pPr>
        <w:pStyle w:val="ListParagraph"/>
        <w:numPr>
          <w:ilvl w:val="0"/>
          <w:numId w:val="35"/>
        </w:numPr>
      </w:pPr>
      <w:r>
        <w:t xml:space="preserve">Exploring the needs of various types of data users (e.g. partner country officials, local CSOs, donor offices, </w:t>
      </w:r>
      <w:proofErr w:type="spellStart"/>
      <w:r>
        <w:t>etc</w:t>
      </w:r>
      <w:proofErr w:type="spellEnd"/>
      <w:r>
        <w:t>) and assessing the extent to which existing tools (e.g. D-Portal</w:t>
      </w:r>
      <w:r w:rsidR="008A0FFB">
        <w:t>) meet these needs.</w:t>
      </w:r>
    </w:p>
    <w:p w14:paraId="6C576AB4" w14:textId="57B81565" w:rsidR="00366ED8" w:rsidRDefault="00366ED8" w:rsidP="00C80929">
      <w:pPr>
        <w:pStyle w:val="ListParagraph"/>
        <w:numPr>
          <w:ilvl w:val="0"/>
          <w:numId w:val="35"/>
        </w:numPr>
      </w:pPr>
      <w:r>
        <w:t>Improving the IATI tools to support dat</w:t>
      </w:r>
      <w:r w:rsidR="008A0FFB">
        <w:t xml:space="preserve">a use, especially the </w:t>
      </w:r>
      <w:proofErr w:type="spellStart"/>
      <w:r w:rsidR="008A0FFB">
        <w:t>Datastore</w:t>
      </w:r>
      <w:proofErr w:type="spellEnd"/>
      <w:r w:rsidR="008A0FFB">
        <w:t xml:space="preserve"> and</w:t>
      </w:r>
      <w:r w:rsidR="00582E82">
        <w:t xml:space="preserve"> D-Portal [or</w:t>
      </w:r>
      <w:r>
        <w:t xml:space="preserve"> working with service providers to </w:t>
      </w:r>
      <w:r w:rsidR="008A0FFB">
        <w:t xml:space="preserve">foster the </w:t>
      </w:r>
      <w:r>
        <w:t>develop</w:t>
      </w:r>
      <w:r w:rsidR="008A0FFB">
        <w:t>ment of</w:t>
      </w:r>
      <w:r>
        <w:t xml:space="preserve"> tools that IATI members can use?</w:t>
      </w:r>
      <w:r w:rsidR="00582E82">
        <w:t>]</w:t>
      </w:r>
    </w:p>
    <w:p w14:paraId="02EC1061" w14:textId="4DE18BE7" w:rsidR="00C80929" w:rsidRDefault="005D3459" w:rsidP="00366ED8">
      <w:pPr>
        <w:pStyle w:val="ListParagraph"/>
        <w:numPr>
          <w:ilvl w:val="0"/>
          <w:numId w:val="35"/>
        </w:numPr>
      </w:pPr>
      <w:r>
        <w:t xml:space="preserve">Working with </w:t>
      </w:r>
      <w:r w:rsidR="00C80929">
        <w:t xml:space="preserve">AIMS providers </w:t>
      </w:r>
      <w:r w:rsidR="00582E82">
        <w:t xml:space="preserve">to </w:t>
      </w:r>
      <w:r>
        <w:t>support</w:t>
      </w:r>
      <w:r w:rsidR="00582E82">
        <w:t xml:space="preserve"> use of data by partner country governments (including automatic </w:t>
      </w:r>
      <w:r w:rsidR="00C80929">
        <w:t>import of IATI data</w:t>
      </w:r>
      <w:r w:rsidR="00582E82">
        <w:t>)</w:t>
      </w:r>
      <w:r w:rsidR="00C80929">
        <w:t xml:space="preserve">. </w:t>
      </w:r>
    </w:p>
    <w:p w14:paraId="089C17F6" w14:textId="0660A2C2" w:rsidR="00366ED8" w:rsidRDefault="00366ED8" w:rsidP="00366ED8">
      <w:pPr>
        <w:pStyle w:val="ListParagraph"/>
        <w:numPr>
          <w:ilvl w:val="0"/>
          <w:numId w:val="35"/>
        </w:numPr>
      </w:pPr>
      <w:r>
        <w:lastRenderedPageBreak/>
        <w:t xml:space="preserve">Developing partnerships with organisations providing technical assistance to integrate IATI data in their </w:t>
      </w:r>
      <w:r w:rsidR="00993590">
        <w:t xml:space="preserve">own </w:t>
      </w:r>
      <w:r>
        <w:t xml:space="preserve">work (e.g. GIFT, International Budget Project, CABRI, </w:t>
      </w:r>
      <w:proofErr w:type="spellStart"/>
      <w:r>
        <w:t>etc</w:t>
      </w:r>
      <w:proofErr w:type="spellEnd"/>
      <w:r>
        <w:t xml:space="preserve">). </w:t>
      </w:r>
    </w:p>
    <w:p w14:paraId="6734F2A9" w14:textId="689E8B46" w:rsidR="00366ED8" w:rsidRDefault="00BD6888" w:rsidP="008A0FFB">
      <w:pPr>
        <w:pStyle w:val="ListParagraph"/>
        <w:numPr>
          <w:ilvl w:val="0"/>
          <w:numId w:val="35"/>
        </w:numPr>
      </w:pPr>
      <w:r>
        <w:t xml:space="preserve">Developing an evaluative approach to prepare a future assessment of the impact of IATI on development effectiveness.  </w:t>
      </w:r>
    </w:p>
    <w:p w14:paraId="7207BC41" w14:textId="16ED954C" w:rsidR="0084387B" w:rsidRPr="00582E82" w:rsidRDefault="0084387B" w:rsidP="008A0FFB">
      <w:pPr>
        <w:pStyle w:val="ListParagraph"/>
        <w:numPr>
          <w:ilvl w:val="0"/>
          <w:numId w:val="35"/>
        </w:numPr>
      </w:pPr>
      <w:r w:rsidRPr="00582E82">
        <w:t xml:space="preserve">Supporting interoperability between </w:t>
      </w:r>
      <w:r w:rsidR="00582E82">
        <w:t>IATI and other open data standards that could</w:t>
      </w:r>
      <w:r w:rsidRPr="00582E82">
        <w:t xml:space="preserve"> be use</w:t>
      </w:r>
      <w:r w:rsidR="00582E82">
        <w:t xml:space="preserve">d to track financial flows (e.g. </w:t>
      </w:r>
      <w:r w:rsidRPr="00582E82">
        <w:t>EITI, open contracting</w:t>
      </w:r>
      <w:r w:rsidR="00582E82" w:rsidRPr="00582E82">
        <w:t>, open budget</w:t>
      </w:r>
      <w:r w:rsidR="00582E82">
        <w:t>)</w:t>
      </w:r>
      <w:r w:rsidRPr="00582E82">
        <w:t>.</w:t>
      </w:r>
    </w:p>
    <w:p w14:paraId="41F7B076" w14:textId="505B1115" w:rsidR="004043E8" w:rsidRDefault="004043E8" w:rsidP="004043E8">
      <w:pPr>
        <w:rPr>
          <w:b/>
        </w:rPr>
      </w:pPr>
      <w:r>
        <w:rPr>
          <w:b/>
        </w:rPr>
        <w:t xml:space="preserve">2) Improving </w:t>
      </w:r>
      <w:r w:rsidR="0084387B">
        <w:rPr>
          <w:b/>
        </w:rPr>
        <w:t xml:space="preserve">IATI </w:t>
      </w:r>
      <w:r>
        <w:rPr>
          <w:b/>
        </w:rPr>
        <w:t>data quality</w:t>
      </w:r>
      <w:r w:rsidR="00582E82">
        <w:rPr>
          <w:b/>
        </w:rPr>
        <w:t>, breadth and depth</w:t>
      </w:r>
    </w:p>
    <w:p w14:paraId="2C5BC23F" w14:textId="22A1FD6F" w:rsidR="00B4772A" w:rsidRDefault="00993590" w:rsidP="004043E8">
      <w:r>
        <w:t>As of April 2016</w:t>
      </w:r>
      <w:r w:rsidR="008A0FFB">
        <w:t xml:space="preserve">, </w:t>
      </w:r>
      <w:r>
        <w:t>over 400 organisations</w:t>
      </w:r>
      <w:r w:rsidR="008A0FFB">
        <w:t xml:space="preserve"> publish data to IATI, including donors representing </w:t>
      </w:r>
      <w:r>
        <w:t>about x% of Official Development Assistance. This figure is high enough</w:t>
      </w:r>
      <w:r w:rsidR="00D3329A">
        <w:t xml:space="preserve"> that further efforts to expand IATI coverage of</w:t>
      </w:r>
      <w:r>
        <w:t xml:space="preserve"> ODA </w:t>
      </w:r>
      <w:r w:rsidR="008A0FFB">
        <w:t>are likely to</w:t>
      </w:r>
      <w:r>
        <w:t xml:space="preserve"> have diminishing returns. </w:t>
      </w:r>
      <w:r w:rsidR="00B4772A">
        <w:t xml:space="preserve">To better meet the needs of data users, the highest value would come from expanding the number of implementing organisations (rather than </w:t>
      </w:r>
      <w:r w:rsidR="00216A09">
        <w:t>funders) that publish data, and from ensuring that IATI</w:t>
      </w:r>
      <w:r w:rsidR="00B4772A">
        <w:t xml:space="preserve"> data can be aggregated</w:t>
      </w:r>
      <w:r w:rsidR="008A0FFB">
        <w:t xml:space="preserve"> across IATI publishers and with data from compatible standards</w:t>
      </w:r>
      <w:r w:rsidR="00B4772A">
        <w:t>.</w:t>
      </w:r>
    </w:p>
    <w:p w14:paraId="563565B2" w14:textId="3BC1CA10" w:rsidR="00993590" w:rsidRDefault="008A0FFB" w:rsidP="004043E8">
      <w:r>
        <w:t xml:space="preserve">Adhesion and adherence to the </w:t>
      </w:r>
      <w:r w:rsidR="004043E8">
        <w:t>IATI</w:t>
      </w:r>
      <w:r w:rsidR="00993590">
        <w:t xml:space="preserve"> </w:t>
      </w:r>
      <w:r>
        <w:t>Standard are mostly voluntary. As a result,</w:t>
      </w:r>
      <w:r w:rsidR="004043E8">
        <w:t xml:space="preserve"> data quality varies hugely between publishers. </w:t>
      </w:r>
      <w:r w:rsidR="00993590">
        <w:t>Missing and/or poor data quality limits</w:t>
      </w:r>
      <w:r w:rsidR="004043E8">
        <w:t xml:space="preserve"> its use and undermines IATI's credibility.</w:t>
      </w:r>
      <w:r w:rsidR="004043E8" w:rsidDel="00DA7636">
        <w:t xml:space="preserve"> </w:t>
      </w:r>
      <w:r w:rsidR="00993590">
        <w:t>While increasing data use (especially by publishers themselves) is expected to lead to</w:t>
      </w:r>
      <w:r>
        <w:t xml:space="preserve"> improvement in the completeness</w:t>
      </w:r>
      <w:r w:rsidR="00993590">
        <w:t xml:space="preserve"> and quality of the data, dedicated efforts are nevertheless necessary to accelerate this process and ensure the availability of data of sufficient quality to support user needs.  </w:t>
      </w:r>
    </w:p>
    <w:p w14:paraId="56397230" w14:textId="3FB24E22" w:rsidR="004043E8" w:rsidRDefault="00993590" w:rsidP="004043E8">
      <w:r>
        <w:t>Potential elements in this action area</w:t>
      </w:r>
      <w:r w:rsidR="004043E8">
        <w:t xml:space="preserve"> include: </w:t>
      </w:r>
    </w:p>
    <w:p w14:paraId="366C3DDA" w14:textId="09B7F751" w:rsidR="00993590" w:rsidRDefault="008A0FFB" w:rsidP="004043E8">
      <w:pPr>
        <w:pStyle w:val="ListParagraph"/>
        <w:numPr>
          <w:ilvl w:val="0"/>
          <w:numId w:val="30"/>
        </w:numPr>
      </w:pPr>
      <w:r>
        <w:t>Conducting detailed</w:t>
      </w:r>
      <w:r w:rsidR="00993590">
        <w:t xml:space="preserve"> data quality </w:t>
      </w:r>
      <w:r>
        <w:t>assessments</w:t>
      </w:r>
      <w:r w:rsidR="00216A09">
        <w:t xml:space="preserve"> to identify and prioritize issues </w:t>
      </w:r>
      <w:r>
        <w:t>most effecting data users</w:t>
      </w:r>
      <w:r w:rsidR="00216A09">
        <w:t xml:space="preserve"> (including</w:t>
      </w:r>
      <w:r w:rsidR="00D3329A">
        <w:t xml:space="preserve"> aggregation across publishers).</w:t>
      </w:r>
    </w:p>
    <w:p w14:paraId="74DE74AD" w14:textId="72A40F04" w:rsidR="004043E8" w:rsidRDefault="00993590" w:rsidP="004043E8">
      <w:pPr>
        <w:pStyle w:val="ListParagraph"/>
        <w:numPr>
          <w:ilvl w:val="0"/>
          <w:numId w:val="30"/>
        </w:numPr>
      </w:pPr>
      <w:r>
        <w:t>Assessing</w:t>
      </w:r>
      <w:r w:rsidR="004043E8">
        <w:t xml:space="preserve"> the </w:t>
      </w:r>
      <w:r>
        <w:t>effectiveness of the current model of technical support to</w:t>
      </w:r>
      <w:r w:rsidR="004043E8">
        <w:t xml:space="preserve"> individual pu</w:t>
      </w:r>
      <w:r w:rsidR="00D3329A">
        <w:t>blishers.</w:t>
      </w:r>
    </w:p>
    <w:p w14:paraId="152EF781" w14:textId="45C6852E" w:rsidR="004043E8" w:rsidRDefault="00993590" w:rsidP="004043E8">
      <w:pPr>
        <w:pStyle w:val="ListParagraph"/>
        <w:numPr>
          <w:ilvl w:val="0"/>
          <w:numId w:val="30"/>
        </w:numPr>
      </w:pPr>
      <w:r>
        <w:t>C</w:t>
      </w:r>
      <w:r w:rsidR="004043E8">
        <w:t>onsi</w:t>
      </w:r>
      <w:r>
        <w:t>dering</w:t>
      </w:r>
      <w:r w:rsidR="004043E8">
        <w:t xml:space="preserve"> alternative models of technical support, including market-based solutions</w:t>
      </w:r>
      <w:r w:rsidR="00216A09">
        <w:t xml:space="preserve"> and formal peer-learning mechanisms</w:t>
      </w:r>
      <w:r w:rsidR="00D3329A">
        <w:t>.</w:t>
      </w:r>
    </w:p>
    <w:p w14:paraId="5ED7C10F" w14:textId="77777777" w:rsidR="00D3329A" w:rsidRDefault="00216A09" w:rsidP="00216A09">
      <w:pPr>
        <w:pStyle w:val="ListParagraph"/>
        <w:numPr>
          <w:ilvl w:val="0"/>
          <w:numId w:val="30"/>
        </w:numPr>
      </w:pPr>
      <w:r>
        <w:t>Focusing outr</w:t>
      </w:r>
      <w:r w:rsidR="00993590">
        <w:t>each</w:t>
      </w:r>
      <w:r>
        <w:t xml:space="preserve"> efforts on </w:t>
      </w:r>
      <w:r w:rsidR="00993590">
        <w:t>implementing organisations (</w:t>
      </w:r>
      <w:proofErr w:type="spellStart"/>
      <w:r w:rsidR="00993590">
        <w:t>ie</w:t>
      </w:r>
      <w:proofErr w:type="spellEnd"/>
      <w:r w:rsidR="00993590">
        <w:t xml:space="preserve"> </w:t>
      </w:r>
      <w:r w:rsidR="00D3329A">
        <w:t>moving closer to beneficiaries).</w:t>
      </w:r>
    </w:p>
    <w:p w14:paraId="2707B77E" w14:textId="5BF43911" w:rsidR="004043E8" w:rsidRPr="00216A09" w:rsidRDefault="00D3329A" w:rsidP="00216A09">
      <w:pPr>
        <w:pStyle w:val="ListParagraph"/>
        <w:numPr>
          <w:ilvl w:val="0"/>
          <w:numId w:val="30"/>
        </w:numPr>
      </w:pPr>
      <w:r>
        <w:t xml:space="preserve">Encouraging more donors to include IATI publishing in their requirements for funding. </w:t>
      </w:r>
      <w:r w:rsidR="004043E8">
        <w:t xml:space="preserve"> </w:t>
      </w:r>
    </w:p>
    <w:p w14:paraId="6E1734E3" w14:textId="19B08003" w:rsidR="004043E8" w:rsidRPr="00045516" w:rsidRDefault="00993590" w:rsidP="004043E8">
      <w:pPr>
        <w:pStyle w:val="ListParagraph"/>
        <w:numPr>
          <w:ilvl w:val="0"/>
          <w:numId w:val="30"/>
        </w:numPr>
        <w:rPr>
          <w:b/>
        </w:rPr>
      </w:pPr>
      <w:r>
        <w:t>E</w:t>
      </w:r>
      <w:r w:rsidR="004043E8">
        <w:t>stablish</w:t>
      </w:r>
      <w:r>
        <w:t>ing communication</w:t>
      </w:r>
      <w:r w:rsidR="004043E8">
        <w:t xml:space="preserve"> mechanisms </w:t>
      </w:r>
      <w:r>
        <w:t xml:space="preserve">between partner countries and publishers </w:t>
      </w:r>
      <w:r w:rsidR="004043E8">
        <w:t xml:space="preserve">on data quality issues. </w:t>
      </w:r>
    </w:p>
    <w:p w14:paraId="092FD4F7" w14:textId="5C024833" w:rsidR="004043E8" w:rsidRDefault="00366ED8" w:rsidP="00D84333">
      <w:pPr>
        <w:rPr>
          <w:b/>
        </w:rPr>
      </w:pPr>
      <w:r>
        <w:rPr>
          <w:b/>
        </w:rPr>
        <w:t>3</w:t>
      </w:r>
      <w:r w:rsidR="004043E8" w:rsidRPr="00856726">
        <w:rPr>
          <w:b/>
        </w:rPr>
        <w:t xml:space="preserve">) Maintaining and improving the IATI Standard </w:t>
      </w:r>
    </w:p>
    <w:p w14:paraId="787DDC41" w14:textId="4100038C" w:rsidR="00052AAF" w:rsidRDefault="004043E8" w:rsidP="00D84333">
      <w:r>
        <w:t xml:space="preserve">The IATI Standard should be dynamic and respond to the demands </w:t>
      </w:r>
      <w:r w:rsidR="00216A09">
        <w:t xml:space="preserve">and constraints </w:t>
      </w:r>
      <w:r>
        <w:t xml:space="preserve">of both publishers and users of data. </w:t>
      </w:r>
      <w:r w:rsidR="00052AAF">
        <w:t>Following important changes to the Standard in the last few years, including an integer update in early 2015, the priority should be to ensure proper technical support is provided and to develop</w:t>
      </w:r>
      <w:r w:rsidR="00216A09">
        <w:t xml:space="preserve"> a clearer sense of IATI’s </w:t>
      </w:r>
      <w:r w:rsidR="001631A2">
        <w:t>role</w:t>
      </w:r>
      <w:r w:rsidR="00052AAF">
        <w:t xml:space="preserve"> in the broader ecosystem of data standards related to development.</w:t>
      </w:r>
    </w:p>
    <w:p w14:paraId="0DB08554" w14:textId="5BDDCB4D" w:rsidR="004043E8" w:rsidRDefault="00052AAF" w:rsidP="00052AAF">
      <w:r>
        <w:t>Potential elements in this action area include</w:t>
      </w:r>
      <w:r w:rsidR="004043E8">
        <w:t xml:space="preserve">: </w:t>
      </w:r>
    </w:p>
    <w:p w14:paraId="57A48279" w14:textId="538E7BE2" w:rsidR="001631A2" w:rsidRDefault="001631A2" w:rsidP="004043E8">
      <w:pPr>
        <w:pStyle w:val="ListParagraph"/>
        <w:numPr>
          <w:ilvl w:val="0"/>
          <w:numId w:val="36"/>
        </w:numPr>
      </w:pPr>
      <w:r>
        <w:t xml:space="preserve">Clarifying the roles of the TAG and the Secretariat </w:t>
      </w:r>
      <w:r w:rsidR="005D3459">
        <w:t>in driving Standard improvement.</w:t>
      </w:r>
    </w:p>
    <w:p w14:paraId="47F79EE3" w14:textId="79EFE981" w:rsidR="004043E8" w:rsidRDefault="00216A09" w:rsidP="004043E8">
      <w:pPr>
        <w:pStyle w:val="ListParagraph"/>
        <w:numPr>
          <w:ilvl w:val="0"/>
          <w:numId w:val="36"/>
        </w:numPr>
      </w:pPr>
      <w:r>
        <w:t>Assessing</w:t>
      </w:r>
      <w:r w:rsidR="00052AAF">
        <w:t xml:space="preserve"> publisher and user feedback to identify </w:t>
      </w:r>
      <w:r w:rsidR="004043E8">
        <w:t xml:space="preserve">further development </w:t>
      </w:r>
      <w:r w:rsidR="00052AAF">
        <w:t xml:space="preserve">needs </w:t>
      </w:r>
      <w:r w:rsidR="004043E8">
        <w:t>of the Standard</w:t>
      </w:r>
      <w:r w:rsidR="005D3459">
        <w:t>.</w:t>
      </w:r>
    </w:p>
    <w:p w14:paraId="01974D39" w14:textId="4DA66466" w:rsidR="004043E8" w:rsidRDefault="00216A09" w:rsidP="004043E8">
      <w:pPr>
        <w:pStyle w:val="ListParagraph"/>
        <w:numPr>
          <w:ilvl w:val="0"/>
          <w:numId w:val="36"/>
        </w:numPr>
      </w:pPr>
      <w:r>
        <w:t>Collaborating</w:t>
      </w:r>
      <w:r w:rsidR="00052AAF">
        <w:t xml:space="preserve"> with the DAC (</w:t>
      </w:r>
      <w:r w:rsidR="004043E8">
        <w:t xml:space="preserve">e.g. with regard to </w:t>
      </w:r>
      <w:proofErr w:type="spellStart"/>
      <w:r w:rsidR="004043E8">
        <w:t>codelists</w:t>
      </w:r>
      <w:proofErr w:type="spellEnd"/>
      <w:r w:rsidR="00052AAF">
        <w:t>)</w:t>
      </w:r>
      <w:r w:rsidR="004043E8">
        <w:t xml:space="preserve">, </w:t>
      </w:r>
      <w:r>
        <w:t xml:space="preserve">with a </w:t>
      </w:r>
      <w:r w:rsidR="004043E8">
        <w:t>particular</w:t>
      </w:r>
      <w:r>
        <w:t xml:space="preserve"> focus on </w:t>
      </w:r>
      <w:r w:rsidR="004043E8">
        <w:t xml:space="preserve">changes aimed at better reflecting the needs of </w:t>
      </w:r>
      <w:r w:rsidR="005D3459">
        <w:t>data users.</w:t>
      </w:r>
    </w:p>
    <w:p w14:paraId="01F3FD1C" w14:textId="0AFD971C" w:rsidR="004043E8" w:rsidRDefault="00216A09" w:rsidP="00052AAF">
      <w:pPr>
        <w:pStyle w:val="ListParagraph"/>
        <w:numPr>
          <w:ilvl w:val="0"/>
          <w:numId w:val="36"/>
        </w:numPr>
      </w:pPr>
      <w:r>
        <w:lastRenderedPageBreak/>
        <w:t>Collaborating</w:t>
      </w:r>
      <w:r w:rsidR="004043E8">
        <w:t xml:space="preserve"> with other data standards to maximise the </w:t>
      </w:r>
      <w:r w:rsidR="00052AAF">
        <w:t xml:space="preserve">inter-operability with the IATI Standard in order to maximize the </w:t>
      </w:r>
      <w:r w:rsidR="001631A2">
        <w:t>usefulness</w:t>
      </w:r>
      <w:r w:rsidR="004043E8">
        <w:t xml:space="preserve"> of IATI data</w:t>
      </w:r>
      <w:r w:rsidR="005D3459">
        <w:t>.</w:t>
      </w:r>
    </w:p>
    <w:p w14:paraId="5692BFD8" w14:textId="01CCFE0D" w:rsidR="00AE21B5" w:rsidRPr="003B5842" w:rsidRDefault="00216A09" w:rsidP="00C80929">
      <w:pPr>
        <w:pStyle w:val="ListParagraph"/>
        <w:numPr>
          <w:ilvl w:val="0"/>
          <w:numId w:val="36"/>
        </w:numPr>
      </w:pPr>
      <w:r>
        <w:t>Establishing</w:t>
      </w:r>
      <w:r w:rsidR="00052AAF">
        <w:t xml:space="preserve"> </w:t>
      </w:r>
      <w:r w:rsidR="004043E8">
        <w:t>a timetable for future upgrades that enables essential changes to the Standard whilst minimising disruption to existing publishers</w:t>
      </w:r>
      <w:r>
        <w:t xml:space="preserve"> and users</w:t>
      </w:r>
      <w:r w:rsidR="004043E8">
        <w:t xml:space="preserve"> (</w:t>
      </w:r>
      <w:proofErr w:type="spellStart"/>
      <w:r w:rsidR="004043E8">
        <w:t>eg</w:t>
      </w:r>
      <w:proofErr w:type="spellEnd"/>
      <w:r w:rsidR="004043E8">
        <w:t xml:space="preserve"> a maximum of one decimal upgrade per year and one integer upgrade every 3-5 years). </w:t>
      </w:r>
    </w:p>
    <w:p w14:paraId="3B55D824" w14:textId="5B4C08DE" w:rsidR="003B5842" w:rsidRDefault="001631A2" w:rsidP="00D84333">
      <w:r>
        <w:rPr>
          <w:b/>
        </w:rPr>
        <w:t>4</w:t>
      </w:r>
      <w:r w:rsidR="003B5842">
        <w:rPr>
          <w:b/>
        </w:rPr>
        <w:t xml:space="preserve">) Communication and outreach </w:t>
      </w:r>
    </w:p>
    <w:p w14:paraId="5C2239BF" w14:textId="6A70314B" w:rsidR="001D2A34" w:rsidRPr="001D2A34" w:rsidRDefault="001D2A34" w:rsidP="00D84333">
      <w:r>
        <w:t>[Note: this was a strategic direction in the MAG paper; however, it could be seen rather as an element supporting the achievement of the other elements of the strategy e.g. increasing use.]</w:t>
      </w:r>
    </w:p>
    <w:p w14:paraId="3C343469" w14:textId="44A10350" w:rsidR="001631A2" w:rsidRDefault="00D84333" w:rsidP="00D84333">
      <w:r w:rsidRPr="00D84333">
        <w:t>IATI</w:t>
      </w:r>
      <w:r w:rsidR="001631A2">
        <w:t xml:space="preserve">’s new strategic direction must </w:t>
      </w:r>
      <w:r w:rsidRPr="00D84333">
        <w:t xml:space="preserve">be supported by a </w:t>
      </w:r>
      <w:r w:rsidR="00C80929" w:rsidRPr="00D84333">
        <w:t xml:space="preserve">communications </w:t>
      </w:r>
      <w:r w:rsidRPr="00D84333">
        <w:t xml:space="preserve">and outreach strategy. </w:t>
      </w:r>
      <w:r w:rsidR="00C80929">
        <w:t>Th</w:t>
      </w:r>
      <w:r>
        <w:t xml:space="preserve">is </w:t>
      </w:r>
      <w:r w:rsidR="00C80929">
        <w:t xml:space="preserve">strategy </w:t>
      </w:r>
      <w:r w:rsidR="001631A2">
        <w:t>should</w:t>
      </w:r>
      <w:r w:rsidR="00C80929">
        <w:t xml:space="preserve"> identify the priority audiences for increased publication and use of IATI data, taking into account both new and existing members and publishers</w:t>
      </w:r>
      <w:r w:rsidR="00D3329A">
        <w:t>. It should</w:t>
      </w:r>
      <w:r w:rsidR="003B5842">
        <w:t xml:space="preserve"> generally </w:t>
      </w:r>
      <w:r w:rsidR="00D3329A">
        <w:t xml:space="preserve">seek to </w:t>
      </w:r>
      <w:r w:rsidR="003B5842">
        <w:t>increase awareness of IATI as the main source of data on development cooperation</w:t>
      </w:r>
      <w:r w:rsidR="00D3329A">
        <w:t>, especially in the context of Agenda 2030 and the Addis Ababa Action Agenda</w:t>
      </w:r>
      <w:r w:rsidR="00C80929">
        <w:t xml:space="preserve">. </w:t>
      </w:r>
    </w:p>
    <w:p w14:paraId="714CA3D1" w14:textId="7CBB7AFB" w:rsidR="00D84333" w:rsidRDefault="001631A2" w:rsidP="00D84333">
      <w:r>
        <w:t>In doing so, it should emphasize the potential contribution of IATI data to the needs of various audiences (e.g. development planning for partner government, business intelligence for CSOs, coordination for local donor representatives, internal information management) in order to create a pull factor for publishing and using the data.</w:t>
      </w:r>
    </w:p>
    <w:p w14:paraId="3132E94C" w14:textId="5384CAA2" w:rsidR="00C80929" w:rsidRPr="00D84333" w:rsidRDefault="003B5842" w:rsidP="00D84333">
      <w:pPr>
        <w:rPr>
          <w:b/>
        </w:rPr>
      </w:pPr>
      <w:r>
        <w:t xml:space="preserve">The strategy </w:t>
      </w:r>
      <w:r w:rsidR="00C80929">
        <w:t>should also make recommendations on the most ef</w:t>
      </w:r>
      <w:r>
        <w:t>ficient means of communication with these various audiences</w:t>
      </w:r>
      <w:r w:rsidR="00C80929">
        <w:t>, including</w:t>
      </w:r>
      <w:r w:rsidR="001631A2">
        <w:t xml:space="preserve"> for instance</w:t>
      </w:r>
      <w:r w:rsidR="00C80929">
        <w:t xml:space="preserve">: </w:t>
      </w:r>
    </w:p>
    <w:p w14:paraId="092CCF7F" w14:textId="5B53EA13" w:rsidR="00C80929" w:rsidRDefault="001631A2" w:rsidP="00C80929">
      <w:pPr>
        <w:pStyle w:val="ListParagraph"/>
        <w:numPr>
          <w:ilvl w:val="0"/>
          <w:numId w:val="34"/>
        </w:numPr>
        <w:jc w:val="both"/>
      </w:pPr>
      <w:r>
        <w:t>I</w:t>
      </w:r>
      <w:r w:rsidR="00C80929">
        <w:t>mproved websit</w:t>
      </w:r>
      <w:r>
        <w:t>e, guidance materials and tools;</w:t>
      </w:r>
    </w:p>
    <w:p w14:paraId="1720E82C" w14:textId="12F92026" w:rsidR="00C80929" w:rsidRDefault="001631A2" w:rsidP="00C80929">
      <w:pPr>
        <w:pStyle w:val="ListParagraph"/>
        <w:numPr>
          <w:ilvl w:val="0"/>
          <w:numId w:val="34"/>
        </w:numPr>
        <w:jc w:val="both"/>
      </w:pPr>
      <w:r>
        <w:t>P</w:t>
      </w:r>
      <w:r w:rsidR="00C80929">
        <w:t>romotion at key regional and international conferences</w:t>
      </w:r>
      <w:r>
        <w:t>;</w:t>
      </w:r>
    </w:p>
    <w:p w14:paraId="0218F845" w14:textId="7A53044E" w:rsidR="001631A2" w:rsidRDefault="001631A2" w:rsidP="00C80929">
      <w:pPr>
        <w:pStyle w:val="ListParagraph"/>
        <w:numPr>
          <w:ilvl w:val="0"/>
          <w:numId w:val="34"/>
        </w:numPr>
        <w:jc w:val="both"/>
      </w:pPr>
      <w:r>
        <w:t>Promotion through members and interested stakeholders;</w:t>
      </w:r>
    </w:p>
    <w:p w14:paraId="7DC4AC7B" w14:textId="5120DAA9" w:rsidR="00C323E9" w:rsidRDefault="001631A2" w:rsidP="001631A2">
      <w:pPr>
        <w:pStyle w:val="ListParagraph"/>
        <w:numPr>
          <w:ilvl w:val="0"/>
          <w:numId w:val="34"/>
        </w:numPr>
        <w:jc w:val="both"/>
      </w:pPr>
      <w:r>
        <w:t>D</w:t>
      </w:r>
      <w:r w:rsidR="00C80929">
        <w:t xml:space="preserve">irect engagement where appropriate.  </w:t>
      </w:r>
    </w:p>
    <w:p w14:paraId="3F69E4E5" w14:textId="5B4791B2" w:rsidR="001631A2" w:rsidRDefault="001631A2" w:rsidP="001631A2">
      <w:r>
        <w:t xml:space="preserve">The strategy should be ready by </w:t>
      </w:r>
      <w:proofErr w:type="gramStart"/>
      <w:r>
        <w:t>Summer</w:t>
      </w:r>
      <w:proofErr w:type="gramEnd"/>
      <w:r>
        <w:t xml:space="preserve"> 2016 and include a more detailed 12-months communication</w:t>
      </w:r>
      <w:r w:rsidR="00D3329A">
        <w:t>/ outreach</w:t>
      </w:r>
      <w:r>
        <w:t xml:space="preserve"> plan to support the priorities outlined in the previous action areas.</w:t>
      </w:r>
    </w:p>
    <w:p w14:paraId="06835440" w14:textId="2DD3FAAF" w:rsidR="001631A2" w:rsidRDefault="001631A2" w:rsidP="001631A2">
      <w:pPr>
        <w:rPr>
          <w:b/>
        </w:rPr>
      </w:pPr>
      <w:r>
        <w:rPr>
          <w:b/>
        </w:rPr>
        <w:t>5) Institutional arrangements</w:t>
      </w:r>
    </w:p>
    <w:p w14:paraId="6052DAE9" w14:textId="77777777" w:rsidR="001631A2" w:rsidRDefault="001631A2" w:rsidP="001631A2">
      <w:r>
        <w:t xml:space="preserve">The IATI evaluation confirmed that institutional reforms must underpin a clearly articulated strategy. Changes to the governing structure agreed in December 2015 and implemented since were key steps in this direction, enabling the Secretariat to receive more timely strategic direction to deliver its work. However, further work is required on the governance, funding and hosting model to put IATI on a longer-term sustainable path. </w:t>
      </w:r>
    </w:p>
    <w:p w14:paraId="7743BD1D" w14:textId="2207E9BA" w:rsidR="001631A2" w:rsidRDefault="5FB2C834" w:rsidP="001631A2">
      <w:r>
        <w:t>Initial steps have been taken towards hiring outside experts to help the Board assess potential models, with a view to present the membership with recommendations in 2017. The Board will be guided by the following principles for the recommended arrangements:</w:t>
      </w:r>
    </w:p>
    <w:p w14:paraId="2A767640" w14:textId="70A0AD2B" w:rsidR="001631A2" w:rsidRDefault="00A87C4F" w:rsidP="001631A2">
      <w:pPr>
        <w:pStyle w:val="ListParagraph"/>
        <w:numPr>
          <w:ilvl w:val="0"/>
          <w:numId w:val="39"/>
        </w:numPr>
      </w:pPr>
      <w:r>
        <w:t xml:space="preserve">The model should ensure that </w:t>
      </w:r>
      <w:r w:rsidR="001631A2">
        <w:t>IATI is on a long-term sustainable financial path;</w:t>
      </w:r>
    </w:p>
    <w:p w14:paraId="23E473CF" w14:textId="1A1FBDA5" w:rsidR="00A87C4F" w:rsidRDefault="00A87C4F" w:rsidP="00A87C4F">
      <w:pPr>
        <w:pStyle w:val="ListParagraph"/>
        <w:numPr>
          <w:ilvl w:val="0"/>
          <w:numId w:val="39"/>
        </w:numPr>
      </w:pPr>
      <w:r>
        <w:t>If retained, the concept of membership in IATI should have clear benefits and requirements;</w:t>
      </w:r>
    </w:p>
    <w:p w14:paraId="5AFAEB7B" w14:textId="1220C033" w:rsidR="00A87C4F" w:rsidRDefault="00A87C4F" w:rsidP="00A87C4F">
      <w:pPr>
        <w:pStyle w:val="ListParagraph"/>
        <w:numPr>
          <w:ilvl w:val="0"/>
          <w:numId w:val="39"/>
        </w:numPr>
      </w:pPr>
      <w:r>
        <w:t>The governance structure should ensure fair representation of all IATI stakeholders and provide sound accountability mechanisms;</w:t>
      </w:r>
    </w:p>
    <w:p w14:paraId="0D7A0CB1" w14:textId="7A176E97" w:rsidR="00A87C4F" w:rsidRDefault="00A87C4F" w:rsidP="00A87C4F">
      <w:pPr>
        <w:pStyle w:val="ListParagraph"/>
        <w:numPr>
          <w:ilvl w:val="0"/>
          <w:numId w:val="39"/>
        </w:numPr>
      </w:pPr>
      <w:r>
        <w:t xml:space="preserve">The legal and institutional status of IATI should be clear. </w:t>
      </w:r>
    </w:p>
    <w:p w14:paraId="20BE8E98" w14:textId="250FCEFE" w:rsidR="004C1A0A" w:rsidRDefault="004C1A0A" w:rsidP="005B08E2">
      <w:pPr>
        <w:rPr>
          <w:rFonts w:ascii="Calibri" w:eastAsia="Calibri" w:hAnsi="Calibri" w:cs="Times New Roman"/>
          <w:b/>
          <w:color w:val="8064A2"/>
          <w:sz w:val="28"/>
          <w:lang w:val="en-US" w:eastAsia="en-US"/>
        </w:rPr>
      </w:pPr>
    </w:p>
    <w:sectPr w:rsidR="004C1A0A" w:rsidSect="007271B2">
      <w:headerReference w:type="even" r:id="rId8"/>
      <w:headerReference w:type="default" r:id="rId9"/>
      <w:footerReference w:type="even" r:id="rId10"/>
      <w:footerReference w:type="default" r:id="rId11"/>
      <w:headerReference w:type="first" r:id="rId12"/>
      <w:footerReference w:type="first" r:id="rId13"/>
      <w:pgSz w:w="11906" w:h="16838"/>
      <w:pgMar w:top="720" w:right="1080" w:bottom="720" w:left="1080" w:header="562"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BFBC5" w14:textId="77777777" w:rsidR="00163D7A" w:rsidRDefault="00163D7A" w:rsidP="00336350">
      <w:pPr>
        <w:spacing w:after="0" w:line="240" w:lineRule="auto"/>
      </w:pPr>
      <w:r>
        <w:separator/>
      </w:r>
    </w:p>
  </w:endnote>
  <w:endnote w:type="continuationSeparator" w:id="0">
    <w:p w14:paraId="0C8CD0CD" w14:textId="77777777" w:rsidR="00163D7A" w:rsidRDefault="00163D7A" w:rsidP="0033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F48A4" w14:textId="77777777" w:rsidR="004C1A0A" w:rsidRDefault="004C1A0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883004"/>
      <w:docPartObj>
        <w:docPartGallery w:val="Page Numbers (Bottom of Page)"/>
        <w:docPartUnique/>
      </w:docPartObj>
    </w:sdtPr>
    <w:sdtEndPr>
      <w:rPr>
        <w:color w:val="B9C92E" w:themeColor="background1" w:themeShade="80"/>
        <w:spacing w:val="60"/>
      </w:rPr>
    </w:sdtEndPr>
    <w:sdtContent>
      <w:p w14:paraId="287C8A69" w14:textId="77777777" w:rsidR="00EF25A3" w:rsidRDefault="00EF25A3">
        <w:pPr>
          <w:pStyle w:val="Footer"/>
          <w:pBdr>
            <w:top w:val="single" w:sz="4" w:space="1" w:color="E8EEB6" w:themeColor="background1" w:themeShade="D9"/>
          </w:pBdr>
          <w:jc w:val="right"/>
        </w:pPr>
        <w:r>
          <w:fldChar w:fldCharType="begin"/>
        </w:r>
        <w:r>
          <w:instrText xml:space="preserve"> PAGE   \* MERGEFORMAT </w:instrText>
        </w:r>
        <w:r>
          <w:fldChar w:fldCharType="separate"/>
        </w:r>
        <w:r w:rsidR="00E25FFE">
          <w:rPr>
            <w:noProof/>
          </w:rPr>
          <w:t>3</w:t>
        </w:r>
        <w:r>
          <w:rPr>
            <w:noProof/>
          </w:rPr>
          <w:fldChar w:fldCharType="end"/>
        </w:r>
        <w:r>
          <w:t xml:space="preserve"> | </w:t>
        </w:r>
        <w:r>
          <w:rPr>
            <w:color w:val="B9C92E" w:themeColor="background1" w:themeShade="80"/>
            <w:spacing w:val="60"/>
          </w:rPr>
          <w:t>Page</w:t>
        </w:r>
      </w:p>
    </w:sdtContent>
  </w:sdt>
  <w:p w14:paraId="4CD6990A" w14:textId="77777777" w:rsidR="00EF25A3" w:rsidRDefault="00EF25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6E0DA" w14:textId="77777777" w:rsidR="004C1A0A" w:rsidRDefault="004C1A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572D4" w14:textId="77777777" w:rsidR="00163D7A" w:rsidRDefault="00163D7A" w:rsidP="00336350">
      <w:pPr>
        <w:spacing w:after="0" w:line="240" w:lineRule="auto"/>
      </w:pPr>
      <w:r>
        <w:separator/>
      </w:r>
    </w:p>
  </w:footnote>
  <w:footnote w:type="continuationSeparator" w:id="0">
    <w:p w14:paraId="5E44CC77" w14:textId="77777777" w:rsidR="00163D7A" w:rsidRDefault="00163D7A" w:rsidP="003363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7EC2F" w14:textId="77777777" w:rsidR="00EF25A3" w:rsidRDefault="00163D7A">
    <w:pPr>
      <w:pStyle w:val="Header"/>
    </w:pPr>
    <w:r>
      <w:rPr>
        <w:noProof/>
      </w:rPr>
      <w:pict w14:anchorId="6B924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35887" o:spid="_x0000_s2074" type="#_x0000_t75" style="position:absolute;margin-left:0;margin-top:0;width:595.45pt;height:841.9pt;z-index:-251657216;mso-position-horizontal:center;mso-position-horizontal-relative:margin;mso-position-vertical:center;mso-position-vertical-relative:margin" o:allowincell="f">
          <v:imagedata r:id="rId1" o:title="watermark_12pc_smalle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CB0C6" w14:textId="77777777" w:rsidR="00EF25A3" w:rsidRDefault="00163D7A">
    <w:pPr>
      <w:pStyle w:val="Header"/>
    </w:pPr>
    <w:r>
      <w:rPr>
        <w:noProof/>
      </w:rPr>
      <w:pict w14:anchorId="66002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35888" o:spid="_x0000_s2075" type="#_x0000_t75" style="position:absolute;margin-left:0;margin-top:0;width:595.45pt;height:841.9pt;z-index:-251656192;mso-position-horizontal:center;mso-position-horizontal-relative:margin;mso-position-vertical:center;mso-position-vertical-relative:margin" o:allowincell="f">
          <v:imagedata r:id="rId1" o:title="watermark_12pc_smaller"/>
          <w10:wrap anchorx="margin" anchory="margin"/>
        </v:shape>
      </w:pict>
    </w:r>
  </w:p>
  <w:p w14:paraId="19B69098" w14:textId="77777777" w:rsidR="00EF25A3" w:rsidRDefault="00EF25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B38E3" w14:textId="77777777" w:rsidR="00EF25A3" w:rsidRDefault="00EF25A3">
    <w:pPr>
      <w:pStyle w:val="Header"/>
    </w:pPr>
    <w:r>
      <w:rPr>
        <w:noProof/>
        <w:lang w:val="en-US" w:eastAsia="en-US"/>
      </w:rPr>
      <w:drawing>
        <wp:inline distT="0" distB="0" distL="0" distR="0" wp14:anchorId="2F56601D" wp14:editId="1FB216A6">
          <wp:extent cx="2286000" cy="8210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TI logo RGB 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07406" cy="828785"/>
                  </a:xfrm>
                  <a:prstGeom prst="rect">
                    <a:avLst/>
                  </a:prstGeom>
                </pic:spPr>
              </pic:pic>
            </a:graphicData>
          </a:graphic>
        </wp:inline>
      </w:drawing>
    </w:r>
    <w:r w:rsidR="00163D7A">
      <w:rPr>
        <w:noProof/>
      </w:rPr>
      <w:pict w14:anchorId="0E1B97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35886" o:spid="_x0000_s2073" type="#_x0000_t75" style="position:absolute;margin-left:0;margin-top:0;width:595.45pt;height:841.9pt;z-index:-251658240;mso-position-horizontal:center;mso-position-horizontal-relative:margin;mso-position-vertical:center;mso-position-vertical-relative:margin" o:allowincell="f">
          <v:imagedata r:id="rId2" o:title="watermark_12pc_smalle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3C2"/>
    <w:multiLevelType w:val="hybridMultilevel"/>
    <w:tmpl w:val="7BF83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F87765"/>
    <w:multiLevelType w:val="hybridMultilevel"/>
    <w:tmpl w:val="40706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010E55"/>
    <w:multiLevelType w:val="hybridMultilevel"/>
    <w:tmpl w:val="1A8E1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950CD2"/>
    <w:multiLevelType w:val="multilevel"/>
    <w:tmpl w:val="24541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20582"/>
    <w:multiLevelType w:val="hybridMultilevel"/>
    <w:tmpl w:val="257C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0028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E794336"/>
    <w:multiLevelType w:val="hybridMultilevel"/>
    <w:tmpl w:val="437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C15D7"/>
    <w:multiLevelType w:val="hybridMultilevel"/>
    <w:tmpl w:val="3288D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7F1C0B"/>
    <w:multiLevelType w:val="hybridMultilevel"/>
    <w:tmpl w:val="0CE2B40E"/>
    <w:lvl w:ilvl="0" w:tplc="37C28B3C">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15:restartNumberingAfterBreak="0">
    <w:nsid w:val="23EF3BEF"/>
    <w:multiLevelType w:val="hybridMultilevel"/>
    <w:tmpl w:val="25580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79786B"/>
    <w:multiLevelType w:val="hybridMultilevel"/>
    <w:tmpl w:val="C9241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B309C"/>
    <w:multiLevelType w:val="hybridMultilevel"/>
    <w:tmpl w:val="1C1844C6"/>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2" w15:restartNumberingAfterBreak="0">
    <w:nsid w:val="25F15372"/>
    <w:multiLevelType w:val="hybridMultilevel"/>
    <w:tmpl w:val="EA72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6D3337"/>
    <w:multiLevelType w:val="hybridMultilevel"/>
    <w:tmpl w:val="ECEE1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A525CD"/>
    <w:multiLevelType w:val="hybridMultilevel"/>
    <w:tmpl w:val="D2489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8C3DD3"/>
    <w:multiLevelType w:val="hybridMultilevel"/>
    <w:tmpl w:val="2B40B69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9E1781"/>
    <w:multiLevelType w:val="hybridMultilevel"/>
    <w:tmpl w:val="A8007E1A"/>
    <w:lvl w:ilvl="0" w:tplc="27B83AD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C235C2"/>
    <w:multiLevelType w:val="hybridMultilevel"/>
    <w:tmpl w:val="37BEC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9C31EBF"/>
    <w:multiLevelType w:val="hybridMultilevel"/>
    <w:tmpl w:val="9416966C"/>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9" w15:restartNumberingAfterBreak="0">
    <w:nsid w:val="3E2F5DE4"/>
    <w:multiLevelType w:val="hybridMultilevel"/>
    <w:tmpl w:val="4BEE7188"/>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44385AB9"/>
    <w:multiLevelType w:val="hybridMultilevel"/>
    <w:tmpl w:val="4A6EE2A0"/>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0A19DA"/>
    <w:multiLevelType w:val="hybridMultilevel"/>
    <w:tmpl w:val="07AA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9F3116"/>
    <w:multiLevelType w:val="hybridMultilevel"/>
    <w:tmpl w:val="408C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5A4C4E"/>
    <w:multiLevelType w:val="hybridMultilevel"/>
    <w:tmpl w:val="17D46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953C5D"/>
    <w:multiLevelType w:val="hybridMultilevel"/>
    <w:tmpl w:val="FD484D8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67596B"/>
    <w:multiLevelType w:val="hybridMultilevel"/>
    <w:tmpl w:val="3D1228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A950DE"/>
    <w:multiLevelType w:val="hybridMultilevel"/>
    <w:tmpl w:val="38C0A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947D04"/>
    <w:multiLevelType w:val="hybridMultilevel"/>
    <w:tmpl w:val="AA9CB29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E903E4"/>
    <w:multiLevelType w:val="hybridMultilevel"/>
    <w:tmpl w:val="EC38E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7C26D7F"/>
    <w:multiLevelType w:val="hybridMultilevel"/>
    <w:tmpl w:val="D1CAC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727D0F"/>
    <w:multiLevelType w:val="hybridMultilevel"/>
    <w:tmpl w:val="EF3A3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4E6FDC"/>
    <w:multiLevelType w:val="hybridMultilevel"/>
    <w:tmpl w:val="4CCA4BB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613AFD"/>
    <w:multiLevelType w:val="hybridMultilevel"/>
    <w:tmpl w:val="9710D928"/>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275005"/>
    <w:multiLevelType w:val="hybridMultilevel"/>
    <w:tmpl w:val="2828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3062F"/>
    <w:multiLevelType w:val="hybridMultilevel"/>
    <w:tmpl w:val="E1087520"/>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46E7E27"/>
    <w:multiLevelType w:val="hybridMultilevel"/>
    <w:tmpl w:val="D0F85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1A1B94"/>
    <w:multiLevelType w:val="hybridMultilevel"/>
    <w:tmpl w:val="83DC2B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9AC7E1F"/>
    <w:multiLevelType w:val="hybridMultilevel"/>
    <w:tmpl w:val="5DD6748C"/>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BA17C4"/>
    <w:multiLevelType w:val="hybridMultilevel"/>
    <w:tmpl w:val="FFDA0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6"/>
  </w:num>
  <w:num w:numId="3">
    <w:abstractNumId w:val="33"/>
  </w:num>
  <w:num w:numId="4">
    <w:abstractNumId w:val="2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2"/>
  </w:num>
  <w:num w:numId="8">
    <w:abstractNumId w:val="30"/>
  </w:num>
  <w:num w:numId="9">
    <w:abstractNumId w:val="13"/>
  </w:num>
  <w:num w:numId="10">
    <w:abstractNumId w:val="38"/>
  </w:num>
  <w:num w:numId="11">
    <w:abstractNumId w:val="26"/>
  </w:num>
  <w:num w:numId="12">
    <w:abstractNumId w:val="22"/>
  </w:num>
  <w:num w:numId="13">
    <w:abstractNumId w:val="28"/>
  </w:num>
  <w:num w:numId="14">
    <w:abstractNumId w:val="14"/>
  </w:num>
  <w:num w:numId="15">
    <w:abstractNumId w:val="7"/>
  </w:num>
  <w:num w:numId="16">
    <w:abstractNumId w:val="36"/>
  </w:num>
  <w:num w:numId="17">
    <w:abstractNumId w:val="17"/>
  </w:num>
  <w:num w:numId="18">
    <w:abstractNumId w:val="21"/>
  </w:num>
  <w:num w:numId="19">
    <w:abstractNumId w:val="16"/>
  </w:num>
  <w:num w:numId="20">
    <w:abstractNumId w:val="0"/>
  </w:num>
  <w:num w:numId="21">
    <w:abstractNumId w:val="27"/>
  </w:num>
  <w:num w:numId="22">
    <w:abstractNumId w:val="24"/>
  </w:num>
  <w:num w:numId="23">
    <w:abstractNumId w:val="32"/>
  </w:num>
  <w:num w:numId="24">
    <w:abstractNumId w:val="34"/>
  </w:num>
  <w:num w:numId="25">
    <w:abstractNumId w:val="37"/>
  </w:num>
  <w:num w:numId="26">
    <w:abstractNumId w:val="3"/>
  </w:num>
  <w:num w:numId="27">
    <w:abstractNumId w:val="31"/>
  </w:num>
  <w:num w:numId="28">
    <w:abstractNumId w:val="15"/>
  </w:num>
  <w:num w:numId="29">
    <w:abstractNumId w:val="20"/>
  </w:num>
  <w:num w:numId="30">
    <w:abstractNumId w:val="35"/>
  </w:num>
  <w:num w:numId="31">
    <w:abstractNumId w:val="29"/>
  </w:num>
  <w:num w:numId="32">
    <w:abstractNumId w:val="2"/>
  </w:num>
  <w:num w:numId="33">
    <w:abstractNumId w:val="4"/>
  </w:num>
  <w:num w:numId="34">
    <w:abstractNumId w:val="1"/>
  </w:num>
  <w:num w:numId="35">
    <w:abstractNumId w:val="23"/>
  </w:num>
  <w:num w:numId="36">
    <w:abstractNumId w:val="9"/>
  </w:num>
  <w:num w:numId="37">
    <w:abstractNumId w:val="19"/>
  </w:num>
  <w:num w:numId="38">
    <w:abstractNumId w:val="1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trackRevisions/>
  <w:defaultTabStop w:val="720"/>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50"/>
    <w:rsid w:val="00000096"/>
    <w:rsid w:val="0000704C"/>
    <w:rsid w:val="00012685"/>
    <w:rsid w:val="00014E9B"/>
    <w:rsid w:val="0001747C"/>
    <w:rsid w:val="000241F6"/>
    <w:rsid w:val="00036651"/>
    <w:rsid w:val="00052AAF"/>
    <w:rsid w:val="00052BD8"/>
    <w:rsid w:val="00067047"/>
    <w:rsid w:val="00082EED"/>
    <w:rsid w:val="00085AAC"/>
    <w:rsid w:val="00085CC7"/>
    <w:rsid w:val="000A19F0"/>
    <w:rsid w:val="000A1B78"/>
    <w:rsid w:val="000B04C8"/>
    <w:rsid w:val="000B3E20"/>
    <w:rsid w:val="000B5971"/>
    <w:rsid w:val="000B6AEC"/>
    <w:rsid w:val="000C0924"/>
    <w:rsid w:val="000C5C8E"/>
    <w:rsid w:val="000D0B4A"/>
    <w:rsid w:val="000D404D"/>
    <w:rsid w:val="000D4F87"/>
    <w:rsid w:val="000E1C37"/>
    <w:rsid w:val="000E5390"/>
    <w:rsid w:val="000E54AA"/>
    <w:rsid w:val="000F3AF3"/>
    <w:rsid w:val="000F4409"/>
    <w:rsid w:val="000F5378"/>
    <w:rsid w:val="00107191"/>
    <w:rsid w:val="00110B5F"/>
    <w:rsid w:val="00122CA3"/>
    <w:rsid w:val="0013181B"/>
    <w:rsid w:val="00141B54"/>
    <w:rsid w:val="001559BC"/>
    <w:rsid w:val="00156FDA"/>
    <w:rsid w:val="00157B22"/>
    <w:rsid w:val="001600EE"/>
    <w:rsid w:val="00162322"/>
    <w:rsid w:val="001631A2"/>
    <w:rsid w:val="00163D7A"/>
    <w:rsid w:val="0017043F"/>
    <w:rsid w:val="00177A25"/>
    <w:rsid w:val="00192AED"/>
    <w:rsid w:val="001A3129"/>
    <w:rsid w:val="001B0123"/>
    <w:rsid w:val="001B6CC8"/>
    <w:rsid w:val="001C0914"/>
    <w:rsid w:val="001C141B"/>
    <w:rsid w:val="001C4D31"/>
    <w:rsid w:val="001C5A66"/>
    <w:rsid w:val="001D08E8"/>
    <w:rsid w:val="001D2A34"/>
    <w:rsid w:val="001F0855"/>
    <w:rsid w:val="002000E7"/>
    <w:rsid w:val="00210923"/>
    <w:rsid w:val="00211A7B"/>
    <w:rsid w:val="00213AF4"/>
    <w:rsid w:val="00216A09"/>
    <w:rsid w:val="00216EFB"/>
    <w:rsid w:val="00217205"/>
    <w:rsid w:val="002211EB"/>
    <w:rsid w:val="00232E6A"/>
    <w:rsid w:val="0023367B"/>
    <w:rsid w:val="00240328"/>
    <w:rsid w:val="00257DE7"/>
    <w:rsid w:val="002642AD"/>
    <w:rsid w:val="002706C7"/>
    <w:rsid w:val="0029241A"/>
    <w:rsid w:val="00296C2C"/>
    <w:rsid w:val="002A199A"/>
    <w:rsid w:val="002A4F56"/>
    <w:rsid w:val="002A748A"/>
    <w:rsid w:val="002B4753"/>
    <w:rsid w:val="002D0F61"/>
    <w:rsid w:val="002F542D"/>
    <w:rsid w:val="0030675B"/>
    <w:rsid w:val="00317B8F"/>
    <w:rsid w:val="0032516A"/>
    <w:rsid w:val="00330288"/>
    <w:rsid w:val="00331F38"/>
    <w:rsid w:val="00335717"/>
    <w:rsid w:val="00335CF9"/>
    <w:rsid w:val="00335DA1"/>
    <w:rsid w:val="00336350"/>
    <w:rsid w:val="00337A13"/>
    <w:rsid w:val="0034148D"/>
    <w:rsid w:val="003612FF"/>
    <w:rsid w:val="00366ED8"/>
    <w:rsid w:val="00375545"/>
    <w:rsid w:val="00380534"/>
    <w:rsid w:val="00380BA0"/>
    <w:rsid w:val="00384EF3"/>
    <w:rsid w:val="003877E5"/>
    <w:rsid w:val="00390AA9"/>
    <w:rsid w:val="003962DA"/>
    <w:rsid w:val="003A17CA"/>
    <w:rsid w:val="003A3CFF"/>
    <w:rsid w:val="003A7A5B"/>
    <w:rsid w:val="003B1EA2"/>
    <w:rsid w:val="003B5842"/>
    <w:rsid w:val="003D179A"/>
    <w:rsid w:val="003D4C30"/>
    <w:rsid w:val="003D7BF3"/>
    <w:rsid w:val="003E6B7A"/>
    <w:rsid w:val="003F2E61"/>
    <w:rsid w:val="003F754B"/>
    <w:rsid w:val="004004FA"/>
    <w:rsid w:val="004043E8"/>
    <w:rsid w:val="00414929"/>
    <w:rsid w:val="00425D8E"/>
    <w:rsid w:val="00426F80"/>
    <w:rsid w:val="0043545F"/>
    <w:rsid w:val="004368EE"/>
    <w:rsid w:val="00443D8C"/>
    <w:rsid w:val="004556E0"/>
    <w:rsid w:val="00455C91"/>
    <w:rsid w:val="0047682C"/>
    <w:rsid w:val="00491E1A"/>
    <w:rsid w:val="00494E60"/>
    <w:rsid w:val="00497644"/>
    <w:rsid w:val="004A7815"/>
    <w:rsid w:val="004C1A0A"/>
    <w:rsid w:val="004D7FAF"/>
    <w:rsid w:val="004E0599"/>
    <w:rsid w:val="004E5871"/>
    <w:rsid w:val="00503DD5"/>
    <w:rsid w:val="0051265E"/>
    <w:rsid w:val="00526747"/>
    <w:rsid w:val="00567110"/>
    <w:rsid w:val="00571476"/>
    <w:rsid w:val="00574E4D"/>
    <w:rsid w:val="00580B6B"/>
    <w:rsid w:val="00580C29"/>
    <w:rsid w:val="00582E82"/>
    <w:rsid w:val="00586C6A"/>
    <w:rsid w:val="005A0A6E"/>
    <w:rsid w:val="005A2AF5"/>
    <w:rsid w:val="005A5618"/>
    <w:rsid w:val="005A610E"/>
    <w:rsid w:val="005B08E2"/>
    <w:rsid w:val="005C31E9"/>
    <w:rsid w:val="005D2ED9"/>
    <w:rsid w:val="005D3459"/>
    <w:rsid w:val="005E1302"/>
    <w:rsid w:val="005F760D"/>
    <w:rsid w:val="00604F91"/>
    <w:rsid w:val="0061662B"/>
    <w:rsid w:val="00625A0D"/>
    <w:rsid w:val="00626DF5"/>
    <w:rsid w:val="006323FB"/>
    <w:rsid w:val="0063509E"/>
    <w:rsid w:val="0064211D"/>
    <w:rsid w:val="00655C3B"/>
    <w:rsid w:val="00663809"/>
    <w:rsid w:val="00674FF2"/>
    <w:rsid w:val="00677C5C"/>
    <w:rsid w:val="0068718E"/>
    <w:rsid w:val="006A6947"/>
    <w:rsid w:val="006B42D6"/>
    <w:rsid w:val="006D0E42"/>
    <w:rsid w:val="006E47FE"/>
    <w:rsid w:val="0070265F"/>
    <w:rsid w:val="00710E14"/>
    <w:rsid w:val="00711641"/>
    <w:rsid w:val="007168F9"/>
    <w:rsid w:val="00720BCE"/>
    <w:rsid w:val="00722A34"/>
    <w:rsid w:val="007271B2"/>
    <w:rsid w:val="00730AC2"/>
    <w:rsid w:val="0075473B"/>
    <w:rsid w:val="00760C52"/>
    <w:rsid w:val="00776424"/>
    <w:rsid w:val="00787D76"/>
    <w:rsid w:val="00793644"/>
    <w:rsid w:val="007A2C83"/>
    <w:rsid w:val="007A42AE"/>
    <w:rsid w:val="007B0C7D"/>
    <w:rsid w:val="007F056E"/>
    <w:rsid w:val="00815A4F"/>
    <w:rsid w:val="008205BA"/>
    <w:rsid w:val="008249A0"/>
    <w:rsid w:val="00825A02"/>
    <w:rsid w:val="00840AD7"/>
    <w:rsid w:val="00842299"/>
    <w:rsid w:val="0084387B"/>
    <w:rsid w:val="00847770"/>
    <w:rsid w:val="00852BAB"/>
    <w:rsid w:val="008546EE"/>
    <w:rsid w:val="00860C42"/>
    <w:rsid w:val="0086454E"/>
    <w:rsid w:val="0086519A"/>
    <w:rsid w:val="00870D25"/>
    <w:rsid w:val="00871765"/>
    <w:rsid w:val="00875849"/>
    <w:rsid w:val="0089066C"/>
    <w:rsid w:val="008928D3"/>
    <w:rsid w:val="008959D9"/>
    <w:rsid w:val="008A0FFB"/>
    <w:rsid w:val="008A21F1"/>
    <w:rsid w:val="008B190F"/>
    <w:rsid w:val="008C2EC4"/>
    <w:rsid w:val="008E266A"/>
    <w:rsid w:val="008E7F69"/>
    <w:rsid w:val="008F0E75"/>
    <w:rsid w:val="008F6E02"/>
    <w:rsid w:val="00900C0A"/>
    <w:rsid w:val="0091553A"/>
    <w:rsid w:val="0092168A"/>
    <w:rsid w:val="00936E2F"/>
    <w:rsid w:val="009544ED"/>
    <w:rsid w:val="00973FF1"/>
    <w:rsid w:val="009742EC"/>
    <w:rsid w:val="00977F49"/>
    <w:rsid w:val="00993590"/>
    <w:rsid w:val="00997BE6"/>
    <w:rsid w:val="009C6E63"/>
    <w:rsid w:val="009D39C8"/>
    <w:rsid w:val="009D4922"/>
    <w:rsid w:val="009E4123"/>
    <w:rsid w:val="009F1894"/>
    <w:rsid w:val="00A22DDA"/>
    <w:rsid w:val="00A265E3"/>
    <w:rsid w:val="00A2753E"/>
    <w:rsid w:val="00A306B0"/>
    <w:rsid w:val="00A36D8B"/>
    <w:rsid w:val="00A450B3"/>
    <w:rsid w:val="00A558B0"/>
    <w:rsid w:val="00A62BCF"/>
    <w:rsid w:val="00A74D97"/>
    <w:rsid w:val="00A84127"/>
    <w:rsid w:val="00A85467"/>
    <w:rsid w:val="00A87C4F"/>
    <w:rsid w:val="00AB53D1"/>
    <w:rsid w:val="00AC2056"/>
    <w:rsid w:val="00AC2C43"/>
    <w:rsid w:val="00AC39C2"/>
    <w:rsid w:val="00AE21B5"/>
    <w:rsid w:val="00AF0789"/>
    <w:rsid w:val="00B00BCF"/>
    <w:rsid w:val="00B020FE"/>
    <w:rsid w:val="00B0548A"/>
    <w:rsid w:val="00B0557A"/>
    <w:rsid w:val="00B109A0"/>
    <w:rsid w:val="00B144CC"/>
    <w:rsid w:val="00B21CDE"/>
    <w:rsid w:val="00B244A4"/>
    <w:rsid w:val="00B31423"/>
    <w:rsid w:val="00B32E03"/>
    <w:rsid w:val="00B36CB3"/>
    <w:rsid w:val="00B4772A"/>
    <w:rsid w:val="00B50AD2"/>
    <w:rsid w:val="00B730E8"/>
    <w:rsid w:val="00B7520A"/>
    <w:rsid w:val="00B76B1B"/>
    <w:rsid w:val="00B82BC6"/>
    <w:rsid w:val="00B87703"/>
    <w:rsid w:val="00B963B7"/>
    <w:rsid w:val="00B972BB"/>
    <w:rsid w:val="00BA173B"/>
    <w:rsid w:val="00BD5622"/>
    <w:rsid w:val="00BD6888"/>
    <w:rsid w:val="00BF370F"/>
    <w:rsid w:val="00C00298"/>
    <w:rsid w:val="00C143BD"/>
    <w:rsid w:val="00C17189"/>
    <w:rsid w:val="00C274CE"/>
    <w:rsid w:val="00C31CF3"/>
    <w:rsid w:val="00C323E9"/>
    <w:rsid w:val="00C501B6"/>
    <w:rsid w:val="00C51D9C"/>
    <w:rsid w:val="00C56E48"/>
    <w:rsid w:val="00C62657"/>
    <w:rsid w:val="00C67965"/>
    <w:rsid w:val="00C80929"/>
    <w:rsid w:val="00CA4F32"/>
    <w:rsid w:val="00CB1397"/>
    <w:rsid w:val="00CB222B"/>
    <w:rsid w:val="00CB39DF"/>
    <w:rsid w:val="00CB3D82"/>
    <w:rsid w:val="00CC7556"/>
    <w:rsid w:val="00CD0037"/>
    <w:rsid w:val="00CD6C13"/>
    <w:rsid w:val="00CF3BF3"/>
    <w:rsid w:val="00CF5814"/>
    <w:rsid w:val="00D13333"/>
    <w:rsid w:val="00D17110"/>
    <w:rsid w:val="00D22A96"/>
    <w:rsid w:val="00D22E4D"/>
    <w:rsid w:val="00D24E53"/>
    <w:rsid w:val="00D3307B"/>
    <w:rsid w:val="00D3329A"/>
    <w:rsid w:val="00D35263"/>
    <w:rsid w:val="00D522AD"/>
    <w:rsid w:val="00D5580F"/>
    <w:rsid w:val="00D563DD"/>
    <w:rsid w:val="00D719E6"/>
    <w:rsid w:val="00D81764"/>
    <w:rsid w:val="00D84333"/>
    <w:rsid w:val="00DA6C4A"/>
    <w:rsid w:val="00DB3678"/>
    <w:rsid w:val="00DC12A3"/>
    <w:rsid w:val="00DC5D06"/>
    <w:rsid w:val="00DD20B7"/>
    <w:rsid w:val="00DF2A89"/>
    <w:rsid w:val="00E025F7"/>
    <w:rsid w:val="00E0303D"/>
    <w:rsid w:val="00E033C1"/>
    <w:rsid w:val="00E07BAA"/>
    <w:rsid w:val="00E119B0"/>
    <w:rsid w:val="00E1288B"/>
    <w:rsid w:val="00E25FFE"/>
    <w:rsid w:val="00E33CF9"/>
    <w:rsid w:val="00E40F10"/>
    <w:rsid w:val="00E45911"/>
    <w:rsid w:val="00E51AF0"/>
    <w:rsid w:val="00E53B7B"/>
    <w:rsid w:val="00E55985"/>
    <w:rsid w:val="00E57E32"/>
    <w:rsid w:val="00E73980"/>
    <w:rsid w:val="00E8033E"/>
    <w:rsid w:val="00E804C3"/>
    <w:rsid w:val="00E95EC2"/>
    <w:rsid w:val="00EA1A5D"/>
    <w:rsid w:val="00EA550D"/>
    <w:rsid w:val="00EA5E3F"/>
    <w:rsid w:val="00EB150A"/>
    <w:rsid w:val="00EB5D27"/>
    <w:rsid w:val="00EC511D"/>
    <w:rsid w:val="00EC61FB"/>
    <w:rsid w:val="00ED172A"/>
    <w:rsid w:val="00EE3DA8"/>
    <w:rsid w:val="00EE45F4"/>
    <w:rsid w:val="00EE49EA"/>
    <w:rsid w:val="00EF25A3"/>
    <w:rsid w:val="00EF3314"/>
    <w:rsid w:val="00EF4DAB"/>
    <w:rsid w:val="00F06E5E"/>
    <w:rsid w:val="00F12621"/>
    <w:rsid w:val="00F37354"/>
    <w:rsid w:val="00F53D7E"/>
    <w:rsid w:val="00F54C24"/>
    <w:rsid w:val="00F65BFA"/>
    <w:rsid w:val="00F72A27"/>
    <w:rsid w:val="00F80DB0"/>
    <w:rsid w:val="00F812B5"/>
    <w:rsid w:val="00F83E52"/>
    <w:rsid w:val="00F9388B"/>
    <w:rsid w:val="00F94660"/>
    <w:rsid w:val="00FA2B7C"/>
    <w:rsid w:val="00FA47B2"/>
    <w:rsid w:val="00FC444E"/>
    <w:rsid w:val="00FC4743"/>
    <w:rsid w:val="00FD650D"/>
    <w:rsid w:val="00FD756F"/>
    <w:rsid w:val="00FE299F"/>
    <w:rsid w:val="00FE52F1"/>
    <w:rsid w:val="00FE72FA"/>
    <w:rsid w:val="00FF67AD"/>
    <w:rsid w:val="287D7138"/>
    <w:rsid w:val="2C466485"/>
    <w:rsid w:val="5FB2C834"/>
    <w:rsid w:val="656D8FEF"/>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6"/>
    <o:shapelayout v:ext="edit">
      <o:idmap v:ext="edit" data="1"/>
    </o:shapelayout>
  </w:shapeDefaults>
  <w:decimalSymbol w:val="."/>
  <w:listSeparator w:val=","/>
  <w14:docId w14:val="0C9E3D05"/>
  <w15:docId w15:val="{A26135DF-48D1-40CC-A5D4-0783E7897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929"/>
  </w:style>
  <w:style w:type="paragraph" w:styleId="Heading1">
    <w:name w:val="heading 1"/>
    <w:basedOn w:val="Normal"/>
    <w:next w:val="Normal"/>
    <w:link w:val="Heading1Char"/>
    <w:uiPriority w:val="9"/>
    <w:qFormat/>
    <w:rsid w:val="00336350"/>
    <w:pPr>
      <w:keepNext/>
      <w:keepLines/>
      <w:spacing w:before="480" w:after="0"/>
      <w:outlineLvl w:val="0"/>
    </w:pPr>
    <w:rPr>
      <w:rFonts w:asciiTheme="majorHAnsi" w:eastAsiaTheme="majorEastAsia" w:hAnsiTheme="majorHAnsi" w:cstheme="majorBidi"/>
      <w:b/>
      <w:bCs/>
      <w:color w:val="809120" w:themeColor="accent1" w:themeShade="BF"/>
      <w:szCs w:val="28"/>
    </w:rPr>
  </w:style>
  <w:style w:type="paragraph" w:styleId="Heading2">
    <w:name w:val="heading 2"/>
    <w:basedOn w:val="Normal"/>
    <w:next w:val="Normal"/>
    <w:link w:val="Heading2Char"/>
    <w:uiPriority w:val="9"/>
    <w:unhideWhenUsed/>
    <w:qFormat/>
    <w:rsid w:val="00C501B6"/>
    <w:pPr>
      <w:keepNext/>
      <w:keepLines/>
      <w:spacing w:before="100" w:after="0" w:line="240" w:lineRule="auto"/>
      <w:ind w:left="578" w:hanging="578"/>
      <w:outlineLvl w:val="1"/>
    </w:pPr>
    <w:rPr>
      <w:rFonts w:ascii="Arial" w:eastAsiaTheme="majorEastAsia" w:hAnsi="Arial"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1B6"/>
    <w:rPr>
      <w:rFonts w:ascii="Arial" w:eastAsiaTheme="majorEastAsia" w:hAnsi="Arial" w:cstheme="majorBidi"/>
      <w:b/>
      <w:bCs/>
      <w:szCs w:val="26"/>
    </w:rPr>
  </w:style>
  <w:style w:type="paragraph" w:styleId="Header">
    <w:name w:val="header"/>
    <w:basedOn w:val="Normal"/>
    <w:link w:val="HeaderChar"/>
    <w:uiPriority w:val="99"/>
    <w:unhideWhenUsed/>
    <w:rsid w:val="00336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350"/>
  </w:style>
  <w:style w:type="paragraph" w:styleId="Footer">
    <w:name w:val="footer"/>
    <w:basedOn w:val="Normal"/>
    <w:link w:val="FooterChar"/>
    <w:uiPriority w:val="99"/>
    <w:unhideWhenUsed/>
    <w:rsid w:val="00336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350"/>
  </w:style>
  <w:style w:type="paragraph" w:styleId="BalloonText">
    <w:name w:val="Balloon Text"/>
    <w:basedOn w:val="Normal"/>
    <w:link w:val="BalloonTextChar"/>
    <w:uiPriority w:val="99"/>
    <w:semiHidden/>
    <w:unhideWhenUsed/>
    <w:rsid w:val="00336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350"/>
    <w:rPr>
      <w:rFonts w:ascii="Tahoma" w:hAnsi="Tahoma" w:cs="Tahoma"/>
      <w:sz w:val="16"/>
      <w:szCs w:val="16"/>
    </w:rPr>
  </w:style>
  <w:style w:type="character" w:customStyle="1" w:styleId="Heading1Char">
    <w:name w:val="Heading 1 Char"/>
    <w:basedOn w:val="DefaultParagraphFont"/>
    <w:link w:val="Heading1"/>
    <w:uiPriority w:val="9"/>
    <w:rsid w:val="00336350"/>
    <w:rPr>
      <w:rFonts w:asciiTheme="majorHAnsi" w:eastAsiaTheme="majorEastAsia" w:hAnsiTheme="majorHAnsi" w:cstheme="majorBidi"/>
      <w:b/>
      <w:bCs/>
      <w:color w:val="809120" w:themeColor="accent1" w:themeShade="BF"/>
      <w:szCs w:val="28"/>
    </w:rPr>
  </w:style>
  <w:style w:type="paragraph" w:styleId="ListParagraph">
    <w:name w:val="List Paragraph"/>
    <w:basedOn w:val="Normal"/>
    <w:uiPriority w:val="34"/>
    <w:qFormat/>
    <w:rsid w:val="00014E9B"/>
    <w:pPr>
      <w:ind w:left="720"/>
      <w:contextualSpacing/>
    </w:pPr>
  </w:style>
  <w:style w:type="character" w:styleId="CommentReference">
    <w:name w:val="annotation reference"/>
    <w:basedOn w:val="DefaultParagraphFont"/>
    <w:uiPriority w:val="99"/>
    <w:semiHidden/>
    <w:unhideWhenUsed/>
    <w:rsid w:val="000F5378"/>
    <w:rPr>
      <w:sz w:val="16"/>
      <w:szCs w:val="16"/>
    </w:rPr>
  </w:style>
  <w:style w:type="paragraph" w:styleId="CommentText">
    <w:name w:val="annotation text"/>
    <w:basedOn w:val="Normal"/>
    <w:link w:val="CommentTextChar"/>
    <w:uiPriority w:val="99"/>
    <w:unhideWhenUsed/>
    <w:rsid w:val="000F5378"/>
    <w:pPr>
      <w:spacing w:line="240" w:lineRule="auto"/>
    </w:pPr>
    <w:rPr>
      <w:sz w:val="20"/>
      <w:szCs w:val="20"/>
    </w:rPr>
  </w:style>
  <w:style w:type="character" w:customStyle="1" w:styleId="CommentTextChar">
    <w:name w:val="Comment Text Char"/>
    <w:basedOn w:val="DefaultParagraphFont"/>
    <w:link w:val="CommentText"/>
    <w:uiPriority w:val="99"/>
    <w:rsid w:val="000F5378"/>
    <w:rPr>
      <w:sz w:val="20"/>
      <w:szCs w:val="20"/>
    </w:rPr>
  </w:style>
  <w:style w:type="paragraph" w:styleId="CommentSubject">
    <w:name w:val="annotation subject"/>
    <w:basedOn w:val="CommentText"/>
    <w:next w:val="CommentText"/>
    <w:link w:val="CommentSubjectChar"/>
    <w:uiPriority w:val="99"/>
    <w:semiHidden/>
    <w:unhideWhenUsed/>
    <w:rsid w:val="000F5378"/>
    <w:rPr>
      <w:b/>
      <w:bCs/>
    </w:rPr>
  </w:style>
  <w:style w:type="character" w:customStyle="1" w:styleId="CommentSubjectChar">
    <w:name w:val="Comment Subject Char"/>
    <w:basedOn w:val="CommentTextChar"/>
    <w:link w:val="CommentSubject"/>
    <w:uiPriority w:val="99"/>
    <w:semiHidden/>
    <w:rsid w:val="000F5378"/>
    <w:rPr>
      <w:b/>
      <w:bCs/>
      <w:sz w:val="20"/>
      <w:szCs w:val="20"/>
    </w:rPr>
  </w:style>
  <w:style w:type="paragraph" w:styleId="Revision">
    <w:name w:val="Revision"/>
    <w:hidden/>
    <w:uiPriority w:val="99"/>
    <w:semiHidden/>
    <w:rsid w:val="000F5378"/>
    <w:pPr>
      <w:spacing w:after="0" w:line="240" w:lineRule="auto"/>
    </w:pPr>
  </w:style>
  <w:style w:type="table" w:customStyle="1" w:styleId="TableGrid1">
    <w:name w:val="Table Grid1"/>
    <w:basedOn w:val="TableNormal"/>
    <w:next w:val="TableGrid"/>
    <w:uiPriority w:val="39"/>
    <w:rsid w:val="005B08E2"/>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B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20A"/>
    <w:rPr>
      <w:color w:val="ACC32B" w:themeColor="hyperlink"/>
      <w:u w:val="single"/>
    </w:rPr>
  </w:style>
  <w:style w:type="character" w:styleId="FollowedHyperlink">
    <w:name w:val="FollowedHyperlink"/>
    <w:basedOn w:val="DefaultParagraphFont"/>
    <w:uiPriority w:val="99"/>
    <w:semiHidden/>
    <w:unhideWhenUsed/>
    <w:rsid w:val="00192AED"/>
    <w:rPr>
      <w:color w:val="007244" w:themeColor="followedHyperlink"/>
      <w:u w:val="single"/>
    </w:rPr>
  </w:style>
  <w:style w:type="paragraph" w:styleId="FootnoteText">
    <w:name w:val="footnote text"/>
    <w:basedOn w:val="Normal"/>
    <w:link w:val="FootnoteTextChar"/>
    <w:uiPriority w:val="99"/>
    <w:semiHidden/>
    <w:unhideWhenUsed/>
    <w:rsid w:val="00C323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23E9"/>
    <w:rPr>
      <w:sz w:val="20"/>
      <w:szCs w:val="20"/>
    </w:rPr>
  </w:style>
  <w:style w:type="character" w:styleId="FootnoteReference">
    <w:name w:val="footnote reference"/>
    <w:basedOn w:val="DefaultParagraphFont"/>
    <w:uiPriority w:val="99"/>
    <w:semiHidden/>
    <w:unhideWhenUsed/>
    <w:rsid w:val="00C323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368352">
      <w:bodyDiv w:val="1"/>
      <w:marLeft w:val="0"/>
      <w:marRight w:val="0"/>
      <w:marTop w:val="0"/>
      <w:marBottom w:val="0"/>
      <w:divBdr>
        <w:top w:val="none" w:sz="0" w:space="0" w:color="auto"/>
        <w:left w:val="none" w:sz="0" w:space="0" w:color="auto"/>
        <w:bottom w:val="none" w:sz="0" w:space="0" w:color="auto"/>
        <w:right w:val="none" w:sz="0" w:space="0" w:color="auto"/>
      </w:divBdr>
    </w:div>
    <w:div w:id="843470425">
      <w:bodyDiv w:val="1"/>
      <w:marLeft w:val="0"/>
      <w:marRight w:val="0"/>
      <w:marTop w:val="0"/>
      <w:marBottom w:val="0"/>
      <w:divBdr>
        <w:top w:val="none" w:sz="0" w:space="0" w:color="auto"/>
        <w:left w:val="none" w:sz="0" w:space="0" w:color="auto"/>
        <w:bottom w:val="none" w:sz="0" w:space="0" w:color="auto"/>
        <w:right w:val="none" w:sz="0" w:space="0" w:color="auto"/>
      </w:divBdr>
    </w:div>
    <w:div w:id="1461418057">
      <w:bodyDiv w:val="1"/>
      <w:marLeft w:val="0"/>
      <w:marRight w:val="0"/>
      <w:marTop w:val="0"/>
      <w:marBottom w:val="0"/>
      <w:divBdr>
        <w:top w:val="none" w:sz="0" w:space="0" w:color="auto"/>
        <w:left w:val="none" w:sz="0" w:space="0" w:color="auto"/>
        <w:bottom w:val="none" w:sz="0" w:space="0" w:color="auto"/>
        <w:right w:val="none" w:sz="0" w:space="0" w:color="auto"/>
      </w:divBdr>
    </w:div>
    <w:div w:id="20210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IATI">
      <a:dk1>
        <a:srgbClr val="3B3B3B"/>
      </a:dk1>
      <a:lt1>
        <a:srgbClr val="FBFCF2"/>
      </a:lt1>
      <a:dk2>
        <a:srgbClr val="25247B"/>
      </a:dk2>
      <a:lt2>
        <a:srgbClr val="EEECE1"/>
      </a:lt2>
      <a:accent1>
        <a:srgbClr val="ACC32B"/>
      </a:accent1>
      <a:accent2>
        <a:srgbClr val="007244"/>
      </a:accent2>
      <a:accent3>
        <a:srgbClr val="0092D0"/>
      </a:accent3>
      <a:accent4>
        <a:srgbClr val="25247B"/>
      </a:accent4>
      <a:accent5>
        <a:srgbClr val="21BAFF"/>
      </a:accent5>
      <a:accent6>
        <a:srgbClr val="4D4DCB"/>
      </a:accent6>
      <a:hlink>
        <a:srgbClr val="ACC32B"/>
      </a:hlink>
      <a:folHlink>
        <a:srgbClr val="007244"/>
      </a:folHlink>
    </a:clrScheme>
    <a:fontScheme name="IATI theme">
      <a:majorFont>
        <a:latin typeface="Arial"/>
        <a:ea typeface="Arial Unicode MS"/>
        <a:cs typeface=""/>
      </a:majorFont>
      <a:minorFont>
        <a:latin typeface="Arial"/>
        <a:ea typeface="Arial Unicode MS"/>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22CDC-63FE-463D-9D79-EF432E46F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UNOPS</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Board Chair</dc:creator>
  <cp:lastModifiedBy>Canada</cp:lastModifiedBy>
  <cp:revision>3</cp:revision>
  <cp:lastPrinted>2016-04-25T14:52:00Z</cp:lastPrinted>
  <dcterms:created xsi:type="dcterms:W3CDTF">2016-05-19T20:01:00Z</dcterms:created>
  <dcterms:modified xsi:type="dcterms:W3CDTF">2016-05-19T20:09:00Z</dcterms:modified>
</cp:coreProperties>
</file>