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C96"/>
          <w:sz w:val="56"/>
        </w:rPr>
        <w:t>Enterprise-RAG-V2</w:t>
      </w:r>
    </w:p>
    <w:p>
      <w:pPr>
        <w:jc w:val="center"/>
      </w:pPr>
      <w:r>
        <w:rPr>
          <w:b w:val="0"/>
          <w:color w:val="1A1A2E"/>
          <w:sz w:val="32"/>
        </w:rPr>
        <w:t>Improvement &amp; Scalability Plan</w:t>
      </w:r>
    </w:p>
    <w:p/>
    <w:p>
      <w:pPr>
        <w:jc w:val="center"/>
      </w:pPr>
      <w:r>
        <w:rPr>
          <w:i/>
          <w:color w:val="8090A0"/>
          <w:sz w:val="20"/>
        </w:rPr>
        <w:t>July 2026  ·  Confidential</w:t>
      </w:r>
    </w:p>
    <w:p/>
    <w:p/>
    <w:p>
      <w:pPr>
        <w:spacing w:before="280" w:after="80"/>
      </w:pPr>
      <w:r>
        <w:rPr>
          <w:b/>
          <w:color w:val="0F3C96"/>
          <w:sz w:val="32"/>
        </w:rPr>
        <w:t>1.  GUI / UX Improvements</w:t>
      </w:r>
    </w:p>
    <w:p>
      <w:pPr>
        <w:spacing w:after="60"/>
      </w:pPr>
      <w:r>
        <w:rPr>
          <w:b w:val="0"/>
          <w:i w:val="0"/>
          <w:color w:val="1F2D3D"/>
          <w:sz w:val="21"/>
        </w:rPr>
        <w:t>The current frontend is a single App.tsx file of ~3,400 lines — a monolith that requires decomposition and UX refinement before any new features are added.</w:t>
      </w:r>
    </w:p>
    <w:p>
      <w:pPr>
        <w:spacing w:before="160" w:after="80"/>
      </w:pPr>
      <w:r>
        <w:rPr>
          <w:b/>
          <w:color w:val="1A1A2E"/>
          <w:sz w:val="26"/>
        </w:rPr>
        <w:t>1.1  Component Architecture Refactoring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Current Problem</w:t>
            </w:r>
          </w:p>
        </w:tc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Recommended Fix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3,400-line monolithic App.tsx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Split into components/, pages/, hooks/ directories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All state in one useState tree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Introduce React Context or Zustand for global state management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API calls inline inside component bodies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Extract into a dedicated services/api.ts layer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loading skeletons on data fetches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Skeleton UI loaders for health checks and query results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1.2  Missing UI Pages /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312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Missing Feature</w:t>
            </w:r>
          </w:p>
        </w:tc>
        <w:tc>
          <w:tcPr>
            <w:tcW w:type="dxa" w:w="5904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1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Document Library Browser</w:t>
            </w:r>
          </w:p>
        </w:tc>
        <w:tc>
          <w:tcPr>
            <w:tcW w:type="dxa" w:w="590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Browse, preview, and filter all ingested documents with metadata (size, version, date, chunk count)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Tenant Analytics Dashboard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Per-tenant query volume, TTFT trends, and top queried documents using Plotly charts</w:t>
            </w:r>
          </w:p>
        </w:tc>
      </w:tr>
      <w:tr>
        <w:tc>
          <w:tcPr>
            <w:tcW w:type="dxa" w:w="331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Eval Run Comparison View</w:t>
            </w:r>
          </w:p>
        </w:tc>
        <w:tc>
          <w:tcPr>
            <w:tcW w:type="dxa" w:w="590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Side-by-side metric comparison with delta badges (↑ ↓) between two evaluation runs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System Settings Page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Dedicated settings page instead of inline modals for connection profiles</w:t>
            </w:r>
          </w:p>
        </w:tc>
      </w:tr>
      <w:tr>
        <w:tc>
          <w:tcPr>
            <w:tcW w:type="dxa" w:w="331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Bulk Upload Progress Tracker</w:t>
            </w:r>
          </w:p>
        </w:tc>
        <w:tc>
          <w:tcPr>
            <w:tcW w:type="dxa" w:w="590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Real-time per-file progress bars during multi-file ingestion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Dark/Light Theme Persistence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Theme preference currently resets on page refresh — persist to localStorage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1.3  Accessibility &amp; Responsiveness</w:t>
      </w:r>
    </w:p>
    <w:p>
      <w:pPr>
        <w:pStyle w:val="ListBullet"/>
        <w:spacing w:after="40"/>
        <w:ind w:left="432"/>
      </w:pPr>
      <w:r>
        <w:rPr>
          <w:color w:val="1F2D3D"/>
          <w:sz w:val="21"/>
        </w:rPr>
        <w:t>Add aria-label attributes to all interactive elements for screen reader support</w:t>
      </w:r>
    </w:p>
    <w:p>
      <w:pPr>
        <w:pStyle w:val="ListBullet"/>
        <w:spacing w:after="40"/>
        <w:ind w:left="432"/>
      </w:pPr>
      <w:r>
        <w:rPr>
          <w:color w:val="1F2D3D"/>
          <w:sz w:val="21"/>
        </w:rPr>
        <w:t>Add responsive CSS breakpoints — the UI currently only optimises for desktop widths</w:t>
      </w:r>
    </w:p>
    <w:p>
      <w:pPr>
        <w:pStyle w:val="ListBullet"/>
        <w:spacing w:after="40"/>
        <w:ind w:left="432"/>
      </w:pPr>
      <w:r>
        <w:rPr>
          <w:color w:val="1F2D3D"/>
          <w:sz w:val="21"/>
        </w:rPr>
        <w:t>Add full keyboard navigation support for modals and dropdown menus</w:t>
      </w:r>
    </w:p>
    <w:p/>
    <w:p>
      <w:pPr>
        <w:spacing w:before="280" w:after="80"/>
      </w:pPr>
      <w:r>
        <w:rPr>
          <w:b/>
          <w:color w:val="0F3C96"/>
          <w:sz w:val="32"/>
        </w:rPr>
        <w:t>2.  Application Feature Improvements</w:t>
      </w:r>
    </w:p>
    <w:p>
      <w:pPr>
        <w:spacing w:before="160" w:after="80"/>
      </w:pPr>
      <w:r>
        <w:rPr>
          <w:b/>
          <w:color w:val="1A1A2E"/>
          <w:sz w:val="26"/>
        </w:rPr>
        <w:t>2.1  Ingestion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Current Limitation</w:t>
            </w:r>
          </w:p>
        </w:tc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Recommended Enhancement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Files processed synchronously in the API thread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Move ingestion to a background task queue (Celery + Redis or ARQ)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support for .docx, .txt, .csv, .pptx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document loaders for all common enterprise formats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per-chunk metadata enrichment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ingested_at, page_count, word_count, doc_language to chunk payloads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_deprecate_existing_versions limited to 1,000 points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Use paginated scroll loop to deprecate all points regardless of document size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ingestion webhook or callback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a POST webhook endpoint per ingestion job for CI/CD pipeline triggers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2.2  Retrieval &amp; Generation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Current Limitation</w:t>
            </w:r>
          </w:p>
        </w:tc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Recommended Enhancement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Dense vector search only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Hybrid Search (dense + BM25 sparse vectors) using Qdrant's built-in sparse support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System prompt hardcoded for HR domain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Make system prompt tenant-configurable via a prompt template registry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conversation memory in RAG queries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a sliding window message history to the RAG query endpoint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citation confidence score display in UI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Show reranker scores alongside source/page in the citation panel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Static context window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dynamic context window management using token budget calculation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2.3  Security &amp; Multi-Tenancy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Current Limitation</w:t>
            </w:r>
          </w:p>
        </w:tc>
        <w:tc>
          <w:tcPr>
            <w:tcW w:type="dxa" w:w="460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Recommended Enhancement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authentication on FastAPI endpoints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JWT or API Key authentication middleware on all routes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Tenant isolation is logical only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Add Qdrant collection-level isolation as a strict mode option</w:t>
            </w:r>
          </w:p>
        </w:tc>
      </w:tr>
      <w:tr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Config stored in Fernet-encrypted local file</w:t>
            </w:r>
          </w:p>
        </w:tc>
        <w:tc>
          <w:tcPr>
            <w:tcW w:type="dxa" w:w="460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Integrate HashiCorp Vault or AWS Secrets Manager for team environments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audit logging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Log all ingestion, query, and config change events to a structured log sink</w:t>
            </w:r>
          </w:p>
        </w:tc>
      </w:tr>
    </w:tbl>
    <w:p/>
    <w:p/>
    <w:p>
      <w:pPr>
        <w:spacing w:before="280" w:after="80"/>
      </w:pPr>
      <w:r>
        <w:rPr>
          <w:b/>
          <w:color w:val="0F3C96"/>
          <w:sz w:val="32"/>
        </w:rPr>
        <w:t>3.  100K PDF Ingestion — Scalability Architecture</w:t>
      </w:r>
    </w:p>
    <w:p>
      <w:pPr>
        <w:spacing w:after="60"/>
      </w:pPr>
      <w:r>
        <w:rPr>
          <w:b w:val="0"/>
          <w:i w:val="0"/>
          <w:color w:val="1F2D3D"/>
          <w:sz w:val="21"/>
        </w:rPr>
        <w:t>The current architecture is synchronous and single-node. Scaling to 100,000 PDFs requires a fundamental shift to an asynchronous, distributed processing model.</w:t>
      </w:r>
    </w:p>
    <w:p>
      <w:pPr>
        <w:spacing w:before="160" w:after="80"/>
      </w:pPr>
      <w:r>
        <w:rPr>
          <w:b/>
          <w:color w:val="1A1A2E"/>
          <w:sz w:val="26"/>
        </w:rPr>
        <w:t>3.1  Bottleneck Analysis</w:t>
      </w:r>
    </w:p>
    <w:p>
      <w:pPr>
        <w:spacing w:after="120"/>
        <w:ind w:left="432" w:right="432"/>
      </w:pPr>
      <w:r>
        <w:rPr>
          <w:b/>
          <w:color w:val="0F3C96"/>
          <w:sz w:val="21"/>
        </w:rPr>
        <w:t xml:space="preserve">⚠  CAUTION:  </w:t>
      </w:r>
      <w:r>
        <w:rPr>
          <w:i/>
          <w:color w:val="1F2D3D"/>
          <w:sz w:val="21"/>
        </w:rPr>
        <w:t>The current pipeline processes one file at a time inside the HTTP request thread. At 100K PDFs (avg. 20 pages each = ~2M pages), at ~2s/page processing speed, this would take approximately 460 hours on a single worker. Parallelism is mandatory.</w:t>
      </w:r>
    </w:p>
    <w:p>
      <w:pPr>
        <w:spacing w:before="160" w:after="80"/>
      </w:pPr>
      <w:r>
        <w:rPr>
          <w:b/>
          <w:color w:val="1A1A2E"/>
          <w:sz w:val="26"/>
        </w:rPr>
        <w:t>3.2  Required Infrastructure Changes</w:t>
      </w:r>
    </w:p>
    <w:p>
      <w:pPr>
        <w:spacing w:before="160" w:after="80"/>
      </w:pPr>
      <w:r>
        <w:rPr>
          <w:b/>
          <w:color w:val="1A1A2E"/>
          <w:sz w:val="26"/>
        </w:rPr>
        <w:t>A.  Asynchronous Job Queue</w:t>
      </w:r>
    </w:p>
    <w:p>
      <w:pPr>
        <w:spacing w:after="60"/>
        <w:ind w:left="432"/>
      </w:pPr>
      <w:r>
        <w:rPr>
          <w:b w:val="0"/>
          <w:i w:val="0"/>
          <w:color w:val="1F2D3D"/>
          <w:sz w:val="21"/>
        </w:rPr>
        <w:t>Replace the synchronous ingestion API call with a background job system that returns immediately with a job_id for polling.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616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Technology Options</w:t>
            </w:r>
          </w:p>
        </w:tc>
      </w:tr>
      <w:tr>
        <w:tc>
          <w:tcPr>
            <w:tcW w:type="dxa" w:w="360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Task Queue</w:t>
            </w:r>
          </w:p>
        </w:tc>
        <w:tc>
          <w:tcPr>
            <w:tcW w:type="dxa" w:w="561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Celery + Redis, ARQ (async Redis Queue), or RQ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Message Broker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Redis (simple) or RabbitMQ (enterprise-grade)</w:t>
            </w:r>
          </w:p>
        </w:tc>
      </w:tr>
      <w:tr>
        <w:tc>
          <w:tcPr>
            <w:tcW w:type="dxa" w:w="360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Job Status Store</w:t>
            </w:r>
          </w:p>
        </w:tc>
        <w:tc>
          <w:tcPr>
            <w:tcW w:type="dxa" w:w="561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Redis (TTL-based) or PostgreSQL ingestion_jobs table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Worker Auto-Scaling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Kubernetes HPA (Horizontal Pod Autoscaler) or Docker Swarm replicas</w:t>
            </w:r>
          </w:p>
        </w:tc>
      </w:tr>
    </w:tbl>
    <w:p/>
    <w:p>
      <w:pPr>
        <w:spacing w:after="60"/>
        <w:ind w:left="432"/>
      </w:pPr>
      <w:r>
        <w:rPr>
          <w:b/>
          <w:i w:val="0"/>
          <w:color w:val="1F2D3D"/>
          <w:sz w:val="21"/>
        </w:rPr>
        <w:t>New API contract:</w:t>
      </w:r>
    </w:p>
    <w:p>
      <w:pPr>
        <w:pStyle w:val="ListBullet"/>
        <w:spacing w:after="40"/>
        <w:ind w:left="432"/>
      </w:pPr>
      <w:r>
        <w:rPr>
          <w:color w:val="1F2D3D"/>
          <w:sz w:val="21"/>
        </w:rPr>
        <w:t>POST /api/tenants/{tenant_id}/ingest  →  returns { job_id, status: 'queued' }</w:t>
      </w:r>
    </w:p>
    <w:p>
      <w:pPr>
        <w:pStyle w:val="ListBullet"/>
        <w:spacing w:after="40"/>
        <w:ind w:left="432"/>
      </w:pPr>
      <w:r>
        <w:rPr>
          <w:color w:val="1F2D3D"/>
          <w:sz w:val="21"/>
        </w:rPr>
        <w:t>GET  /api/jobs/{job_id}/status        →  returns { status, progress: 0.6, files_done: 3 }</w:t>
      </w:r>
    </w:p>
    <w:p>
      <w:pPr>
        <w:spacing w:before="160" w:after="80"/>
      </w:pPr>
      <w:r>
        <w:rPr>
          <w:b/>
          <w:color w:val="1A1A2E"/>
          <w:sz w:val="26"/>
        </w:rPr>
        <w:t>B.  TEI Embedding Cluster</w:t>
      </w:r>
    </w:p>
    <w:p>
      <w:pPr>
        <w:spacing w:after="60"/>
        <w:ind w:left="432"/>
      </w:pPr>
      <w:r>
        <w:rPr>
          <w:b w:val="0"/>
          <w:i w:val="0"/>
          <w:color w:val="1F2D3D"/>
          <w:sz w:val="21"/>
        </w:rPr>
        <w:t>The current TEI server has a 16-chunk batch limit and is single-node. A load-balanced GPU cluster is needed for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184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03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Multiple embedding servers</w:t>
            </w:r>
          </w:p>
        </w:tc>
        <w:tc>
          <w:tcPr>
            <w:tcW w:type="dxa" w:w="51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Nginx / Traefik round-robin across N TEI GPU replicas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GPU-accelerated TEI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Use text-embeddings-inference:latest (CUDA image)</w:t>
            </w:r>
          </w:p>
        </w:tc>
      </w:tr>
      <w:tr>
        <w:tc>
          <w:tcPr>
            <w:tcW w:type="dxa" w:w="403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Configurable batch size</w:t>
            </w:r>
          </w:p>
        </w:tc>
        <w:tc>
          <w:tcPr>
            <w:tcW w:type="dxa" w:w="51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Expose MAX_SERVER_BATCH as environment variable (currently hardcoded to 16)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Throughput estimate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1× A10G GPU TEI = ~30,000 chunks/min; 3 GPUs = ~90,000 chunks/min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C.  Qdrant Distributed Mode</w:t>
      </w:r>
    </w:p>
    <w:p>
      <w:pPr>
        <w:spacing w:after="60"/>
        <w:ind w:left="432"/>
      </w:pPr>
      <w:r>
        <w:rPr>
          <w:b w:val="0"/>
          <w:i w:val="0"/>
          <w:color w:val="1F2D3D"/>
          <w:sz w:val="21"/>
        </w:rPr>
        <w:t>The current single Qdrant node will struggle beyond ~1M vectors. At 100K PDFs × avg 50 chunks = ~5M vectors, a distributed cluster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5184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03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Single node memory limit</w:t>
            </w:r>
          </w:p>
        </w:tc>
        <w:tc>
          <w:tcPr>
            <w:tcW w:type="dxa" w:w="51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Deploy Qdrant in distributed cluster mode (3+ node sharded collection)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Collection sharding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Enable shard_number: 6 and replication_factor: 2 in collection config</w:t>
            </w:r>
          </w:p>
        </w:tc>
      </w:tr>
      <w:tr>
        <w:tc>
          <w:tcPr>
            <w:tcW w:type="dxa" w:w="4032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Memory optimisation</w:t>
            </w:r>
          </w:p>
        </w:tc>
        <w:tc>
          <w:tcPr>
            <w:tcW w:type="dxa" w:w="51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Switch HNSW to quantized HNSW (scalar quantization) — reduces memory 4-8×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Storage backend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Use SSD-backed persistent volumes; enable memmap_threshold for RAM capping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D.  Object Storage for Raw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Current Approach</w:t>
            </w:r>
          </w:p>
        </w:tc>
        <w:tc>
          <w:tcPr>
            <w:tcW w:type="dxa" w:w="4896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Scaled Approach</w:t>
            </w:r>
          </w:p>
        </w:tc>
      </w:tr>
      <w:tr>
        <w:tc>
          <w:tcPr>
            <w:tcW w:type="dxa" w:w="432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Files uploaded directly into API memory (tempfile)</w:t>
            </w:r>
          </w:p>
        </w:tc>
        <w:tc>
          <w:tcPr>
            <w:tcW w:type="dxa" w:w="489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Upload files to object storage (S3 / MinIO / GCS) first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Temp files deleted after processing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Maintain a file registry in S3 with ingestion status metadata</w:t>
            </w:r>
          </w:p>
        </w:tc>
      </w:tr>
      <w:tr>
        <w:tc>
          <w:tcPr>
            <w:tcW w:type="dxa" w:w="432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No retry on failed files</w:t>
            </w:r>
          </w:p>
        </w:tc>
        <w:tc>
          <w:tcPr>
            <w:tcW w:type="dxa" w:w="489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Workers implement exponential-backoff retry and dead-letter queue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3.3  Throughput Estimate at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4176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Throughput / ETA</w:t>
            </w:r>
          </w:p>
        </w:tc>
      </w:tr>
      <w:tr>
        <w:tc>
          <w:tcPr>
            <w:tcW w:type="dxa" w:w="504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pdfplumber (4 CPU workers)</w:t>
            </w:r>
          </w:p>
        </w:tc>
        <w:tc>
          <w:tcPr>
            <w:tcW w:type="dxa" w:w="417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~120 pages/min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TEI Embedding (1× A10G GPU)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~30,000 chunks/min</w:t>
            </w:r>
          </w:p>
        </w:tc>
      </w:tr>
      <w:tr>
        <w:tc>
          <w:tcPr>
            <w:tcW w:type="dxa" w:w="504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Qdrant upsert (distributed, 3 nodes)</w:t>
            </w:r>
          </w:p>
        </w:tc>
        <w:tc>
          <w:tcPr>
            <w:tcW w:type="dxa" w:w="417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~50,000 vectors/min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100K PDFs with 4 CPU workers + 1 GPU TEI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~28 hours total</w:t>
            </w:r>
          </w:p>
        </w:tc>
      </w:tr>
      <w:tr>
        <w:tc>
          <w:tcPr>
            <w:tcW w:type="dxa" w:w="5040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100K PDFs with 8 CPU workers + 2 GPU TEI</w:t>
            </w:r>
          </w:p>
        </w:tc>
        <w:tc>
          <w:tcPr>
            <w:tcW w:type="dxa" w:w="4176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~8 hours total</w:t>
            </w:r>
          </w:p>
        </w:tc>
      </w:tr>
    </w:tbl>
    <w:p/>
    <w:p/>
    <w:p>
      <w:pPr>
        <w:spacing w:before="280" w:after="80"/>
      </w:pPr>
      <w:r>
        <w:rPr>
          <w:b/>
          <w:color w:val="0F3C96"/>
          <w:sz w:val="32"/>
        </w:rPr>
        <w:t>4.  Recommended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4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048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584"/>
            <w:shd w:val="clear" w:color="auto" w:fill="0F3C96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1</w:t>
            </w:r>
          </w:p>
        </w:tc>
        <w:tc>
          <w:tcPr>
            <w:tcW w:type="dxa" w:w="604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GUI refactor — split App.tsx, add bulk upload progress, persist theme</w:t>
            </w:r>
          </w:p>
        </w:tc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High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2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Auth middleware (JWT/API key), audit logging, tenant-configurable prompts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High</w:t>
            </w:r>
          </w:p>
        </w:tc>
      </w:tr>
      <w:tr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3</w:t>
            </w:r>
          </w:p>
        </w:tc>
        <w:tc>
          <w:tcPr>
            <w:tcW w:type="dxa" w:w="604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Async job queue (Celery/ARQ) for ingestion with job status API</w:t>
            </w:r>
          </w:p>
        </w:tc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High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4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Hybrid search (dense + sparse BM25) in Qdrant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Medium</w:t>
            </w:r>
          </w:p>
        </w:tc>
      </w:tr>
      <w:tr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5</w:t>
            </w:r>
          </w:p>
        </w:tc>
        <w:tc>
          <w:tcPr>
            <w:tcW w:type="dxa" w:w="604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TEI Embedding cluster load balancing + GPU acceleration</w:t>
            </w:r>
          </w:p>
        </w:tc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Medium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6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Qdrant distributed mode, sharding, and scalar quantization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Medium</w:t>
            </w:r>
          </w:p>
        </w:tc>
      </w:tr>
      <w:tr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7</w:t>
            </w:r>
          </w:p>
        </w:tc>
        <w:tc>
          <w:tcPr>
            <w:tcW w:type="dxa" w:w="604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Object storage (S3 / MinIO) integration for raw file management</w:t>
            </w:r>
          </w:p>
        </w:tc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Medium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8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Kubernetes deployment manifests and HPA auto-scaling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Low</w:t>
            </w:r>
          </w:p>
        </w:tc>
      </w:tr>
      <w:tr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Phase 9</w:t>
            </w:r>
          </w:p>
        </w:tc>
        <w:tc>
          <w:tcPr>
            <w:tcW w:type="dxa" w:w="6048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Eval automation, A/B LLM testing, structured eval history in DB</w:t>
            </w:r>
          </w:p>
        </w:tc>
        <w:tc>
          <w:tcPr>
            <w:tcW w:type="dxa" w:w="1584"/>
            <w:shd w:val="clear" w:color="auto" w:fill="EBF3FF"/>
            <w:tcBorders>
              <w:top w:val="single" w:sz="4" w:space="0" w:color="BFD7FF"/>
              <w:left w:val="single" w:sz="4" w:space="0" w:color="BFD7FF"/>
              <w:bottom w:val="single" w:sz="4" w:space="0" w:color="BFD7FF"/>
              <w:right w:val="single" w:sz="4" w:space="0" w:color="BFD7FF"/>
            </w:tcBorders>
          </w:tcPr>
          <w:p>
            <w:r>
              <w:rPr>
                <w:color w:val="1F2D3D"/>
                <w:sz w:val="20"/>
              </w:rPr>
              <w:t>Low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