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color w:val="1F3864"/>
          <w:sz w:val="56"/>
          <w:szCs w:val="56"/>
        </w:rPr>
        <w:t xml:space="preserve">FDO HOSPITAL MIS</w:t>
      </w:r>
    </w:p>
    <w:p>
      <w:pPr>
        <w:spacing w:after="80"/>
        <w:jc w:val="center"/>
      </w:pPr>
      <w:r>
        <w:rPr>
          <w:b/>
          <w:bCs/>
          <w:color w:val="2E74B5"/>
          <w:sz w:val="32"/>
          <w:szCs w:val="32"/>
        </w:rPr>
        <w:t xml:space="preserve">Technical Requirements Document</w:t>
      </w:r>
    </w:p>
    <w:p>
      <w:pPr>
        <w:spacing w:after="1200"/>
        <w:jc w:val="center"/>
      </w:pPr>
      <w:r>
        <w:rPr>
          <w:i/>
          <w:iCs/>
          <w:color w:val="555555"/>
          <w:sz w:val="24"/>
          <w:szCs w:val="24"/>
        </w:rPr>
        <w:t xml:space="preserve">Stack · Non-Functional Requirements · API, Data &amp; Security Standards · DevOps</w:t>
      </w:r>
    </w:p>
    <w:p>
      <w:pPr>
        <w:spacing w:after="100"/>
        <w:jc w:val="center"/>
      </w:pPr>
      <w:r>
        <w:rPr>
          <w:sz w:val="22"/>
          <w:szCs w:val="22"/>
        </w:rPr>
        <w:t xml:space="preserve">Prepared for FDO Technologies</w:t>
      </w:r>
    </w:p>
    <w:p>
      <w:pPr>
        <w:spacing w:after="100"/>
        <w:jc w:val="center"/>
      </w:pPr>
      <w:r>
        <w:rPr>
          <w:sz w:val="22"/>
          <w:szCs w:val="22"/>
        </w:rPr>
        <w:t xml:space="preserve">Draft — Version 0.1</w:t>
      </w:r>
    </w:p>
    <w:p>
      <w:pPr>
        <w:spacing w:after="1600"/>
        <w:jc w:val="center"/>
      </w:pPr>
      <w:r>
        <w:rPr>
          <w:sz w:val="22"/>
          <w:szCs w:val="22"/>
        </w:rPr>
        <w:t xml:space="preserve">August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3864" w:val="clear"/>
            <w:tcMar>
              <w:top w:type="dxa" w:w="60"/>
              <w:left w:type="dxa" w:w="100"/>
              <w:bottom w:type="dxa" w:w="60"/>
              <w:right w:type="dxa" w:w="100"/>
            </w:tcMar>
            <w:vAlign w:val="center"/>
          </w:tcPr>
          <w:p>
            <w:pPr>
              <w:jc w:val="left"/>
            </w:pPr>
            <w:r>
              <w:rPr>
                <w:b/>
                <w:bCs/>
                <w:color w:val="FFFFFF"/>
              </w:rPr>
              <w:t xml:space="preserve">Field</w:t>
            </w:r>
          </w:p>
        </w:tc>
        <w:tc>
          <w:tcPr>
            <w:tcW w:type="dxa" w:w="6560"/>
            <w:shd w:fill="1F3864" w:val="clear"/>
            <w:tcMar>
              <w:top w:type="dxa" w:w="60"/>
              <w:left w:type="dxa" w:w="100"/>
              <w:bottom w:type="dxa" w:w="60"/>
              <w:right w:type="dxa" w:w="100"/>
            </w:tcMar>
            <w:vAlign w:val="center"/>
          </w:tcPr>
          <w:p>
            <w:pPr>
              <w:jc w:val="left"/>
            </w:pPr>
            <w:r>
              <w:rPr>
                <w:b/>
                <w:bCs/>
                <w:color w:val="FFFFFF"/>
              </w:rPr>
              <w:t xml:space="preserve">Detail</w:t>
            </w:r>
          </w:p>
        </w:tc>
      </w:tr>
      <w:tr>
        <w:tc>
          <w:tcPr>
            <w:tcW w:type="dxa" w:w="2800"/>
            <w:shd w:fill="FFFFFF" w:val="clear"/>
            <w:tcMar>
              <w:top w:type="dxa" w:w="60"/>
              <w:left w:type="dxa" w:w="100"/>
              <w:bottom w:type="dxa" w:w="60"/>
              <w:right w:type="dxa" w:w="100"/>
            </w:tcMar>
            <w:vAlign w:val="center"/>
          </w:tcPr>
          <w:p>
            <w:pPr>
              <w:jc w:val="left"/>
            </w:pPr>
            <w:r>
              <w:rPr>
                <w:b w:val="false"/>
                <w:bCs w:val="false"/>
              </w:rPr>
              <w:t xml:space="preserve">Document Status</w:t>
            </w:r>
          </w:p>
        </w:tc>
        <w:tc>
          <w:tcPr>
            <w:tcW w:type="dxa" w:w="6560"/>
            <w:shd w:fill="FFFFFF" w:val="clear"/>
            <w:tcMar>
              <w:top w:type="dxa" w:w="60"/>
              <w:left w:type="dxa" w:w="100"/>
              <w:bottom w:type="dxa" w:w="60"/>
              <w:right w:type="dxa" w:w="100"/>
            </w:tcMar>
            <w:vAlign w:val="center"/>
          </w:tcPr>
          <w:p>
            <w:pPr>
              <w:jc w:val="left"/>
            </w:pPr>
            <w:r>
              <w:rPr>
                <w:b w:val="false"/>
                <w:bCs w:val="false"/>
              </w:rPr>
              <w:t xml:space="preserve">Draft — for internal review</w:t>
            </w:r>
          </w:p>
        </w:tc>
      </w:tr>
      <w:tr>
        <w:tc>
          <w:tcPr>
            <w:tcW w:type="dxa" w:w="2800"/>
            <w:shd w:fill="F2F2F2" w:val="clear"/>
            <w:tcMar>
              <w:top w:type="dxa" w:w="60"/>
              <w:left w:type="dxa" w:w="100"/>
              <w:bottom w:type="dxa" w:w="60"/>
              <w:right w:type="dxa" w:w="100"/>
            </w:tcMar>
            <w:vAlign w:val="center"/>
          </w:tcPr>
          <w:p>
            <w:pPr>
              <w:jc w:val="left"/>
            </w:pPr>
            <w:r>
              <w:rPr>
                <w:b w:val="false"/>
                <w:bCs w:val="false"/>
              </w:rPr>
              <w:t xml:space="preserve">Version</w:t>
            </w:r>
          </w:p>
        </w:tc>
        <w:tc>
          <w:tcPr>
            <w:tcW w:type="dxa" w:w="6560"/>
            <w:shd w:fill="F2F2F2" w:val="clear"/>
            <w:tcMar>
              <w:top w:type="dxa" w:w="60"/>
              <w:left w:type="dxa" w:w="100"/>
              <w:bottom w:type="dxa" w:w="60"/>
              <w:right w:type="dxa" w:w="100"/>
            </w:tcMar>
            <w:vAlign w:val="center"/>
          </w:tcPr>
          <w:p>
            <w:pPr>
              <w:jc w:val="left"/>
            </w:pPr>
            <w:r>
              <w:rPr>
                <w:b w:val="false"/>
                <w:bCs w:val="false"/>
              </w:rPr>
              <w:t xml:space="preserve">0.1</w:t>
            </w:r>
          </w:p>
        </w:tc>
      </w:tr>
      <w:tr>
        <w:tc>
          <w:tcPr>
            <w:tcW w:type="dxa" w:w="2800"/>
            <w:shd w:fill="FFFFFF" w:val="clear"/>
            <w:tcMar>
              <w:top w:type="dxa" w:w="60"/>
              <w:left w:type="dxa" w:w="100"/>
              <w:bottom w:type="dxa" w:w="60"/>
              <w:right w:type="dxa" w:w="100"/>
            </w:tcMar>
            <w:vAlign w:val="center"/>
          </w:tcPr>
          <w:p>
            <w:pPr>
              <w:jc w:val="left"/>
            </w:pPr>
            <w:r>
              <w:rPr>
                <w:b w:val="false"/>
                <w:bCs w:val="false"/>
              </w:rPr>
              <w:t xml:space="preserve">Owner</w:t>
            </w:r>
          </w:p>
        </w:tc>
        <w:tc>
          <w:tcPr>
            <w:tcW w:type="dxa" w:w="6560"/>
            <w:shd w:fill="FFFFFF" w:val="clear"/>
            <w:tcMar>
              <w:top w:type="dxa" w:w="60"/>
              <w:left w:type="dxa" w:w="100"/>
              <w:bottom w:type="dxa" w:w="60"/>
              <w:right w:type="dxa" w:w="100"/>
            </w:tcMar>
            <w:vAlign w:val="center"/>
          </w:tcPr>
          <w:p>
            <w:pPr>
              <w:jc w:val="left"/>
            </w:pPr>
            <w:r>
              <w:rPr>
                <w:b w:val="false"/>
                <w:bCs w:val="false"/>
              </w:rPr>
              <w:t xml:space="preserve">Solutions Architecture / Engineering Leadership</w:t>
            </w:r>
          </w:p>
        </w:tc>
      </w:tr>
      <w:tr>
        <w:tc>
          <w:tcPr>
            <w:tcW w:type="dxa" w:w="2800"/>
            <w:shd w:fill="F2F2F2" w:val="clear"/>
            <w:tcMar>
              <w:top w:type="dxa" w:w="60"/>
              <w:left w:type="dxa" w:w="100"/>
              <w:bottom w:type="dxa" w:w="60"/>
              <w:right w:type="dxa" w:w="100"/>
            </w:tcMar>
            <w:vAlign w:val="center"/>
          </w:tcPr>
          <w:p>
            <w:pPr>
              <w:jc w:val="left"/>
            </w:pPr>
            <w:r>
              <w:rPr>
                <w:b w:val="false"/>
                <w:bCs w:val="false"/>
              </w:rPr>
              <w:t xml:space="preserve">Confirmed Stack</w:t>
            </w:r>
          </w:p>
        </w:tc>
        <w:tc>
          <w:tcPr>
            <w:tcW w:type="dxa" w:w="6560"/>
            <w:shd w:fill="F2F2F2" w:val="clear"/>
            <w:tcMar>
              <w:top w:type="dxa" w:w="60"/>
              <w:left w:type="dxa" w:w="100"/>
              <w:bottom w:type="dxa" w:w="60"/>
              <w:right w:type="dxa" w:w="100"/>
            </w:tcMar>
            <w:vAlign w:val="center"/>
          </w:tcPr>
          <w:p>
            <w:pPr>
              <w:jc w:val="left"/>
            </w:pPr>
            <w:r>
              <w:rPr>
                <w:b w:val="false"/>
                <w:bCs w:val="false"/>
              </w:rPr>
              <w:t xml:space="preserve">Django + DRF (backend) · React (web) · React Native (mobile)</w:t>
            </w:r>
          </w:p>
        </w:tc>
      </w:tr>
      <w:tr>
        <w:tc>
          <w:tcPr>
            <w:tcW w:type="dxa" w:w="2800"/>
            <w:shd w:fill="FFFFFF" w:val="clear"/>
            <w:tcMar>
              <w:top w:type="dxa" w:w="60"/>
              <w:left w:type="dxa" w:w="100"/>
              <w:bottom w:type="dxa" w:w="60"/>
              <w:right w:type="dxa" w:w="100"/>
            </w:tcMar>
            <w:vAlign w:val="center"/>
          </w:tcPr>
          <w:p>
            <w:pPr>
              <w:jc w:val="left"/>
            </w:pPr>
            <w:r>
              <w:rPr>
                <w:b w:val="false"/>
                <w:bCs w:val="false"/>
              </w:rPr>
              <w:t xml:space="preserve">Companion Documents</w:t>
            </w:r>
          </w:p>
        </w:tc>
        <w:tc>
          <w:tcPr>
            <w:tcW w:type="dxa" w:w="6560"/>
            <w:shd w:fill="FFFFFF" w:val="clear"/>
            <w:tcMar>
              <w:top w:type="dxa" w:w="60"/>
              <w:left w:type="dxa" w:w="100"/>
              <w:bottom w:type="dxa" w:w="60"/>
              <w:right w:type="dxa" w:w="100"/>
            </w:tcMar>
            <w:vAlign w:val="center"/>
          </w:tcPr>
          <w:p>
            <w:pPr>
              <w:jc w:val="left"/>
            </w:pPr>
            <w:r>
              <w:rPr>
                <w:b w:val="false"/>
                <w:bCs w:val="false"/>
              </w:rPr>
              <w:t xml:space="preserve">FDO Hospital MIS — Business Requirements Document; Solution Specification &amp; Architecture Document</w:t>
            </w:r>
          </w:p>
        </w:tc>
      </w:tr>
    </w:tbl>
    <w:p>
      <w:pPr>
        <w:pageBreakBefore/>
      </w:pPr>
    </w:p>
    <w:p>
      <w:pPr>
        <w:pStyle w:val="Heading1"/>
        <w:spacing w:after="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200"/>
      </w:pPr>
      <w:r>
        <w:t xml:space="preserve">1. Introduction &amp; Objectives</w:t>
      </w:r>
    </w:p>
    <w:p>
      <w:pPr>
        <w:spacing w:after="160"/>
      </w:pPr>
      <w:r>
        <w:rPr>
          <w:b w:val="false"/>
          <w:bCs w:val="false"/>
          <w:i w:val="false"/>
          <w:iCs w:val="false"/>
        </w:rPr>
        <w:t xml:space="preserve">This Technical Requirements Document (TRD) defines the technology stack, engineering standards, and non-functional requirements for building FDO Hospital MIS. It is the companion to the Business Requirements Document (BRD) — where the BRD defines what the system must do for each actor and module, this document defines how it will be built, on what stack, to what quality bar, and under what constraints.</w:t>
      </w:r>
    </w:p>
    <w:p>
      <w:pPr>
        <w:spacing w:after="60" w:before="120"/>
      </w:pPr>
      <w:r>
        <w:rPr>
          <w:b/>
          <w:bCs/>
          <w:color w:val="1F3864"/>
        </w:rPr>
        <w:t xml:space="preserve">Confirmed technology direction:</w:t>
      </w:r>
    </w:p>
    <w:p>
      <w:pPr>
        <w:pStyle w:val="ListParagraph"/>
        <w:numPr>
          <w:ilvl w:val="0"/>
          <w:numId w:val="2"/>
        </w:numPr>
        <w:spacing w:after="70"/>
      </w:pPr>
      <w:r>
        <w:t xml:space="preserve">Backend: Django + Django REST Framework (Python)</w:t>
      </w:r>
    </w:p>
    <w:p>
      <w:pPr>
        <w:pStyle w:val="ListParagraph"/>
        <w:numPr>
          <w:ilvl w:val="0"/>
          <w:numId w:val="2"/>
        </w:numPr>
        <w:spacing w:after="70"/>
      </w:pPr>
      <w:r>
        <w:t xml:space="preserve">Web Client (staff/clinical console): React</w:t>
      </w:r>
    </w:p>
    <w:p>
      <w:pPr>
        <w:pStyle w:val="ListParagraph"/>
        <w:numPr>
          <w:ilvl w:val="0"/>
          <w:numId w:val="2"/>
        </w:numPr>
        <w:spacing w:after="70"/>
      </w:pPr>
      <w:r>
        <w:t xml:space="preserve">Mobile Client (patient-facing FDO Health, and future clinician/staff apps): React Native</w:t>
      </w:r>
    </w:p>
    <w:p>
      <w:pPr>
        <w:spacing w:after="160"/>
      </w:pPr>
      <w:r>
        <w:rPr>
          <w:b w:val="false"/>
          <w:bCs w:val="false"/>
          <w:i w:val="false"/>
          <w:iCs w:val="false"/>
        </w:rPr>
        <w:t xml:space="preserve">This document assumes PostgreSQL, Redis, and Celery as the supporting data/async stack, and containerized deployment (Docker) as the delivery mechanism — these are the industry-standard pairing for Django at hospital scale and are called out explicitly in Section 3 as assumptions to confirm, not settled decisions made unilaterally.</w:t>
      </w:r>
    </w:p>
    <w:p>
      <w:pPr>
        <w:pStyle w:val="Heading2"/>
        <w:spacing w:after="140" w:before="320"/>
      </w:pPr>
      <w:r>
        <w:t xml:space="preserve">1.2 Relationship to Other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F3864" w:val="clear"/>
            <w:tcMar>
              <w:top w:type="dxa" w:w="60"/>
              <w:left w:type="dxa" w:w="100"/>
              <w:bottom w:type="dxa" w:w="60"/>
              <w:right w:type="dxa" w:w="100"/>
            </w:tcMar>
            <w:vAlign w:val="center"/>
          </w:tcPr>
          <w:p>
            <w:pPr>
              <w:jc w:val="left"/>
            </w:pPr>
            <w:r>
              <w:rPr>
                <w:b/>
                <w:bCs/>
                <w:color w:val="FFFFFF"/>
              </w:rPr>
              <w:t xml:space="preserve">Document</w:t>
            </w:r>
          </w:p>
        </w:tc>
        <w:tc>
          <w:tcPr>
            <w:tcW w:type="dxa" w:w="5760"/>
            <w:shd w:fill="1F3864" w:val="clear"/>
            <w:tcMar>
              <w:top w:type="dxa" w:w="60"/>
              <w:left w:type="dxa" w:w="100"/>
              <w:bottom w:type="dxa" w:w="60"/>
              <w:right w:type="dxa" w:w="100"/>
            </w:tcMar>
            <w:vAlign w:val="center"/>
          </w:tcPr>
          <w:p>
            <w:pPr>
              <w:jc w:val="left"/>
            </w:pPr>
            <w:r>
              <w:rPr>
                <w:b/>
                <w:bCs/>
                <w:color w:val="FFFFFF"/>
              </w:rPr>
              <w:t xml:space="preserve">Defines</w:t>
            </w:r>
          </w:p>
        </w:tc>
      </w:tr>
      <w:tr>
        <w:tc>
          <w:tcPr>
            <w:tcW w:type="dxa" w:w="3600"/>
            <w:shd w:fill="FFFFFF" w:val="clear"/>
            <w:tcMar>
              <w:top w:type="dxa" w:w="60"/>
              <w:left w:type="dxa" w:w="100"/>
              <w:bottom w:type="dxa" w:w="60"/>
              <w:right w:type="dxa" w:w="100"/>
            </w:tcMar>
            <w:vAlign w:val="center"/>
          </w:tcPr>
          <w:p>
            <w:pPr>
              <w:jc w:val="left"/>
            </w:pPr>
            <w:r>
              <w:rPr>
                <w:b w:val="false"/>
                <w:bCs w:val="false"/>
              </w:rPr>
              <w:t xml:space="preserve">Business Requirements Document (BRD)</w:t>
            </w:r>
          </w:p>
        </w:tc>
        <w:tc>
          <w:tcPr>
            <w:tcW w:type="dxa" w:w="5760"/>
            <w:shd w:fill="FFFFFF" w:val="clear"/>
            <w:tcMar>
              <w:top w:type="dxa" w:w="60"/>
              <w:left w:type="dxa" w:w="100"/>
              <w:bottom w:type="dxa" w:w="60"/>
              <w:right w:type="dxa" w:w="100"/>
            </w:tcMar>
            <w:vAlign w:val="center"/>
          </w:tcPr>
          <w:p>
            <w:pPr>
              <w:jc w:val="left"/>
            </w:pPr>
            <w:r>
              <w:rPr>
                <w:b w:val="false"/>
                <w:bCs w:val="false"/>
              </w:rPr>
              <w:t xml:space="preserve">Modules, actors, roles, permission matrices, user stories, user journeys, edge cases</w:t>
            </w:r>
          </w:p>
        </w:tc>
      </w:tr>
      <w:tr>
        <w:tc>
          <w:tcPr>
            <w:tcW w:type="dxa" w:w="3600"/>
            <w:shd w:fill="F2F2F2" w:val="clear"/>
            <w:tcMar>
              <w:top w:type="dxa" w:w="60"/>
              <w:left w:type="dxa" w:w="100"/>
              <w:bottom w:type="dxa" w:w="60"/>
              <w:right w:type="dxa" w:w="100"/>
            </w:tcMar>
            <w:vAlign w:val="center"/>
          </w:tcPr>
          <w:p>
            <w:pPr>
              <w:jc w:val="left"/>
            </w:pPr>
            <w:r>
              <w:rPr>
                <w:b w:val="false"/>
                <w:bCs w:val="false"/>
              </w:rPr>
              <w:t xml:space="preserve">Technical Requirements Document (this document)</w:t>
            </w:r>
          </w:p>
        </w:tc>
        <w:tc>
          <w:tcPr>
            <w:tcW w:type="dxa" w:w="5760"/>
            <w:shd w:fill="F2F2F2" w:val="clear"/>
            <w:tcMar>
              <w:top w:type="dxa" w:w="60"/>
              <w:left w:type="dxa" w:w="100"/>
              <w:bottom w:type="dxa" w:w="60"/>
              <w:right w:type="dxa" w:w="100"/>
            </w:tcMar>
            <w:vAlign w:val="center"/>
          </w:tcPr>
          <w:p>
            <w:pPr>
              <w:jc w:val="left"/>
            </w:pPr>
            <w:r>
              <w:rPr>
                <w:b w:val="false"/>
                <w:bCs w:val="false"/>
              </w:rPr>
              <w:t xml:space="preserve">Stack, non-functional requirements, API/data/security standards, DevOps</w:t>
            </w:r>
          </w:p>
        </w:tc>
      </w:tr>
      <w:tr>
        <w:tc>
          <w:tcPr>
            <w:tcW w:type="dxa" w:w="3600"/>
            <w:shd w:fill="FFFFFF" w:val="clear"/>
            <w:tcMar>
              <w:top w:type="dxa" w:w="60"/>
              <w:left w:type="dxa" w:w="100"/>
              <w:bottom w:type="dxa" w:w="60"/>
              <w:right w:type="dxa" w:w="100"/>
            </w:tcMar>
            <w:vAlign w:val="center"/>
          </w:tcPr>
          <w:p>
            <w:pPr>
              <w:jc w:val="left"/>
            </w:pPr>
            <w:r>
              <w:rPr>
                <w:b w:val="false"/>
                <w:bCs w:val="false"/>
              </w:rPr>
              <w:t xml:space="preserve">Solution Specification &amp; Architecture Document</w:t>
            </w:r>
          </w:p>
        </w:tc>
        <w:tc>
          <w:tcPr>
            <w:tcW w:type="dxa" w:w="5760"/>
            <w:shd w:fill="FFFFFF" w:val="clear"/>
            <w:tcMar>
              <w:top w:type="dxa" w:w="60"/>
              <w:left w:type="dxa" w:w="100"/>
              <w:bottom w:type="dxa" w:w="60"/>
              <w:right w:type="dxa" w:w="100"/>
            </w:tcMar>
            <w:vAlign w:val="center"/>
          </w:tcPr>
          <w:p>
            <w:pPr>
              <w:jc w:val="left"/>
            </w:pPr>
            <w:r>
              <w:rPr>
                <w:b w:val="false"/>
                <w:bCs w:val="false"/>
              </w:rPr>
              <w:t xml:space="preserve">Node-and-connection architecture, system flows, deployment topology, UI/UX journeys per channel</w:t>
            </w:r>
          </w:p>
        </w:tc>
      </w:tr>
    </w:tbl>
    <w:p>
      <w:pPr>
        <w:pStyle w:val="Heading1"/>
        <w:pageBreakBefore/>
        <w:spacing w:after="200" w:before="200"/>
      </w:pPr>
      <w:r>
        <w:t xml:space="preserve">2. Guiding Engineering Principles</w:t>
      </w:r>
    </w:p>
    <w:p>
      <w:pPr>
        <w:pStyle w:val="ListParagraph"/>
        <w:numPr>
          <w:ilvl w:val="0"/>
          <w:numId w:val="2"/>
        </w:numPr>
        <w:spacing w:after="70"/>
      </w:pPr>
      <w:r>
        <w:t xml:space="preserve">Modular monolith first — Django apps are organized one-per-BRD-module (patients, appointments, opd, inpatient, lab, radiology, pharmacy, billing, insurance, bloodbank, emergency, theatre, ambulance, inventory, hr, finance, admin). This gives the maintainability benefits of clear boundaries without the operational overhead of microservices on day one. Section 4.4 defines how a module can later be extracted into its own service without a rewrite.</w:t>
      </w:r>
    </w:p>
    <w:p>
      <w:pPr>
        <w:pStyle w:val="ListParagraph"/>
        <w:numPr>
          <w:ilvl w:val="0"/>
          <w:numId w:val="2"/>
        </w:numPr>
        <w:spacing w:after="70"/>
      </w:pPr>
      <w:r>
        <w:t xml:space="preserve">Permission engine, not scattered if-statements — every module reads from the same RBAC engine described in the BRD (Section 8), implemented as Django permission classes bound to the module.resource.action convention. No module should implement bespoke access-control logic.</w:t>
      </w:r>
    </w:p>
    <w:p>
      <w:pPr>
        <w:pStyle w:val="ListParagraph"/>
        <w:numPr>
          <w:ilvl w:val="0"/>
          <w:numId w:val="2"/>
        </w:numPr>
        <w:spacing w:after="70"/>
      </w:pPr>
      <w:r>
        <w:t xml:space="preserve">Every write is audited — no clinical or financial table is ever hard-deleted or silently overwritten. All writes to clinical/financial models flow through an audit-logging mixin.</w:t>
      </w:r>
    </w:p>
    <w:p>
      <w:pPr>
        <w:pStyle w:val="ListParagraph"/>
        <w:numPr>
          <w:ilvl w:val="0"/>
          <w:numId w:val="2"/>
        </w:numPr>
        <w:spacing w:after="70"/>
      </w:pPr>
      <w:r>
        <w:t xml:space="preserve">API-first — the Django backend exposes a single versioned REST API consumed identically by the React web console and the React Native mobile app. No logic lives only in a frontend that the other channel depends on.</w:t>
      </w:r>
    </w:p>
    <w:p>
      <w:pPr>
        <w:pStyle w:val="ListParagraph"/>
        <w:numPr>
          <w:ilvl w:val="0"/>
          <w:numId w:val="2"/>
        </w:numPr>
        <w:spacing w:after="70"/>
      </w:pPr>
      <w:r>
        <w:t xml:space="preserve">Design for intermittent connectivity — target facilities may have unreliable connectivity; the mobile app and, where practical, OPD/Nursing web workflows are designed to tolerate brief disconnection without data loss.</w:t>
      </w:r>
    </w:p>
    <w:p>
      <w:pPr>
        <w:pStyle w:val="ListParagraph"/>
        <w:numPr>
          <w:ilvl w:val="0"/>
          <w:numId w:val="2"/>
        </w:numPr>
        <w:spacing w:after="70"/>
      </w:pPr>
      <w:r>
        <w:t xml:space="preserve">Facility-scoped from day one — every core model carries a facility (and, where relevant, department) foreign key, even for the first single-facility customer, per the BRD's multi-branch recommendation.</w:t>
      </w:r>
    </w:p>
    <w:p>
      <w:pPr>
        <w:pStyle w:val="Heading1"/>
        <w:pageBreakBefore/>
        <w:spacing w:after="200" w:before="200"/>
      </w:pPr>
      <w:r>
        <w:t xml:space="preserve">3. Non-Functional Requirements</w:t>
      </w:r>
    </w:p>
    <w:p>
      <w:pPr>
        <w:spacing w:after="160"/>
      </w:pPr>
      <w:r>
        <w:rPr>
          <w:b w:val="false"/>
          <w:bCs w:val="false"/>
          <w:i w:val="false"/>
          <w:iCs w:val="false"/>
        </w:rPr>
        <w:t xml:space="preserve">Non-functional requirements (NFRs) are grouped below with a target, since "the system should be fast/secure/reliable" is not testable. These targets should be revisited once real usage data exists, but give engineering a concrete bar to design against.</w:t>
      </w:r>
    </w:p>
    <w:p>
      <w:pPr>
        <w:pStyle w:val="Heading2"/>
        <w:spacing w:after="140" w:before="320"/>
      </w:pPr>
      <w:r>
        <w:t xml:space="preserve">3.1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shd w:fill="1F3864" w:val="clear"/>
            <w:tcMar>
              <w:top w:type="dxa" w:w="60"/>
              <w:left w:type="dxa" w:w="100"/>
              <w:bottom w:type="dxa" w:w="60"/>
              <w:right w:type="dxa" w:w="100"/>
            </w:tcMar>
            <w:vAlign w:val="center"/>
          </w:tcPr>
          <w:p>
            <w:pPr>
              <w:jc w:val="left"/>
            </w:pPr>
            <w:r>
              <w:rPr>
                <w:b/>
                <w:bCs/>
                <w:color w:val="FFFFFF"/>
              </w:rPr>
              <w:t xml:space="preserve">Requirement</w:t>
            </w:r>
          </w:p>
        </w:tc>
        <w:tc>
          <w:tcPr>
            <w:tcW w:type="dxa" w:w="4160"/>
            <w:shd w:fill="1F3864" w:val="clear"/>
            <w:tcMar>
              <w:top w:type="dxa" w:w="60"/>
              <w:left w:type="dxa" w:w="100"/>
              <w:bottom w:type="dxa" w:w="60"/>
              <w:right w:type="dxa" w:w="100"/>
            </w:tcMar>
            <w:vAlign w:val="center"/>
          </w:tcPr>
          <w:p>
            <w:pPr>
              <w:jc w:val="left"/>
            </w:pPr>
            <w:r>
              <w:rPr>
                <w:b/>
                <w:bCs/>
                <w:color w:val="FFFFFF"/>
              </w:rPr>
              <w:t xml:space="preserve">Target</w:t>
            </w:r>
          </w:p>
        </w:tc>
      </w:tr>
      <w:tr>
        <w:tc>
          <w:tcPr>
            <w:tcW w:type="dxa" w:w="5200"/>
            <w:shd w:fill="FFFFFF" w:val="clear"/>
            <w:tcMar>
              <w:top w:type="dxa" w:w="60"/>
              <w:left w:type="dxa" w:w="100"/>
              <w:bottom w:type="dxa" w:w="60"/>
              <w:right w:type="dxa" w:w="100"/>
            </w:tcMar>
            <w:vAlign w:val="center"/>
          </w:tcPr>
          <w:p>
            <w:pPr>
              <w:jc w:val="left"/>
            </w:pPr>
            <w:r>
              <w:rPr>
                <w:b w:val="false"/>
                <w:bCs w:val="false"/>
              </w:rPr>
              <w:t xml:space="preserve">API response time (p95, standard read)</w:t>
            </w:r>
          </w:p>
        </w:tc>
        <w:tc>
          <w:tcPr>
            <w:tcW w:type="dxa" w:w="4160"/>
            <w:shd w:fill="FFFFFF" w:val="clear"/>
            <w:tcMar>
              <w:top w:type="dxa" w:w="60"/>
              <w:left w:type="dxa" w:w="100"/>
              <w:bottom w:type="dxa" w:w="60"/>
              <w:right w:type="dxa" w:w="100"/>
            </w:tcMar>
            <w:vAlign w:val="center"/>
          </w:tcPr>
          <w:p>
            <w:pPr>
              <w:jc w:val="left"/>
            </w:pPr>
            <w:r>
              <w:rPr>
                <w:b w:val="false"/>
                <w:bCs w:val="false"/>
              </w:rPr>
              <w:t xml:space="preserve">&lt; 400ms</w:t>
            </w:r>
          </w:p>
        </w:tc>
      </w:tr>
      <w:tr>
        <w:tc>
          <w:tcPr>
            <w:tcW w:type="dxa" w:w="5200"/>
            <w:shd w:fill="F2F2F2" w:val="clear"/>
            <w:tcMar>
              <w:top w:type="dxa" w:w="60"/>
              <w:left w:type="dxa" w:w="100"/>
              <w:bottom w:type="dxa" w:w="60"/>
              <w:right w:type="dxa" w:w="100"/>
            </w:tcMar>
            <w:vAlign w:val="center"/>
          </w:tcPr>
          <w:p>
            <w:pPr>
              <w:jc w:val="left"/>
            </w:pPr>
            <w:r>
              <w:rPr>
                <w:b w:val="false"/>
                <w:bCs w:val="false"/>
              </w:rPr>
              <w:t xml:space="preserve">API response time (p95, complex read — e.g. patient timeline)</w:t>
            </w:r>
          </w:p>
        </w:tc>
        <w:tc>
          <w:tcPr>
            <w:tcW w:type="dxa" w:w="4160"/>
            <w:shd w:fill="F2F2F2" w:val="clear"/>
            <w:tcMar>
              <w:top w:type="dxa" w:w="60"/>
              <w:left w:type="dxa" w:w="100"/>
              <w:bottom w:type="dxa" w:w="60"/>
              <w:right w:type="dxa" w:w="100"/>
            </w:tcMar>
            <w:vAlign w:val="center"/>
          </w:tcPr>
          <w:p>
            <w:pPr>
              <w:jc w:val="left"/>
            </w:pPr>
            <w:r>
              <w:rPr>
                <w:b w:val="false"/>
                <w:bCs w:val="false"/>
              </w:rPr>
              <w:t xml:space="preserve">&lt; 1.2s</w:t>
            </w:r>
          </w:p>
        </w:tc>
      </w:tr>
      <w:tr>
        <w:tc>
          <w:tcPr>
            <w:tcW w:type="dxa" w:w="5200"/>
            <w:shd w:fill="FFFFFF" w:val="clear"/>
            <w:tcMar>
              <w:top w:type="dxa" w:w="60"/>
              <w:left w:type="dxa" w:w="100"/>
              <w:bottom w:type="dxa" w:w="60"/>
              <w:right w:type="dxa" w:w="100"/>
            </w:tcMar>
            <w:vAlign w:val="center"/>
          </w:tcPr>
          <w:p>
            <w:pPr>
              <w:jc w:val="left"/>
            </w:pPr>
            <w:r>
              <w:rPr>
                <w:b w:val="false"/>
                <w:bCs w:val="false"/>
              </w:rPr>
              <w:t xml:space="preserve">OPD consultation screen load</w:t>
            </w:r>
          </w:p>
        </w:tc>
        <w:tc>
          <w:tcPr>
            <w:tcW w:type="dxa" w:w="4160"/>
            <w:shd w:fill="FFFFFF" w:val="clear"/>
            <w:tcMar>
              <w:top w:type="dxa" w:w="60"/>
              <w:left w:type="dxa" w:w="100"/>
              <w:bottom w:type="dxa" w:w="60"/>
              <w:right w:type="dxa" w:w="100"/>
            </w:tcMar>
            <w:vAlign w:val="center"/>
          </w:tcPr>
          <w:p>
            <w:pPr>
              <w:jc w:val="left"/>
            </w:pPr>
            <w:r>
              <w:rPr>
                <w:b w:val="false"/>
                <w:bCs w:val="false"/>
              </w:rPr>
              <w:t xml:space="preserve">&lt; 2s on a 3G-equivalent connection</w:t>
            </w:r>
          </w:p>
        </w:tc>
      </w:tr>
      <w:tr>
        <w:tc>
          <w:tcPr>
            <w:tcW w:type="dxa" w:w="5200"/>
            <w:shd w:fill="F2F2F2" w:val="clear"/>
            <w:tcMar>
              <w:top w:type="dxa" w:w="60"/>
              <w:left w:type="dxa" w:w="100"/>
              <w:bottom w:type="dxa" w:w="60"/>
              <w:right w:type="dxa" w:w="100"/>
            </w:tcMar>
            <w:vAlign w:val="center"/>
          </w:tcPr>
          <w:p>
            <w:pPr>
              <w:jc w:val="left"/>
            </w:pPr>
            <w:r>
              <w:rPr>
                <w:b w:val="false"/>
                <w:bCs w:val="false"/>
              </w:rPr>
              <w:t xml:space="preserve">Dashboard (Section 8 of BRD) load</w:t>
            </w:r>
          </w:p>
        </w:tc>
        <w:tc>
          <w:tcPr>
            <w:tcW w:type="dxa" w:w="4160"/>
            <w:shd w:fill="F2F2F2" w:val="clear"/>
            <w:tcMar>
              <w:top w:type="dxa" w:w="60"/>
              <w:left w:type="dxa" w:w="100"/>
              <w:bottom w:type="dxa" w:w="60"/>
              <w:right w:type="dxa" w:w="100"/>
            </w:tcMar>
            <w:vAlign w:val="center"/>
          </w:tcPr>
          <w:p>
            <w:pPr>
              <w:jc w:val="left"/>
            </w:pPr>
            <w:r>
              <w:rPr>
                <w:b w:val="false"/>
                <w:bCs w:val="false"/>
              </w:rPr>
              <w:t xml:space="preserve">&lt; 2.5s for aggregate metrics</w:t>
            </w:r>
          </w:p>
        </w:tc>
      </w:tr>
      <w:tr>
        <w:tc>
          <w:tcPr>
            <w:tcW w:type="dxa" w:w="5200"/>
            <w:shd w:fill="FFFFFF" w:val="clear"/>
            <w:tcMar>
              <w:top w:type="dxa" w:w="60"/>
              <w:left w:type="dxa" w:w="100"/>
              <w:bottom w:type="dxa" w:w="60"/>
              <w:right w:type="dxa" w:w="100"/>
            </w:tcMar>
            <w:vAlign w:val="center"/>
          </w:tcPr>
          <w:p>
            <w:pPr>
              <w:jc w:val="left"/>
            </w:pPr>
            <w:r>
              <w:rPr>
                <w:b w:val="false"/>
                <w:bCs w:val="false"/>
              </w:rPr>
              <w:t xml:space="preserve">Mobile app cold start</w:t>
            </w:r>
          </w:p>
        </w:tc>
        <w:tc>
          <w:tcPr>
            <w:tcW w:type="dxa" w:w="4160"/>
            <w:shd w:fill="FFFFFF" w:val="clear"/>
            <w:tcMar>
              <w:top w:type="dxa" w:w="60"/>
              <w:left w:type="dxa" w:w="100"/>
              <w:bottom w:type="dxa" w:w="60"/>
              <w:right w:type="dxa" w:w="100"/>
            </w:tcMar>
            <w:vAlign w:val="center"/>
          </w:tcPr>
          <w:p>
            <w:pPr>
              <w:jc w:val="left"/>
            </w:pPr>
            <w:r>
              <w:rPr>
                <w:b w:val="false"/>
                <w:bCs w:val="false"/>
              </w:rPr>
              <w:t xml:space="preserve">&lt; 3s</w:t>
            </w:r>
          </w:p>
        </w:tc>
      </w:tr>
      <w:tr>
        <w:tc>
          <w:tcPr>
            <w:tcW w:type="dxa" w:w="5200"/>
            <w:shd w:fill="F2F2F2" w:val="clear"/>
            <w:tcMar>
              <w:top w:type="dxa" w:w="60"/>
              <w:left w:type="dxa" w:w="100"/>
              <w:bottom w:type="dxa" w:w="60"/>
              <w:right w:type="dxa" w:w="100"/>
            </w:tcMar>
            <w:vAlign w:val="center"/>
          </w:tcPr>
          <w:p>
            <w:pPr>
              <w:jc w:val="left"/>
            </w:pPr>
            <w:r>
              <w:rPr>
                <w:b w:val="false"/>
                <w:bCs w:val="false"/>
              </w:rPr>
              <w:t xml:space="preserve">Concurrent users supported (initial, single mid-size hospital)</w:t>
            </w:r>
          </w:p>
        </w:tc>
        <w:tc>
          <w:tcPr>
            <w:tcW w:type="dxa" w:w="4160"/>
            <w:shd w:fill="F2F2F2" w:val="clear"/>
            <w:tcMar>
              <w:top w:type="dxa" w:w="60"/>
              <w:left w:type="dxa" w:w="100"/>
              <w:bottom w:type="dxa" w:w="60"/>
              <w:right w:type="dxa" w:w="100"/>
            </w:tcMar>
            <w:vAlign w:val="center"/>
          </w:tcPr>
          <w:p>
            <w:pPr>
              <w:jc w:val="left"/>
            </w:pPr>
            <w:r>
              <w:rPr>
                <w:b w:val="false"/>
                <w:bCs w:val="false"/>
              </w:rPr>
              <w:t xml:space="preserve">300 concurrent staff sessions</w:t>
            </w:r>
          </w:p>
        </w:tc>
      </w:tr>
      <w:tr>
        <w:tc>
          <w:tcPr>
            <w:tcW w:type="dxa" w:w="5200"/>
            <w:shd w:fill="FFFFFF" w:val="clear"/>
            <w:tcMar>
              <w:top w:type="dxa" w:w="60"/>
              <w:left w:type="dxa" w:w="100"/>
              <w:bottom w:type="dxa" w:w="60"/>
              <w:right w:type="dxa" w:w="100"/>
            </w:tcMar>
            <w:vAlign w:val="center"/>
          </w:tcPr>
          <w:p>
            <w:pPr>
              <w:jc w:val="left"/>
            </w:pPr>
            <w:r>
              <w:rPr>
                <w:b w:val="false"/>
                <w:bCs w:val="false"/>
              </w:rPr>
              <w:t xml:space="preserve">Lab critical-value notification latency</w:t>
            </w:r>
          </w:p>
        </w:tc>
        <w:tc>
          <w:tcPr>
            <w:tcW w:type="dxa" w:w="4160"/>
            <w:shd w:fill="FFFFFF" w:val="clear"/>
            <w:tcMar>
              <w:top w:type="dxa" w:w="60"/>
              <w:left w:type="dxa" w:w="100"/>
              <w:bottom w:type="dxa" w:w="60"/>
              <w:right w:type="dxa" w:w="100"/>
            </w:tcMar>
            <w:vAlign w:val="center"/>
          </w:tcPr>
          <w:p>
            <w:pPr>
              <w:jc w:val="left"/>
            </w:pPr>
            <w:r>
              <w:rPr>
                <w:b w:val="false"/>
                <w:bCs w:val="false"/>
              </w:rPr>
              <w:t xml:space="preserve">&lt; 60s from verification to alert delivery</w:t>
            </w:r>
          </w:p>
        </w:tc>
      </w:tr>
    </w:tbl>
    <w:p>
      <w:pPr>
        <w:pStyle w:val="Heading2"/>
        <w:spacing w:after="140" w:before="320"/>
      </w:pPr>
      <w:r>
        <w:t xml:space="preserve">3.2 Scalability &amp; Availability</w:t>
      </w:r>
    </w:p>
    <w:p>
      <w:pPr>
        <w:pStyle w:val="ListParagraph"/>
        <w:numPr>
          <w:ilvl w:val="0"/>
          <w:numId w:val="2"/>
        </w:numPr>
        <w:spacing w:after="70"/>
      </w:pPr>
      <w:r>
        <w:t xml:space="preserve">Target uptime: 99.5% for Phase 1–2 (single facility), moving to 99.9% once multiple facilities depend on the platform for live clinical operations.</w:t>
      </w:r>
    </w:p>
    <w:p>
      <w:pPr>
        <w:pStyle w:val="ListParagraph"/>
        <w:numPr>
          <w:ilvl w:val="0"/>
          <w:numId w:val="2"/>
        </w:numPr>
        <w:spacing w:after="70"/>
      </w:pPr>
      <w:r>
        <w:t xml:space="preserve">The backend must scale horizontally — stateless Django app servers behind a load balancer, session/auth state in Redis, not in-process memory.</w:t>
      </w:r>
    </w:p>
    <w:p>
      <w:pPr>
        <w:pStyle w:val="ListParagraph"/>
        <w:numPr>
          <w:ilvl w:val="0"/>
          <w:numId w:val="2"/>
        </w:numPr>
        <w:spacing w:after="70"/>
      </w:pPr>
      <w:r>
        <w:t xml:space="preserve">Database must support read replicas for reporting/analytics load without impacting transactional (OPD, billing) performance.</w:t>
      </w:r>
    </w:p>
    <w:p>
      <w:pPr>
        <w:pStyle w:val="ListParagraph"/>
        <w:numPr>
          <w:ilvl w:val="0"/>
          <w:numId w:val="2"/>
        </w:numPr>
        <w:spacing w:after="70"/>
      </w:pPr>
      <w:r>
        <w:t xml:space="preserve">Multi-facility scaling (Phase 3) must not require a schema migration — this is why facility_id is present from Phase 1 (Section 2).</w:t>
      </w:r>
    </w:p>
    <w:p>
      <w:pPr>
        <w:pStyle w:val="Heading2"/>
        <w:spacing w:after="140" w:before="320"/>
      </w:pPr>
      <w:r>
        <w:t xml:space="preserve">3.3 Security &amp; Compliance</w:t>
      </w:r>
    </w:p>
    <w:p>
      <w:pPr>
        <w:pStyle w:val="ListParagraph"/>
        <w:numPr>
          <w:ilvl w:val="0"/>
          <w:numId w:val="2"/>
        </w:numPr>
        <w:spacing w:after="70"/>
      </w:pPr>
      <w:r>
        <w:t xml:space="preserve">All traffic over TLS 1.2+; no unencrypted endpoint, including internal service-to-service calls in production.</w:t>
      </w:r>
    </w:p>
    <w:p>
      <w:pPr>
        <w:pStyle w:val="ListParagraph"/>
        <w:numPr>
          <w:ilvl w:val="0"/>
          <w:numId w:val="2"/>
        </w:numPr>
        <w:spacing w:after="70"/>
      </w:pPr>
      <w:r>
        <w:t xml:space="preserve">Encryption at rest for the database and object storage (see BRD Section 7.3).</w:t>
      </w:r>
    </w:p>
    <w:p>
      <w:pPr>
        <w:pStyle w:val="ListParagraph"/>
        <w:numPr>
          <w:ilvl w:val="0"/>
          <w:numId w:val="2"/>
        </w:numPr>
        <w:spacing w:after="70"/>
      </w:pPr>
      <w:r>
        <w:t xml:space="preserve">Password policy, MFA for privileged roles (Administrator, Finance Manager, IT Administrator, Medical Director), and session timeout enforced at the API layer, not just the frontend.</w:t>
      </w:r>
    </w:p>
    <w:p>
      <w:pPr>
        <w:pStyle w:val="ListParagraph"/>
        <w:numPr>
          <w:ilvl w:val="0"/>
          <w:numId w:val="2"/>
        </w:numPr>
        <w:spacing w:after="70"/>
      </w:pPr>
      <w:r>
        <w:t xml:space="preserve">Compliance target: Kenya's Data Protection Act, 2019, plus general health-data handling good practice (least-privilege access, audit trails, right-to-access/export for patients). Confirm with legal counsel before go-live whether sector-specific health-data regulation applies beyond the general Data Protection Act.</w:t>
      </w:r>
    </w:p>
    <w:p>
      <w:pPr>
        <w:pStyle w:val="ListParagraph"/>
        <w:numPr>
          <w:ilvl w:val="0"/>
          <w:numId w:val="2"/>
        </w:numPr>
        <w:spacing w:after="70"/>
      </w:pPr>
      <w:r>
        <w:t xml:space="preserve">OWASP Top 10 mitigations are a release gate, not a nice-to-have — enforced via automated dependency scanning and a pre-launch penetration test.</w:t>
      </w:r>
    </w:p>
    <w:p>
      <w:pPr>
        <w:pStyle w:val="Heading2"/>
        <w:spacing w:after="140" w:before="320"/>
      </w:pPr>
      <w:r>
        <w:t xml:space="preserve">3.4 Usability &amp; Accessibility</w:t>
      </w:r>
    </w:p>
    <w:p>
      <w:pPr>
        <w:pStyle w:val="ListParagraph"/>
        <w:numPr>
          <w:ilvl w:val="0"/>
          <w:numId w:val="2"/>
        </w:numPr>
        <w:spacing w:after="70"/>
      </w:pPr>
      <w:r>
        <w:t xml:space="preserve">Web console targets desktop-first (clinical/admin staff on workstations) but must remain usable on tablets for ward-side nursing use.</w:t>
      </w:r>
    </w:p>
    <w:p>
      <w:pPr>
        <w:pStyle w:val="ListParagraph"/>
        <w:numPr>
          <w:ilvl w:val="0"/>
          <w:numId w:val="2"/>
        </w:numPr>
        <w:spacing w:after="70"/>
      </w:pPr>
      <w:r>
        <w:t xml:space="preserve">Mobile app targets Android first, given device distribution in the target market, with iOS as a fast-follow — confirm this assumption with product before mobile work starts.</w:t>
      </w:r>
    </w:p>
    <w:p>
      <w:pPr>
        <w:pStyle w:val="ListParagraph"/>
        <w:numPr>
          <w:ilvl w:val="0"/>
          <w:numId w:val="2"/>
        </w:numPr>
        <w:spacing w:after="70"/>
      </w:pPr>
      <w:r>
        <w:t xml:space="preserve">WCAG 2.1 AA as a target for the web console's color contrast and keyboard navigation, given clinical staff use this for extended shifts.</w:t>
      </w:r>
    </w:p>
    <w:p>
      <w:pPr>
        <w:pStyle w:val="Heading2"/>
        <w:spacing w:after="140" w:before="320"/>
      </w:pPr>
      <w:r>
        <w:t xml:space="preserve">3.5 Maintainability</w:t>
      </w:r>
    </w:p>
    <w:p>
      <w:pPr>
        <w:pStyle w:val="ListParagraph"/>
        <w:numPr>
          <w:ilvl w:val="0"/>
          <w:numId w:val="2"/>
        </w:numPr>
        <w:spacing w:after="70"/>
      </w:pPr>
      <w:r>
        <w:t xml:space="preserve">Minimum automated test coverage: 80% for backend business logic (models, serializers, permission classes), 60% for frontend component logic.</w:t>
      </w:r>
    </w:p>
    <w:p>
      <w:pPr>
        <w:pStyle w:val="ListParagraph"/>
        <w:numPr>
          <w:ilvl w:val="0"/>
          <w:numId w:val="2"/>
        </w:numPr>
        <w:spacing w:after="70"/>
      </w:pPr>
      <w:r>
        <w:t xml:space="preserve">Every Django app ships with its own OpenAPI schema section, generated from DRF serializers — not maintained by hand in a separate document.</w:t>
      </w:r>
    </w:p>
    <w:p>
      <w:pPr>
        <w:pStyle w:val="ListParagraph"/>
        <w:numPr>
          <w:ilvl w:val="0"/>
          <w:numId w:val="2"/>
        </w:numPr>
        <w:spacing w:after="70"/>
      </w:pPr>
      <w:r>
        <w:t xml:space="preserve">No module may query another module's database tables directly; cross-module data access goes through that module's service layer / API, even within the monolith, to keep the later microservice-extraction path (Section 4.4) realistic.</w:t>
      </w:r>
    </w:p>
    <w:p>
      <w:pPr>
        <w:pStyle w:val="Heading1"/>
        <w:pageBreakBefore/>
        <w:spacing w:after="200" w:before="200"/>
      </w:pPr>
      <w:r>
        <w:t xml:space="preserve">4. Backend Architecture — Django</w:t>
      </w:r>
    </w:p>
    <w:p>
      <w:pPr>
        <w:pStyle w:val="Heading2"/>
        <w:spacing w:after="140" w:before="320"/>
      </w:pPr>
      <w:r>
        <w:t xml:space="preserve">4.1 Application Structure</w:t>
      </w:r>
    </w:p>
    <w:p>
      <w:pPr>
        <w:spacing w:after="160"/>
      </w:pPr>
      <w:r>
        <w:rPr>
          <w:b w:val="false"/>
          <w:bCs w:val="false"/>
          <w:i w:val="false"/>
          <w:iCs w:val="false"/>
        </w:rPr>
        <w:t xml:space="preserve">The backend is a single Django project composed of one Django app per BRD module, plus shared/core apps. This keeps ownership boundaries clear while avoiding premature microservice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F3864" w:val="clear"/>
            <w:tcMar>
              <w:top w:type="dxa" w:w="60"/>
              <w:left w:type="dxa" w:w="100"/>
              <w:bottom w:type="dxa" w:w="60"/>
              <w:right w:type="dxa" w:w="100"/>
            </w:tcMar>
            <w:vAlign w:val="center"/>
          </w:tcPr>
          <w:p>
            <w:pPr>
              <w:jc w:val="left"/>
            </w:pPr>
            <w:r>
              <w:rPr>
                <w:b/>
                <w:bCs/>
                <w:color w:val="FFFFFF"/>
              </w:rPr>
              <w:t xml:space="preserve">Django App</w:t>
            </w:r>
          </w:p>
        </w:tc>
        <w:tc>
          <w:tcPr>
            <w:tcW w:type="dxa" w:w="7360"/>
            <w:shd w:fill="1F3864" w:val="clear"/>
            <w:tcMar>
              <w:top w:type="dxa" w:w="60"/>
              <w:left w:type="dxa" w:w="100"/>
              <w:bottom w:type="dxa" w:w="60"/>
              <w:right w:type="dxa" w:w="100"/>
            </w:tcMar>
            <w:vAlign w:val="center"/>
          </w:tcPr>
          <w:p>
            <w:pPr>
              <w:jc w:val="left"/>
            </w:pPr>
            <w:r>
              <w:rPr>
                <w:b/>
                <w:bCs/>
                <w:color w:val="FFFFFF"/>
              </w:rPr>
              <w:t xml:space="preserve">Responsibility</w:t>
            </w:r>
          </w:p>
        </w:tc>
      </w:tr>
      <w:tr>
        <w:tc>
          <w:tcPr>
            <w:tcW w:type="dxa" w:w="2000"/>
            <w:shd w:fill="FFFFFF" w:val="clear"/>
            <w:tcMar>
              <w:top w:type="dxa" w:w="60"/>
              <w:left w:type="dxa" w:w="100"/>
              <w:bottom w:type="dxa" w:w="60"/>
              <w:right w:type="dxa" w:w="100"/>
            </w:tcMar>
            <w:vAlign w:val="center"/>
          </w:tcPr>
          <w:p>
            <w:pPr>
              <w:jc w:val="left"/>
            </w:pPr>
            <w:r>
              <w:rPr>
                <w:b w:val="false"/>
                <w:bCs w:val="false"/>
              </w:rPr>
              <w:t xml:space="preserve">core</w:t>
            </w:r>
          </w:p>
        </w:tc>
        <w:tc>
          <w:tcPr>
            <w:tcW w:type="dxa" w:w="7360"/>
            <w:shd w:fill="FFFFFF" w:val="clear"/>
            <w:tcMar>
              <w:top w:type="dxa" w:w="60"/>
              <w:left w:type="dxa" w:w="100"/>
              <w:bottom w:type="dxa" w:w="60"/>
              <w:right w:type="dxa" w:w="100"/>
            </w:tcMar>
            <w:vAlign w:val="center"/>
          </w:tcPr>
          <w:p>
            <w:pPr>
              <w:jc w:val="left"/>
            </w:pPr>
            <w:r>
              <w:rPr>
                <w:b w:val="false"/>
                <w:bCs w:val="false"/>
              </w:rPr>
              <w:t xml:space="preserve">Facility/department model, base audit-log mixin, base permission classes, shared utilities</w:t>
            </w:r>
          </w:p>
        </w:tc>
      </w:tr>
      <w:tr>
        <w:tc>
          <w:tcPr>
            <w:tcW w:type="dxa" w:w="2000"/>
            <w:shd w:fill="F2F2F2" w:val="clear"/>
            <w:tcMar>
              <w:top w:type="dxa" w:w="60"/>
              <w:left w:type="dxa" w:w="100"/>
              <w:bottom w:type="dxa" w:w="60"/>
              <w:right w:type="dxa" w:w="100"/>
            </w:tcMar>
            <w:vAlign w:val="center"/>
          </w:tcPr>
          <w:p>
            <w:pPr>
              <w:jc w:val="left"/>
            </w:pPr>
            <w:r>
              <w:rPr>
                <w:b w:val="false"/>
                <w:bCs w:val="false"/>
              </w:rPr>
              <w:t xml:space="preserve">accounts</w:t>
            </w:r>
          </w:p>
        </w:tc>
        <w:tc>
          <w:tcPr>
            <w:tcW w:type="dxa" w:w="7360"/>
            <w:shd w:fill="F2F2F2" w:val="clear"/>
            <w:tcMar>
              <w:top w:type="dxa" w:w="60"/>
              <w:left w:type="dxa" w:w="100"/>
              <w:bottom w:type="dxa" w:w="60"/>
              <w:right w:type="dxa" w:w="100"/>
            </w:tcMar>
            <w:vAlign w:val="center"/>
          </w:tcPr>
          <w:p>
            <w:pPr>
              <w:jc w:val="left"/>
            </w:pPr>
            <w:r>
              <w:rPr>
                <w:b w:val="false"/>
                <w:bCs w:val="false"/>
              </w:rPr>
              <w:t xml:space="preserve">User accounts, authentication, MFA, role/permission assignment (the RBAC engine from BRD Section 8)</w:t>
            </w:r>
          </w:p>
        </w:tc>
      </w:tr>
      <w:tr>
        <w:tc>
          <w:tcPr>
            <w:tcW w:type="dxa" w:w="2000"/>
            <w:shd w:fill="FFFFFF" w:val="clear"/>
            <w:tcMar>
              <w:top w:type="dxa" w:w="60"/>
              <w:left w:type="dxa" w:w="100"/>
              <w:bottom w:type="dxa" w:w="60"/>
              <w:right w:type="dxa" w:w="100"/>
            </w:tcMar>
            <w:vAlign w:val="center"/>
          </w:tcPr>
          <w:p>
            <w:pPr>
              <w:jc w:val="left"/>
            </w:pPr>
            <w:r>
              <w:rPr>
                <w:b w:val="false"/>
                <w:bCs w:val="false"/>
              </w:rPr>
              <w:t xml:space="preserve">patients</w:t>
            </w:r>
          </w:p>
        </w:tc>
        <w:tc>
          <w:tcPr>
            <w:tcW w:type="dxa" w:w="7360"/>
            <w:shd w:fill="FFFFFF" w:val="clear"/>
            <w:tcMar>
              <w:top w:type="dxa" w:w="60"/>
              <w:left w:type="dxa" w:w="100"/>
              <w:bottom w:type="dxa" w:w="60"/>
              <w:right w:type="dxa" w:w="100"/>
            </w:tcMar>
            <w:vAlign w:val="center"/>
          </w:tcPr>
          <w:p>
            <w:pPr>
              <w:jc w:val="left"/>
            </w:pPr>
            <w:r>
              <w:rPr>
                <w:b w:val="false"/>
                <w:bCs w:val="false"/>
              </w:rPr>
              <w:t xml:space="preserve">Patient Management module</w:t>
            </w:r>
          </w:p>
        </w:tc>
      </w:tr>
      <w:tr>
        <w:tc>
          <w:tcPr>
            <w:tcW w:type="dxa" w:w="2000"/>
            <w:shd w:fill="F2F2F2" w:val="clear"/>
            <w:tcMar>
              <w:top w:type="dxa" w:w="60"/>
              <w:left w:type="dxa" w:w="100"/>
              <w:bottom w:type="dxa" w:w="60"/>
              <w:right w:type="dxa" w:w="100"/>
            </w:tcMar>
            <w:vAlign w:val="center"/>
          </w:tcPr>
          <w:p>
            <w:pPr>
              <w:jc w:val="left"/>
            </w:pPr>
            <w:r>
              <w:rPr>
                <w:b w:val="false"/>
                <w:bCs w:val="false"/>
              </w:rPr>
              <w:t xml:space="preserve">appointments</w:t>
            </w:r>
          </w:p>
        </w:tc>
        <w:tc>
          <w:tcPr>
            <w:tcW w:type="dxa" w:w="7360"/>
            <w:shd w:fill="F2F2F2" w:val="clear"/>
            <w:tcMar>
              <w:top w:type="dxa" w:w="60"/>
              <w:left w:type="dxa" w:w="100"/>
              <w:bottom w:type="dxa" w:w="60"/>
              <w:right w:type="dxa" w:w="100"/>
            </w:tcMar>
            <w:vAlign w:val="center"/>
          </w:tcPr>
          <w:p>
            <w:pPr>
              <w:jc w:val="left"/>
            </w:pPr>
            <w:r>
              <w:rPr>
                <w:b w:val="false"/>
                <w:bCs w:val="false"/>
              </w:rPr>
              <w:t xml:space="preserve">Appointments &amp; Queue Management</w:t>
            </w:r>
          </w:p>
        </w:tc>
      </w:tr>
      <w:tr>
        <w:tc>
          <w:tcPr>
            <w:tcW w:type="dxa" w:w="2000"/>
            <w:shd w:fill="FFFFFF" w:val="clear"/>
            <w:tcMar>
              <w:top w:type="dxa" w:w="60"/>
              <w:left w:type="dxa" w:w="100"/>
              <w:bottom w:type="dxa" w:w="60"/>
              <w:right w:type="dxa" w:w="100"/>
            </w:tcMar>
            <w:vAlign w:val="center"/>
          </w:tcPr>
          <w:p>
            <w:pPr>
              <w:jc w:val="left"/>
            </w:pPr>
            <w:r>
              <w:rPr>
                <w:b w:val="false"/>
                <w:bCs w:val="false"/>
              </w:rPr>
              <w:t xml:space="preserve">opd</w:t>
            </w:r>
          </w:p>
        </w:tc>
        <w:tc>
          <w:tcPr>
            <w:tcW w:type="dxa" w:w="7360"/>
            <w:shd w:fill="FFFFFF" w:val="clear"/>
            <w:tcMar>
              <w:top w:type="dxa" w:w="60"/>
              <w:left w:type="dxa" w:w="100"/>
              <w:bottom w:type="dxa" w:w="60"/>
              <w:right w:type="dxa" w:w="100"/>
            </w:tcMar>
            <w:vAlign w:val="center"/>
          </w:tcPr>
          <w:p>
            <w:pPr>
              <w:jc w:val="left"/>
            </w:pPr>
            <w:r>
              <w:rPr>
                <w:b w:val="false"/>
                <w:bCs w:val="false"/>
              </w:rPr>
              <w:t xml:space="preserve">OPD / Clinical Management</w:t>
            </w:r>
          </w:p>
        </w:tc>
      </w:tr>
      <w:tr>
        <w:tc>
          <w:tcPr>
            <w:tcW w:type="dxa" w:w="2000"/>
            <w:shd w:fill="F2F2F2" w:val="clear"/>
            <w:tcMar>
              <w:top w:type="dxa" w:w="60"/>
              <w:left w:type="dxa" w:w="100"/>
              <w:bottom w:type="dxa" w:w="60"/>
              <w:right w:type="dxa" w:w="100"/>
            </w:tcMar>
            <w:vAlign w:val="center"/>
          </w:tcPr>
          <w:p>
            <w:pPr>
              <w:jc w:val="left"/>
            </w:pPr>
            <w:r>
              <w:rPr>
                <w:b w:val="false"/>
                <w:bCs w:val="false"/>
              </w:rPr>
              <w:t xml:space="preserve">inpatient</w:t>
            </w:r>
          </w:p>
        </w:tc>
        <w:tc>
          <w:tcPr>
            <w:tcW w:type="dxa" w:w="7360"/>
            <w:shd w:fill="F2F2F2" w:val="clear"/>
            <w:tcMar>
              <w:top w:type="dxa" w:w="60"/>
              <w:left w:type="dxa" w:w="100"/>
              <w:bottom w:type="dxa" w:w="60"/>
              <w:right w:type="dxa" w:w="100"/>
            </w:tcMar>
            <w:vAlign w:val="center"/>
          </w:tcPr>
          <w:p>
            <w:pPr>
              <w:jc w:val="left"/>
            </w:pPr>
            <w:r>
              <w:rPr>
                <w:b w:val="false"/>
                <w:bCs w:val="false"/>
              </w:rPr>
              <w:t xml:space="preserve">Inpatient / Ward Management</w:t>
            </w:r>
          </w:p>
        </w:tc>
      </w:tr>
      <w:tr>
        <w:tc>
          <w:tcPr>
            <w:tcW w:type="dxa" w:w="2000"/>
            <w:shd w:fill="FFFFFF" w:val="clear"/>
            <w:tcMar>
              <w:top w:type="dxa" w:w="60"/>
              <w:left w:type="dxa" w:w="100"/>
              <w:bottom w:type="dxa" w:w="60"/>
              <w:right w:type="dxa" w:w="100"/>
            </w:tcMar>
            <w:vAlign w:val="center"/>
          </w:tcPr>
          <w:p>
            <w:pPr>
              <w:jc w:val="left"/>
            </w:pPr>
            <w:r>
              <w:rPr>
                <w:b w:val="false"/>
                <w:bCs w:val="false"/>
              </w:rPr>
              <w:t xml:space="preserve">nursing</w:t>
            </w:r>
          </w:p>
        </w:tc>
        <w:tc>
          <w:tcPr>
            <w:tcW w:type="dxa" w:w="7360"/>
            <w:shd w:fill="FFFFFF" w:val="clear"/>
            <w:tcMar>
              <w:top w:type="dxa" w:w="60"/>
              <w:left w:type="dxa" w:w="100"/>
              <w:bottom w:type="dxa" w:w="60"/>
              <w:right w:type="dxa" w:w="100"/>
            </w:tcMar>
            <w:vAlign w:val="center"/>
          </w:tcPr>
          <w:p>
            <w:pPr>
              <w:jc w:val="left"/>
            </w:pPr>
            <w:r>
              <w:rPr>
                <w:b w:val="false"/>
                <w:bCs w:val="false"/>
              </w:rPr>
              <w:t xml:space="preserve">Nursing Management</w:t>
            </w:r>
          </w:p>
        </w:tc>
      </w:tr>
      <w:tr>
        <w:tc>
          <w:tcPr>
            <w:tcW w:type="dxa" w:w="2000"/>
            <w:shd w:fill="F2F2F2" w:val="clear"/>
            <w:tcMar>
              <w:top w:type="dxa" w:w="60"/>
              <w:left w:type="dxa" w:w="100"/>
              <w:bottom w:type="dxa" w:w="60"/>
              <w:right w:type="dxa" w:w="100"/>
            </w:tcMar>
            <w:vAlign w:val="center"/>
          </w:tcPr>
          <w:p>
            <w:pPr>
              <w:jc w:val="left"/>
            </w:pPr>
            <w:r>
              <w:rPr>
                <w:b w:val="false"/>
                <w:bCs w:val="false"/>
              </w:rPr>
              <w:t xml:space="preserve">laboratory</w:t>
            </w:r>
          </w:p>
        </w:tc>
        <w:tc>
          <w:tcPr>
            <w:tcW w:type="dxa" w:w="7360"/>
            <w:shd w:fill="F2F2F2" w:val="clear"/>
            <w:tcMar>
              <w:top w:type="dxa" w:w="60"/>
              <w:left w:type="dxa" w:w="100"/>
              <w:bottom w:type="dxa" w:w="60"/>
              <w:right w:type="dxa" w:w="100"/>
            </w:tcMar>
            <w:vAlign w:val="center"/>
          </w:tcPr>
          <w:p>
            <w:pPr>
              <w:jc w:val="left"/>
            </w:pPr>
            <w:r>
              <w:rPr>
                <w:b w:val="false"/>
                <w:bCs w:val="false"/>
              </w:rPr>
              <w:t xml:space="preserve">Laboratory Information System (LIS)</w:t>
            </w:r>
          </w:p>
        </w:tc>
      </w:tr>
      <w:tr>
        <w:tc>
          <w:tcPr>
            <w:tcW w:type="dxa" w:w="2000"/>
            <w:shd w:fill="FFFFFF" w:val="clear"/>
            <w:tcMar>
              <w:top w:type="dxa" w:w="60"/>
              <w:left w:type="dxa" w:w="100"/>
              <w:bottom w:type="dxa" w:w="60"/>
              <w:right w:type="dxa" w:w="100"/>
            </w:tcMar>
            <w:vAlign w:val="center"/>
          </w:tcPr>
          <w:p>
            <w:pPr>
              <w:jc w:val="left"/>
            </w:pPr>
            <w:r>
              <w:rPr>
                <w:b w:val="false"/>
                <w:bCs w:val="false"/>
              </w:rPr>
              <w:t xml:space="preserve">radiology</w:t>
            </w:r>
          </w:p>
        </w:tc>
        <w:tc>
          <w:tcPr>
            <w:tcW w:type="dxa" w:w="7360"/>
            <w:shd w:fill="FFFFFF" w:val="clear"/>
            <w:tcMar>
              <w:top w:type="dxa" w:w="60"/>
              <w:left w:type="dxa" w:w="100"/>
              <w:bottom w:type="dxa" w:w="60"/>
              <w:right w:type="dxa" w:w="100"/>
            </w:tcMar>
            <w:vAlign w:val="center"/>
          </w:tcPr>
          <w:p>
            <w:pPr>
              <w:jc w:val="left"/>
            </w:pPr>
            <w:r>
              <w:rPr>
                <w:b w:val="false"/>
                <w:bCs w:val="false"/>
              </w:rPr>
              <w:t xml:space="preserve">Radiology / Imaging</w:t>
            </w:r>
          </w:p>
        </w:tc>
      </w:tr>
      <w:tr>
        <w:tc>
          <w:tcPr>
            <w:tcW w:type="dxa" w:w="2000"/>
            <w:shd w:fill="F2F2F2" w:val="clear"/>
            <w:tcMar>
              <w:top w:type="dxa" w:w="60"/>
              <w:left w:type="dxa" w:w="100"/>
              <w:bottom w:type="dxa" w:w="60"/>
              <w:right w:type="dxa" w:w="100"/>
            </w:tcMar>
            <w:vAlign w:val="center"/>
          </w:tcPr>
          <w:p>
            <w:pPr>
              <w:jc w:val="left"/>
            </w:pPr>
            <w:r>
              <w:rPr>
                <w:b w:val="false"/>
                <w:bCs w:val="false"/>
              </w:rPr>
              <w:t xml:space="preserve">pharmacy</w:t>
            </w:r>
          </w:p>
        </w:tc>
        <w:tc>
          <w:tcPr>
            <w:tcW w:type="dxa" w:w="7360"/>
            <w:shd w:fill="F2F2F2" w:val="clear"/>
            <w:tcMar>
              <w:top w:type="dxa" w:w="60"/>
              <w:left w:type="dxa" w:w="100"/>
              <w:bottom w:type="dxa" w:w="60"/>
              <w:right w:type="dxa" w:w="100"/>
            </w:tcMar>
            <w:vAlign w:val="center"/>
          </w:tcPr>
          <w:p>
            <w:pPr>
              <w:jc w:val="left"/>
            </w:pPr>
            <w:r>
              <w:rPr>
                <w:b w:val="false"/>
                <w:bCs w:val="false"/>
              </w:rPr>
              <w:t xml:space="preserve">Pharmacy Management</w:t>
            </w:r>
          </w:p>
        </w:tc>
      </w:tr>
      <w:tr>
        <w:tc>
          <w:tcPr>
            <w:tcW w:type="dxa" w:w="2000"/>
            <w:shd w:fill="FFFFFF" w:val="clear"/>
            <w:tcMar>
              <w:top w:type="dxa" w:w="60"/>
              <w:left w:type="dxa" w:w="100"/>
              <w:bottom w:type="dxa" w:w="60"/>
              <w:right w:type="dxa" w:w="100"/>
            </w:tcMar>
            <w:vAlign w:val="center"/>
          </w:tcPr>
          <w:p>
            <w:pPr>
              <w:jc w:val="left"/>
            </w:pPr>
            <w:r>
              <w:rPr>
                <w:b w:val="false"/>
                <w:bCs w:val="false"/>
              </w:rPr>
              <w:t xml:space="preserve">billing</w:t>
            </w:r>
          </w:p>
        </w:tc>
        <w:tc>
          <w:tcPr>
            <w:tcW w:type="dxa" w:w="7360"/>
            <w:shd w:fill="FFFFFF" w:val="clear"/>
            <w:tcMar>
              <w:top w:type="dxa" w:w="60"/>
              <w:left w:type="dxa" w:w="100"/>
              <w:bottom w:type="dxa" w:w="60"/>
              <w:right w:type="dxa" w:w="100"/>
            </w:tcMar>
            <w:vAlign w:val="center"/>
          </w:tcPr>
          <w:p>
            <w:pPr>
              <w:jc w:val="left"/>
            </w:pPr>
            <w:r>
              <w:rPr>
                <w:b w:val="false"/>
                <w:bCs w:val="false"/>
              </w:rPr>
              <w:t xml:space="preserve">Billing &amp; Revenue Management</w:t>
            </w:r>
          </w:p>
        </w:tc>
      </w:tr>
      <w:tr>
        <w:tc>
          <w:tcPr>
            <w:tcW w:type="dxa" w:w="2000"/>
            <w:shd w:fill="F2F2F2" w:val="clear"/>
            <w:tcMar>
              <w:top w:type="dxa" w:w="60"/>
              <w:left w:type="dxa" w:w="100"/>
              <w:bottom w:type="dxa" w:w="60"/>
              <w:right w:type="dxa" w:w="100"/>
            </w:tcMar>
            <w:vAlign w:val="center"/>
          </w:tcPr>
          <w:p>
            <w:pPr>
              <w:jc w:val="left"/>
            </w:pPr>
            <w:r>
              <w:rPr>
                <w:b w:val="false"/>
                <w:bCs w:val="false"/>
              </w:rPr>
              <w:t xml:space="preserve">insurance</w:t>
            </w:r>
          </w:p>
        </w:tc>
        <w:tc>
          <w:tcPr>
            <w:tcW w:type="dxa" w:w="7360"/>
            <w:shd w:fill="F2F2F2" w:val="clear"/>
            <w:tcMar>
              <w:top w:type="dxa" w:w="60"/>
              <w:left w:type="dxa" w:w="100"/>
              <w:bottom w:type="dxa" w:w="60"/>
              <w:right w:type="dxa" w:w="100"/>
            </w:tcMar>
            <w:vAlign w:val="center"/>
          </w:tcPr>
          <w:p>
            <w:pPr>
              <w:jc w:val="left"/>
            </w:pPr>
            <w:r>
              <w:rPr>
                <w:b w:val="false"/>
                <w:bCs w:val="false"/>
              </w:rPr>
              <w:t xml:space="preserve">Insurance / Claims Management</w:t>
            </w:r>
          </w:p>
        </w:tc>
      </w:tr>
      <w:tr>
        <w:tc>
          <w:tcPr>
            <w:tcW w:type="dxa" w:w="2000"/>
            <w:shd w:fill="FFFFFF" w:val="clear"/>
            <w:tcMar>
              <w:top w:type="dxa" w:w="60"/>
              <w:left w:type="dxa" w:w="100"/>
              <w:bottom w:type="dxa" w:w="60"/>
              <w:right w:type="dxa" w:w="100"/>
            </w:tcMar>
            <w:vAlign w:val="center"/>
          </w:tcPr>
          <w:p>
            <w:pPr>
              <w:jc w:val="left"/>
            </w:pPr>
            <w:r>
              <w:rPr>
                <w:b w:val="false"/>
                <w:bCs w:val="false"/>
              </w:rPr>
              <w:t xml:space="preserve">bloodbank</w:t>
            </w:r>
          </w:p>
        </w:tc>
        <w:tc>
          <w:tcPr>
            <w:tcW w:type="dxa" w:w="7360"/>
            <w:shd w:fill="FFFFFF" w:val="clear"/>
            <w:tcMar>
              <w:top w:type="dxa" w:w="60"/>
              <w:left w:type="dxa" w:w="100"/>
              <w:bottom w:type="dxa" w:w="60"/>
              <w:right w:type="dxa" w:w="100"/>
            </w:tcMar>
            <w:vAlign w:val="center"/>
          </w:tcPr>
          <w:p>
            <w:pPr>
              <w:jc w:val="left"/>
            </w:pPr>
            <w:r>
              <w:rPr>
                <w:b w:val="false"/>
                <w:bCs w:val="false"/>
              </w:rPr>
              <w:t xml:space="preserve">Blood Bank</w:t>
            </w:r>
          </w:p>
        </w:tc>
      </w:tr>
      <w:tr>
        <w:tc>
          <w:tcPr>
            <w:tcW w:type="dxa" w:w="2000"/>
            <w:shd w:fill="F2F2F2" w:val="clear"/>
            <w:tcMar>
              <w:top w:type="dxa" w:w="60"/>
              <w:left w:type="dxa" w:w="100"/>
              <w:bottom w:type="dxa" w:w="60"/>
              <w:right w:type="dxa" w:w="100"/>
            </w:tcMar>
            <w:vAlign w:val="center"/>
          </w:tcPr>
          <w:p>
            <w:pPr>
              <w:jc w:val="left"/>
            </w:pPr>
            <w:r>
              <w:rPr>
                <w:b w:val="false"/>
                <w:bCs w:val="false"/>
              </w:rPr>
              <w:t xml:space="preserve">emergency</w:t>
            </w:r>
          </w:p>
        </w:tc>
        <w:tc>
          <w:tcPr>
            <w:tcW w:type="dxa" w:w="7360"/>
            <w:shd w:fill="F2F2F2" w:val="clear"/>
            <w:tcMar>
              <w:top w:type="dxa" w:w="60"/>
              <w:left w:type="dxa" w:w="100"/>
              <w:bottom w:type="dxa" w:w="60"/>
              <w:right w:type="dxa" w:w="100"/>
            </w:tcMar>
            <w:vAlign w:val="center"/>
          </w:tcPr>
          <w:p>
            <w:pPr>
              <w:jc w:val="left"/>
            </w:pPr>
            <w:r>
              <w:rPr>
                <w:b w:val="false"/>
                <w:bCs w:val="false"/>
              </w:rPr>
              <w:t xml:space="preserve">Emergency / Casualty</w:t>
            </w:r>
          </w:p>
        </w:tc>
      </w:tr>
      <w:tr>
        <w:tc>
          <w:tcPr>
            <w:tcW w:type="dxa" w:w="2000"/>
            <w:shd w:fill="FFFFFF" w:val="clear"/>
            <w:tcMar>
              <w:top w:type="dxa" w:w="60"/>
              <w:left w:type="dxa" w:w="100"/>
              <w:bottom w:type="dxa" w:w="60"/>
              <w:right w:type="dxa" w:w="100"/>
            </w:tcMar>
            <w:vAlign w:val="center"/>
          </w:tcPr>
          <w:p>
            <w:pPr>
              <w:jc w:val="left"/>
            </w:pPr>
            <w:r>
              <w:rPr>
                <w:b w:val="false"/>
                <w:bCs w:val="false"/>
              </w:rPr>
              <w:t xml:space="preserve">theatre</w:t>
            </w:r>
          </w:p>
        </w:tc>
        <w:tc>
          <w:tcPr>
            <w:tcW w:type="dxa" w:w="7360"/>
            <w:shd w:fill="FFFFFF" w:val="clear"/>
            <w:tcMar>
              <w:top w:type="dxa" w:w="60"/>
              <w:left w:type="dxa" w:w="100"/>
              <w:bottom w:type="dxa" w:w="60"/>
              <w:right w:type="dxa" w:w="100"/>
            </w:tcMar>
            <w:vAlign w:val="center"/>
          </w:tcPr>
          <w:p>
            <w:pPr>
              <w:jc w:val="left"/>
            </w:pPr>
            <w:r>
              <w:rPr>
                <w:b w:val="false"/>
                <w:bCs w:val="false"/>
              </w:rPr>
              <w:t xml:space="preserve">Theatre / Operating Room</w:t>
            </w:r>
          </w:p>
        </w:tc>
      </w:tr>
      <w:tr>
        <w:tc>
          <w:tcPr>
            <w:tcW w:type="dxa" w:w="2000"/>
            <w:shd w:fill="F2F2F2" w:val="clear"/>
            <w:tcMar>
              <w:top w:type="dxa" w:w="60"/>
              <w:left w:type="dxa" w:w="100"/>
              <w:bottom w:type="dxa" w:w="60"/>
              <w:right w:type="dxa" w:w="100"/>
            </w:tcMar>
            <w:vAlign w:val="center"/>
          </w:tcPr>
          <w:p>
            <w:pPr>
              <w:jc w:val="left"/>
            </w:pPr>
            <w:r>
              <w:rPr>
                <w:b w:val="false"/>
                <w:bCs w:val="false"/>
              </w:rPr>
              <w:t xml:space="preserve">ambulance</w:t>
            </w:r>
          </w:p>
        </w:tc>
        <w:tc>
          <w:tcPr>
            <w:tcW w:type="dxa" w:w="7360"/>
            <w:shd w:fill="F2F2F2" w:val="clear"/>
            <w:tcMar>
              <w:top w:type="dxa" w:w="60"/>
              <w:left w:type="dxa" w:w="100"/>
              <w:bottom w:type="dxa" w:w="60"/>
              <w:right w:type="dxa" w:w="100"/>
            </w:tcMar>
            <w:vAlign w:val="center"/>
          </w:tcPr>
          <w:p>
            <w:pPr>
              <w:jc w:val="left"/>
            </w:pPr>
            <w:r>
              <w:rPr>
                <w:b w:val="false"/>
                <w:bCs w:val="false"/>
              </w:rPr>
              <w:t xml:space="preserve">Ambulance Management</w:t>
            </w:r>
          </w:p>
        </w:tc>
      </w:tr>
      <w:tr>
        <w:tc>
          <w:tcPr>
            <w:tcW w:type="dxa" w:w="2000"/>
            <w:shd w:fill="FFFFFF" w:val="clear"/>
            <w:tcMar>
              <w:top w:type="dxa" w:w="60"/>
              <w:left w:type="dxa" w:w="100"/>
              <w:bottom w:type="dxa" w:w="60"/>
              <w:right w:type="dxa" w:w="100"/>
            </w:tcMar>
            <w:vAlign w:val="center"/>
          </w:tcPr>
          <w:p>
            <w:pPr>
              <w:jc w:val="left"/>
            </w:pPr>
            <w:r>
              <w:rPr>
                <w:b w:val="false"/>
                <w:bCs w:val="false"/>
              </w:rPr>
              <w:t xml:space="preserve">inventory</w:t>
            </w:r>
          </w:p>
        </w:tc>
        <w:tc>
          <w:tcPr>
            <w:tcW w:type="dxa" w:w="7360"/>
            <w:shd w:fill="FFFFFF" w:val="clear"/>
            <w:tcMar>
              <w:top w:type="dxa" w:w="60"/>
              <w:left w:type="dxa" w:w="100"/>
              <w:bottom w:type="dxa" w:w="60"/>
              <w:right w:type="dxa" w:w="100"/>
            </w:tcMar>
            <w:vAlign w:val="center"/>
          </w:tcPr>
          <w:p>
            <w:pPr>
              <w:jc w:val="left"/>
            </w:pPr>
            <w:r>
              <w:rPr>
                <w:b w:val="false"/>
                <w:bCs w:val="false"/>
              </w:rPr>
              <w:t xml:space="preserve">Inventory &amp; Procurement</w:t>
            </w:r>
          </w:p>
        </w:tc>
      </w:tr>
      <w:tr>
        <w:tc>
          <w:tcPr>
            <w:tcW w:type="dxa" w:w="2000"/>
            <w:shd w:fill="F2F2F2" w:val="clear"/>
            <w:tcMar>
              <w:top w:type="dxa" w:w="60"/>
              <w:left w:type="dxa" w:w="100"/>
              <w:bottom w:type="dxa" w:w="60"/>
              <w:right w:type="dxa" w:w="100"/>
            </w:tcMar>
            <w:vAlign w:val="center"/>
          </w:tcPr>
          <w:p>
            <w:pPr>
              <w:jc w:val="left"/>
            </w:pPr>
            <w:r>
              <w:rPr>
                <w:b w:val="false"/>
                <w:bCs w:val="false"/>
              </w:rPr>
              <w:t xml:space="preserve">hr</w:t>
            </w:r>
          </w:p>
        </w:tc>
        <w:tc>
          <w:tcPr>
            <w:tcW w:type="dxa" w:w="7360"/>
            <w:shd w:fill="F2F2F2" w:val="clear"/>
            <w:tcMar>
              <w:top w:type="dxa" w:w="60"/>
              <w:left w:type="dxa" w:w="100"/>
              <w:bottom w:type="dxa" w:w="60"/>
              <w:right w:type="dxa" w:w="100"/>
            </w:tcMar>
            <w:vAlign w:val="center"/>
          </w:tcPr>
          <w:p>
            <w:pPr>
              <w:jc w:val="left"/>
            </w:pPr>
            <w:r>
              <w:rPr>
                <w:b w:val="false"/>
                <w:bCs w:val="false"/>
              </w:rPr>
              <w:t xml:space="preserve">HR &amp; Staff Management</w:t>
            </w:r>
          </w:p>
        </w:tc>
      </w:tr>
      <w:tr>
        <w:tc>
          <w:tcPr>
            <w:tcW w:type="dxa" w:w="2000"/>
            <w:shd w:fill="FFFFFF" w:val="clear"/>
            <w:tcMar>
              <w:top w:type="dxa" w:w="60"/>
              <w:left w:type="dxa" w:w="100"/>
              <w:bottom w:type="dxa" w:w="60"/>
              <w:right w:type="dxa" w:w="100"/>
            </w:tcMar>
            <w:vAlign w:val="center"/>
          </w:tcPr>
          <w:p>
            <w:pPr>
              <w:jc w:val="left"/>
            </w:pPr>
            <w:r>
              <w:rPr>
                <w:b w:val="false"/>
                <w:bCs w:val="false"/>
              </w:rPr>
              <w:t xml:space="preserve">finance</w:t>
            </w:r>
          </w:p>
        </w:tc>
        <w:tc>
          <w:tcPr>
            <w:tcW w:type="dxa" w:w="7360"/>
            <w:shd w:fill="FFFFFF" w:val="clear"/>
            <w:tcMar>
              <w:top w:type="dxa" w:w="60"/>
              <w:left w:type="dxa" w:w="100"/>
              <w:bottom w:type="dxa" w:w="60"/>
              <w:right w:type="dxa" w:w="100"/>
            </w:tcMar>
            <w:vAlign w:val="center"/>
          </w:tcPr>
          <w:p>
            <w:pPr>
              <w:jc w:val="left"/>
            </w:pPr>
            <w:r>
              <w:rPr>
                <w:b w:val="false"/>
                <w:bCs w:val="false"/>
              </w:rPr>
              <w:t xml:space="preserve">Finance &amp; Accounting</w:t>
            </w:r>
          </w:p>
        </w:tc>
      </w:tr>
      <w:tr>
        <w:tc>
          <w:tcPr>
            <w:tcW w:type="dxa" w:w="2000"/>
            <w:shd w:fill="F2F2F2" w:val="clear"/>
            <w:tcMar>
              <w:top w:type="dxa" w:w="60"/>
              <w:left w:type="dxa" w:w="100"/>
              <w:bottom w:type="dxa" w:w="60"/>
              <w:right w:type="dxa" w:w="100"/>
            </w:tcMar>
            <w:vAlign w:val="center"/>
          </w:tcPr>
          <w:p>
            <w:pPr>
              <w:jc w:val="left"/>
            </w:pPr>
            <w:r>
              <w:rPr>
                <w:b w:val="false"/>
                <w:bCs w:val="false"/>
              </w:rPr>
              <w:t xml:space="preserve">reporting</w:t>
            </w:r>
          </w:p>
        </w:tc>
        <w:tc>
          <w:tcPr>
            <w:tcW w:type="dxa" w:w="7360"/>
            <w:shd w:fill="F2F2F2" w:val="clear"/>
            <w:tcMar>
              <w:top w:type="dxa" w:w="60"/>
              <w:left w:type="dxa" w:w="100"/>
              <w:bottom w:type="dxa" w:w="60"/>
              <w:right w:type="dxa" w:w="100"/>
            </w:tcMar>
            <w:vAlign w:val="center"/>
          </w:tcPr>
          <w:p>
            <w:pPr>
              <w:jc w:val="left"/>
            </w:pPr>
            <w:r>
              <w:rPr>
                <w:b w:val="false"/>
                <w:bCs w:val="false"/>
              </w:rPr>
              <w:t xml:space="preserve">Administration &amp; Analytics — read-only aggregation layer over every other app</w:t>
            </w:r>
          </w:p>
        </w:tc>
      </w:tr>
      <w:tr>
        <w:tc>
          <w:tcPr>
            <w:tcW w:type="dxa" w:w="2000"/>
            <w:shd w:fill="FFFFFF" w:val="clear"/>
            <w:tcMar>
              <w:top w:type="dxa" w:w="60"/>
              <w:left w:type="dxa" w:w="100"/>
              <w:bottom w:type="dxa" w:w="60"/>
              <w:right w:type="dxa" w:w="100"/>
            </w:tcMar>
            <w:vAlign w:val="center"/>
          </w:tcPr>
          <w:p>
            <w:pPr>
              <w:jc w:val="left"/>
            </w:pPr>
            <w:r>
              <w:rPr>
                <w:b w:val="false"/>
                <w:bCs w:val="false"/>
              </w:rPr>
              <w:t xml:space="preserve">notifications</w:t>
            </w:r>
          </w:p>
        </w:tc>
        <w:tc>
          <w:tcPr>
            <w:tcW w:type="dxa" w:w="7360"/>
            <w:shd w:fill="FFFFFF" w:val="clear"/>
            <w:tcMar>
              <w:top w:type="dxa" w:w="60"/>
              <w:left w:type="dxa" w:w="100"/>
              <w:bottom w:type="dxa" w:w="60"/>
              <w:right w:type="dxa" w:w="100"/>
            </w:tcMar>
            <w:vAlign w:val="center"/>
          </w:tcPr>
          <w:p>
            <w:pPr>
              <w:jc w:val="left"/>
            </w:pPr>
            <w:r>
              <w:rPr>
                <w:b w:val="false"/>
                <w:bCs w:val="false"/>
              </w:rPr>
              <w:t xml:space="preserve">SMS / WhatsApp / Email / push dispatch, wraps the Notification Engine actor from the BRD</w:t>
            </w:r>
          </w:p>
        </w:tc>
      </w:tr>
      <w:tr>
        <w:tc>
          <w:tcPr>
            <w:tcW w:type="dxa" w:w="2000"/>
            <w:shd w:fill="F2F2F2" w:val="clear"/>
            <w:tcMar>
              <w:top w:type="dxa" w:w="60"/>
              <w:left w:type="dxa" w:w="100"/>
              <w:bottom w:type="dxa" w:w="60"/>
              <w:right w:type="dxa" w:w="100"/>
            </w:tcMar>
            <w:vAlign w:val="center"/>
          </w:tcPr>
          <w:p>
            <w:pPr>
              <w:jc w:val="left"/>
            </w:pPr>
            <w:r>
              <w:rPr>
                <w:b w:val="false"/>
                <w:bCs w:val="false"/>
              </w:rPr>
              <w:t xml:space="preserve">integrations</w:t>
            </w:r>
          </w:p>
        </w:tc>
        <w:tc>
          <w:tcPr>
            <w:tcW w:type="dxa" w:w="7360"/>
            <w:shd w:fill="F2F2F2" w:val="clear"/>
            <w:tcMar>
              <w:top w:type="dxa" w:w="60"/>
              <w:left w:type="dxa" w:w="100"/>
              <w:bottom w:type="dxa" w:w="60"/>
              <w:right w:type="dxa" w:w="100"/>
            </w:tcMar>
            <w:vAlign w:val="center"/>
          </w:tcPr>
          <w:p>
            <w:pPr>
              <w:jc w:val="left"/>
            </w:pPr>
            <w:r>
              <w:rPr>
                <w:b w:val="false"/>
                <w:bCs w:val="false"/>
              </w:rPr>
              <w:t xml:space="preserve">M-Pesa (Daraja), Insurance APIs, future PACS/DICOM and accounting-system connectors</w:t>
            </w:r>
          </w:p>
        </w:tc>
      </w:tr>
      <w:tr>
        <w:tc>
          <w:tcPr>
            <w:tcW w:type="dxa" w:w="2000"/>
            <w:shd w:fill="FFFFFF" w:val="clear"/>
            <w:tcMar>
              <w:top w:type="dxa" w:w="60"/>
              <w:left w:type="dxa" w:w="100"/>
              <w:bottom w:type="dxa" w:w="60"/>
              <w:right w:type="dxa" w:w="100"/>
            </w:tcMar>
            <w:vAlign w:val="center"/>
          </w:tcPr>
          <w:p>
            <w:pPr>
              <w:jc w:val="left"/>
            </w:pPr>
            <w:r>
              <w:rPr>
                <w:b w:val="false"/>
                <w:bCs w:val="false"/>
              </w:rPr>
              <w:t xml:space="preserve">audit</w:t>
            </w:r>
          </w:p>
        </w:tc>
        <w:tc>
          <w:tcPr>
            <w:tcW w:type="dxa" w:w="7360"/>
            <w:shd w:fill="FFFFFF" w:val="clear"/>
            <w:tcMar>
              <w:top w:type="dxa" w:w="60"/>
              <w:left w:type="dxa" w:w="100"/>
              <w:bottom w:type="dxa" w:w="60"/>
              <w:right w:type="dxa" w:w="100"/>
            </w:tcMar>
            <w:vAlign w:val="center"/>
          </w:tcPr>
          <w:p>
            <w:pPr>
              <w:jc w:val="left"/>
            </w:pPr>
            <w:r>
              <w:rPr>
                <w:b w:val="false"/>
                <w:bCs w:val="false"/>
              </w:rPr>
              <w:t xml:space="preserve">Central audit log store and query API, consumed via the audit-log mixin in core</w:t>
            </w:r>
          </w:p>
        </w:tc>
      </w:tr>
    </w:tbl>
    <w:p>
      <w:pPr>
        <w:pStyle w:val="Heading2"/>
        <w:spacing w:after="140" w:before="320"/>
      </w:pPr>
      <w:r>
        <w:t xml:space="preserve">4.2 API Layer — Django REST Framework</w:t>
      </w:r>
    </w:p>
    <w:p>
      <w:pPr>
        <w:pStyle w:val="ListParagraph"/>
        <w:numPr>
          <w:ilvl w:val="0"/>
          <w:numId w:val="2"/>
        </w:numPr>
        <w:spacing w:after="70"/>
      </w:pPr>
      <w:r>
        <w:t xml:space="preserve">Every app exposes a versioned REST API under /api/v1/&lt;app&gt;/... — versioning is in the URL, not a header, for cache-ability and debuggability.</w:t>
      </w:r>
    </w:p>
    <w:p>
      <w:pPr>
        <w:pStyle w:val="ListParagraph"/>
        <w:numPr>
          <w:ilvl w:val="0"/>
          <w:numId w:val="2"/>
        </w:numPr>
        <w:spacing w:after="70"/>
      </w:pPr>
      <w:r>
        <w:t xml:space="preserve">Serializers are the single source of truth for API shape; DRF's schema generation (drf-spectacular) produces the OpenAPI spec automatically — it is never hand-maintained.</w:t>
      </w:r>
    </w:p>
    <w:p>
      <w:pPr>
        <w:pStyle w:val="ListParagraph"/>
        <w:numPr>
          <w:ilvl w:val="0"/>
          <w:numId w:val="2"/>
        </w:numPr>
        <w:spacing w:after="70"/>
      </w:pPr>
      <w:r>
        <w:t xml:space="preserve">Pagination is cursor-based for high-volume lists (patient timeline, audit log) and page-number-based for bounded lists (department list, role list).</w:t>
      </w:r>
    </w:p>
    <w:p>
      <w:pPr>
        <w:pStyle w:val="ListParagraph"/>
        <w:numPr>
          <w:ilvl w:val="0"/>
          <w:numId w:val="2"/>
        </w:numPr>
        <w:spacing w:after="70"/>
      </w:pPr>
      <w:r>
        <w:t xml:space="preserve">Standard error envelope across every endpoint: { "error": { "code": "...", "message": "...", "fields": {...} } } — the frontend never has to special-case error shape per module.</w:t>
      </w:r>
    </w:p>
    <w:p>
      <w:pPr>
        <w:pStyle w:val="ListParagraph"/>
        <w:numPr>
          <w:ilvl w:val="0"/>
          <w:numId w:val="2"/>
        </w:numPr>
        <w:spacing w:after="70"/>
      </w:pPr>
      <w:r>
        <w:t xml:space="preserve">Idempotency keys are required on financially significant POST endpoints (payment capture, refund, claim submission) to make retries from a flaky mobile connection safe.</w:t>
      </w:r>
    </w:p>
    <w:p>
      <w:pPr>
        <w:pStyle w:val="Heading2"/>
        <w:spacing w:after="140" w:before="320"/>
      </w:pPr>
      <w:r>
        <w:t xml:space="preserve">4.3 Authentication &amp; Authorization</w:t>
      </w:r>
    </w:p>
    <w:p>
      <w:pPr>
        <w:pStyle w:val="ListParagraph"/>
        <w:numPr>
          <w:ilvl w:val="0"/>
          <w:numId w:val="2"/>
        </w:numPr>
        <w:spacing w:after="70"/>
      </w:pPr>
      <w:r>
        <w:t xml:space="preserve">Authentication: JWT access + refresh token pair (djangorestframework-simplejwt), short-lived access token (15 min), longer-lived refresh token (7 days for web, 30 days for mobile with biometric re-auth).</w:t>
      </w:r>
    </w:p>
    <w:p>
      <w:pPr>
        <w:pStyle w:val="ListParagraph"/>
        <w:numPr>
          <w:ilvl w:val="0"/>
          <w:numId w:val="2"/>
        </w:numPr>
        <w:spacing w:after="70"/>
      </w:pPr>
      <w:r>
        <w:t xml:space="preserve">Authorization: custom DRF permission classes resolve the user's effective permission set (role → permissions, scoped by facility/department) per the BRD's module.resource.action model, evaluated on every request — never cached client-side as the source of truth.</w:t>
      </w:r>
    </w:p>
    <w:p>
      <w:pPr>
        <w:pStyle w:val="ListParagraph"/>
        <w:numPr>
          <w:ilvl w:val="0"/>
          <w:numId w:val="2"/>
        </w:numPr>
        <w:spacing w:after="70"/>
      </w:pPr>
      <w:r>
        <w:t xml:space="preserve">MFA: TOTP-based (e.g. Google Authenticator-compatible) for roles flagged as privileged in the BRD permission matrices (Administrator, Finance Manager, IT Administrator, Medical Director, Insurance Officer).</w:t>
      </w:r>
    </w:p>
    <w:p>
      <w:pPr>
        <w:pStyle w:val="ListParagraph"/>
        <w:numPr>
          <w:ilvl w:val="0"/>
          <w:numId w:val="2"/>
        </w:numPr>
        <w:spacing w:after="70"/>
      </w:pPr>
      <w:r>
        <w:t xml:space="preserve">"Break-glass" emergency access (BRD Section 7.3): implemented as a distinct, heavily audited permission grant with mandatory reason capture and automatic expiry, never a standing permission.</w:t>
      </w:r>
    </w:p>
    <w:p>
      <w:pPr>
        <w:pStyle w:val="Heading2"/>
        <w:spacing w:after="140" w:before="320"/>
      </w:pPr>
      <w:r>
        <w:t xml:space="preserve">4.4 Async Processing — Celery &amp; Django Channels</w:t>
      </w:r>
    </w:p>
    <w:p>
      <w:pPr>
        <w:pStyle w:val="ListParagraph"/>
        <w:numPr>
          <w:ilvl w:val="0"/>
          <w:numId w:val="2"/>
        </w:numPr>
        <w:spacing w:after="70"/>
      </w:pPr>
      <w:r>
        <w:t xml:space="preserve">Celery + Redis broker handles: SMS/WhatsApp/email dispatch, M-Pesa callback processing, claim submission to insurers, scheduled jobs (reorder-level checks, credential-expiry checks, appointment reminders), and report generation.</w:t>
      </w:r>
    </w:p>
    <w:p>
      <w:pPr>
        <w:pStyle w:val="ListParagraph"/>
        <w:numPr>
          <w:ilvl w:val="0"/>
          <w:numId w:val="2"/>
        </w:numPr>
        <w:spacing w:after="70"/>
      </w:pPr>
      <w:r>
        <w:t xml:space="preserve">Django Channels (WebSockets) powers real-time features that the UI in Section 8 of the Solution Spec depends on: the live queue display, live bed-status map, and critical lab-value alerts — polling is treated as a fallback, not the primary mechanism, given clinical urgency.</w:t>
      </w:r>
    </w:p>
    <w:p>
      <w:pPr>
        <w:pStyle w:val="ListParagraph"/>
        <w:numPr>
          <w:ilvl w:val="0"/>
          <w:numId w:val="2"/>
        </w:numPr>
        <w:spacing w:after="70"/>
      </w:pPr>
      <w:r>
        <w:t xml:space="preserve">Celery Beat schedules recurring jobs: nightly reconciliation checks, expiry alerts (blood units, drug stock, staff licenses), and appointment reminder dispatch.</w:t>
      </w:r>
    </w:p>
    <w:p>
      <w:pPr>
        <w:pStyle w:val="Heading2"/>
        <w:spacing w:after="140" w:before="320"/>
      </w:pPr>
      <w:r>
        <w:t xml:space="preserve">4.5 Path to Service Extraction</w:t>
      </w:r>
    </w:p>
    <w:p>
      <w:pPr>
        <w:spacing w:after="160"/>
      </w:pPr>
      <w:r>
        <w:rPr>
          <w:b w:val="false"/>
          <w:bCs w:val="false"/>
          <w:i w:val="false"/>
          <w:iCs w:val="false"/>
        </w:rPr>
        <w:t xml:space="preserve">The modular-monolith structure in Section 4.1 is deliberately chosen so that a high-load module — most likely Laboratory, Billing, or Notifications — can be extracted into its own deployable service later without a rewrite, provided the "no cross-app direct DB access" rule in Section 3.5 has been followed. This is a Phase 3+ consideration, not a Phase 1 task, and is documented here so early architectural decisions don't foreclose it.</w:t>
      </w:r>
    </w:p>
    <w:p>
      <w:pPr>
        <w:pStyle w:val="Heading1"/>
        <w:pageBreakBefore/>
        <w:spacing w:after="200" w:before="200"/>
      </w:pPr>
      <w:r>
        <w:t xml:space="preserve">5. Web Frontend Architecture — React</w:t>
      </w:r>
    </w:p>
    <w:p>
      <w:pPr>
        <w:pStyle w:val="Heading2"/>
        <w:spacing w:after="140" w:before="320"/>
      </w:pPr>
      <w:r>
        <w:t xml:space="preserve">5.1 Application Structure</w:t>
      </w:r>
    </w:p>
    <w:p>
      <w:pPr>
        <w:spacing w:after="160"/>
      </w:pPr>
      <w:r>
        <w:rPr>
          <w:b w:val="false"/>
          <w:bCs w:val="false"/>
          <w:i w:val="false"/>
          <w:iCs w:val="false"/>
        </w:rPr>
        <w:t xml:space="preserve">The web console (shown in the reference UI: sidebar navigation, card-based dashboard, tabbed patient profile, split-panel clinical workflows) is a single React SPA serving every staff role, with UI rendered conditionally based on the logged-in user's role and permissions — not a separate build per role.</w:t>
      </w:r>
    </w:p>
    <w:p>
      <w:pPr>
        <w:pStyle w:val="ListParagraph"/>
        <w:numPr>
          <w:ilvl w:val="0"/>
          <w:numId w:val="2"/>
        </w:numPr>
        <w:spacing w:after="70"/>
      </w:pPr>
      <w:r>
        <w:t xml:space="preserve">Routing: React Router, with route-level guards that check permissions before rendering (a route the user can't access redirects rather than renders-then-blocks).</w:t>
      </w:r>
    </w:p>
    <w:p>
      <w:pPr>
        <w:pStyle w:val="ListParagraph"/>
        <w:numPr>
          <w:ilvl w:val="0"/>
          <w:numId w:val="2"/>
        </w:numPr>
        <w:spacing w:after="70"/>
      </w:pPr>
      <w:r>
        <w:t xml:space="preserve">State management: React Query (TanStack Query) for all server state (patients, appointments, lab results, etc.) — no manual caching/refetching logic per screen. Redux Toolkit (or Zustand) is reserved for genuine client-only UI state (active tab, sidebar collapse, in-progress consultation draft).</w:t>
      </w:r>
    </w:p>
    <w:p>
      <w:pPr>
        <w:pStyle w:val="ListParagraph"/>
        <w:numPr>
          <w:ilvl w:val="0"/>
          <w:numId w:val="2"/>
        </w:numPr>
        <w:spacing w:after="70"/>
      </w:pPr>
      <w:r>
        <w:t xml:space="preserve">Component library: a shared internal design-system package (buttons, cards, tables, status badges, the bed-grid component, the queue-list component) consumed by every module screen, so the visual consistency in the reference UI is enforced structurally, not by convention.</w:t>
      </w:r>
    </w:p>
    <w:p>
      <w:pPr>
        <w:pStyle w:val="ListParagraph"/>
        <w:numPr>
          <w:ilvl w:val="0"/>
          <w:numId w:val="2"/>
        </w:numPr>
        <w:spacing w:after="70"/>
      </w:pPr>
      <w:r>
        <w:t xml:space="preserve">Forms: a schema-driven form library (e.g. React Hook Form + Zod) so validation rules are defined once and shared between the OPD consultation form, admission form, and similar structured clinical inputs.</w:t>
      </w:r>
    </w:p>
    <w:p>
      <w:pPr>
        <w:pStyle w:val="Heading2"/>
        <w:spacing w:after="140" w:before="320"/>
      </w:pPr>
      <w:r>
        <w:t xml:space="preserve">5.2 Real-Time Elements</w:t>
      </w:r>
    </w:p>
    <w:p>
      <w:pPr>
        <w:pStyle w:val="ListParagraph"/>
        <w:numPr>
          <w:ilvl w:val="0"/>
          <w:numId w:val="2"/>
        </w:numPr>
        <w:spacing w:after="70"/>
      </w:pPr>
      <w:r>
        <w:t xml:space="preserve">The appointment queue panel, the bed-status grid, and critical lab-alert banners subscribe to WebSocket channels (Section 4.4) rather than polling, so a receptionist's queue view and a nurse's bed map update live without a manual refresh.</w:t>
      </w:r>
    </w:p>
    <w:p>
      <w:pPr>
        <w:pStyle w:val="Heading2"/>
        <w:spacing w:after="140" w:before="320"/>
      </w:pPr>
      <w:r>
        <w:t xml:space="preserve">5.3 Offline Tolerance (Web)</w:t>
      </w:r>
    </w:p>
    <w:p>
      <w:pPr>
        <w:pStyle w:val="ListParagraph"/>
        <w:numPr>
          <w:ilvl w:val="0"/>
          <w:numId w:val="2"/>
        </w:numPr>
        <w:spacing w:after="70"/>
      </w:pPr>
      <w:r>
        <w:t xml:space="preserve">Full offline support is not targeted for the web console in Phase 1 — but in-progress clinical documentation (OPD consultation draft, nursing notes) must persist to local storage and recover from a dropped connection or accidental tab close, per the BRD's OPD edge case on interrupted consultations.</w:t>
      </w:r>
    </w:p>
    <w:p>
      <w:pPr>
        <w:pStyle w:val="Heading1"/>
        <w:pageBreakBefore/>
        <w:spacing w:after="200" w:before="200"/>
      </w:pPr>
      <w:r>
        <w:t xml:space="preserve">6. Mobile Architecture — React Native</w:t>
      </w:r>
    </w:p>
    <w:p>
      <w:pPr>
        <w:pStyle w:val="Heading2"/>
        <w:spacing w:after="140" w:before="320"/>
      </w:pPr>
      <w:r>
        <w:t xml:space="preserve">6.1 Application Structure</w:t>
      </w:r>
    </w:p>
    <w:p>
      <w:pPr>
        <w:spacing w:after="160"/>
      </w:pPr>
      <w:r>
        <w:rPr>
          <w:b w:val="false"/>
          <w:bCs w:val="false"/>
          <w:i w:val="false"/>
          <w:iCs w:val="false"/>
        </w:rPr>
        <w:t xml:space="preserve">FDO Health (patient-facing) is the first mobile app, matching the reference UI's three mobile screens (Home, Appointments, Lab Results, Profile — bottom tab navigation). The Doctor/Clinician and Hospital Staff apps referenced in the BRD's Phase 4 scope reuse the same React Native codebase and shared component library, differing in navigation structure and permissions rather than being separate technology stacks.</w:t>
      </w:r>
    </w:p>
    <w:p>
      <w:pPr>
        <w:pStyle w:val="ListParagraph"/>
        <w:numPr>
          <w:ilvl w:val="0"/>
          <w:numId w:val="2"/>
        </w:numPr>
        <w:spacing w:after="70"/>
      </w:pPr>
      <w:r>
        <w:t xml:space="preserve">Navigation: React Navigation with a bottom tab navigator matching the reference UI (Home, Appointments, Results, Profile), each tab a stack navigator for its own drill-down screens.</w:t>
      </w:r>
    </w:p>
    <w:p>
      <w:pPr>
        <w:pStyle w:val="ListParagraph"/>
        <w:numPr>
          <w:ilvl w:val="0"/>
          <w:numId w:val="2"/>
        </w:numPr>
        <w:spacing w:after="70"/>
      </w:pPr>
      <w:r>
        <w:t xml:space="preserve">State/data: React Query for server state, mirroring the web app's pattern, so API-consumption logic is conceptually shared even though the codebases are separate.</w:t>
      </w:r>
    </w:p>
    <w:p>
      <w:pPr>
        <w:pStyle w:val="ListParagraph"/>
        <w:numPr>
          <w:ilvl w:val="0"/>
          <w:numId w:val="2"/>
        </w:numPr>
        <w:spacing w:after="70"/>
      </w:pPr>
      <w:r>
        <w:t xml:space="preserve">Local storage: encrypted on-device storage (e.g. react-native-keychain for tokens, MMKV/SQLite for cached appointment/result data) to support the offline-tolerant patterns in Section 6.2.</w:t>
      </w:r>
    </w:p>
    <w:p>
      <w:pPr>
        <w:pStyle w:val="ListParagraph"/>
        <w:numPr>
          <w:ilvl w:val="0"/>
          <w:numId w:val="2"/>
        </w:numPr>
        <w:spacing w:after="70"/>
      </w:pPr>
      <w:r>
        <w:t xml:space="preserve">Push notifications: Firebase Cloud Messaging for appointment reminders, lab-result-ready alerts, and prescription-refill notifications — dispatched from the notifications Django app (Section 4.1).</w:t>
      </w:r>
    </w:p>
    <w:p>
      <w:pPr>
        <w:pStyle w:val="ListParagraph"/>
        <w:numPr>
          <w:ilvl w:val="0"/>
          <w:numId w:val="2"/>
        </w:numPr>
        <w:spacing w:after="70"/>
      </w:pPr>
      <w:r>
        <w:t xml:space="preserve">Biometric authentication (fingerprint/face) as a fast re-auth path after the initial login, given patients will open this app briefly and repeatedly.</w:t>
      </w:r>
    </w:p>
    <w:p>
      <w:pPr>
        <w:pStyle w:val="Heading2"/>
        <w:spacing w:after="140" w:before="320"/>
      </w:pPr>
      <w:r>
        <w:t xml:space="preserve">6.2 Offline Tolerance (Mobile)</w:t>
      </w:r>
    </w:p>
    <w:p>
      <w:pPr>
        <w:pStyle w:val="ListParagraph"/>
        <w:numPr>
          <w:ilvl w:val="0"/>
          <w:numId w:val="2"/>
        </w:numPr>
        <w:spacing w:after="70"/>
      </w:pPr>
      <w:r>
        <w:t xml:space="preserve">Previously loaded appointments, lab results, and profile data remain viewable when offline, clearly marked as "last synced at [time]".</w:t>
      </w:r>
    </w:p>
    <w:p>
      <w:pPr>
        <w:pStyle w:val="ListParagraph"/>
        <w:numPr>
          <w:ilvl w:val="0"/>
          <w:numId w:val="2"/>
        </w:numPr>
        <w:spacing w:after="70"/>
      </w:pPr>
      <w:r>
        <w:t xml:space="preserve">Booking actions taken offline are queued locally and submitted on reconnect using the idempotency-key pattern from Section 4.2, with a clear pending state shown to the patient rather than a silent retry.</w:t>
      </w:r>
    </w:p>
    <w:p>
      <w:pPr>
        <w:pStyle w:val="Heading2"/>
        <w:spacing w:after="140" w:before="320"/>
      </w:pPr>
      <w:r>
        <w:t xml:space="preserve">6.3 App Store &amp; Distribution</w:t>
      </w:r>
    </w:p>
    <w:p>
      <w:pPr>
        <w:pStyle w:val="ListParagraph"/>
        <w:numPr>
          <w:ilvl w:val="0"/>
          <w:numId w:val="2"/>
        </w:numPr>
        <w:spacing w:after="70"/>
      </w:pPr>
      <w:r>
        <w:t xml:space="preserve">Android via Google Play, iOS via the App Store, both behind a staged rollout (internal testing → closed beta → production) per release, not a direct-to-production release process.</w:t>
      </w:r>
    </w:p>
    <w:p>
      <w:pPr>
        <w:pStyle w:val="Heading1"/>
        <w:pageBreakBefore/>
        <w:spacing w:after="200" w:before="200"/>
      </w:pPr>
      <w:r>
        <w:t xml:space="preserve">7. API Design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rPr>
              <w:t xml:space="preserve">Standard</w:t>
            </w:r>
          </w:p>
        </w:tc>
        <w:tc>
          <w:tcPr>
            <w:tcW w:type="dxa" w:w="7160"/>
            <w:shd w:fill="1F3864" w:val="clear"/>
            <w:tcMar>
              <w:top w:type="dxa" w:w="60"/>
              <w:left w:type="dxa" w:w="100"/>
              <w:bottom w:type="dxa" w:w="60"/>
              <w:right w:type="dxa" w:w="100"/>
            </w:tcMar>
            <w:vAlign w:val="center"/>
          </w:tcPr>
          <w:p>
            <w:pPr>
              <w:jc w:val="left"/>
            </w:pPr>
            <w:r>
              <w:rPr>
                <w:b/>
                <w:bCs/>
                <w:color w:val="FFFFFF"/>
              </w:rPr>
              <w:t xml:space="preserve">Rule</w:t>
            </w:r>
          </w:p>
        </w:tc>
      </w:tr>
      <w:tr>
        <w:tc>
          <w:tcPr>
            <w:tcW w:type="dxa" w:w="2200"/>
            <w:shd w:fill="FFFFFF" w:val="clear"/>
            <w:tcMar>
              <w:top w:type="dxa" w:w="60"/>
              <w:left w:type="dxa" w:w="100"/>
              <w:bottom w:type="dxa" w:w="60"/>
              <w:right w:type="dxa" w:w="100"/>
            </w:tcMar>
            <w:vAlign w:val="center"/>
          </w:tcPr>
          <w:p>
            <w:pPr>
              <w:jc w:val="left"/>
            </w:pPr>
            <w:r>
              <w:rPr>
                <w:b w:val="false"/>
                <w:bCs w:val="false"/>
              </w:rPr>
              <w:t xml:space="preserve">Versioning</w:t>
            </w:r>
          </w:p>
        </w:tc>
        <w:tc>
          <w:tcPr>
            <w:tcW w:type="dxa" w:w="7160"/>
            <w:shd w:fill="FFFFFF" w:val="clear"/>
            <w:tcMar>
              <w:top w:type="dxa" w:w="60"/>
              <w:left w:type="dxa" w:w="100"/>
              <w:bottom w:type="dxa" w:w="60"/>
              <w:right w:type="dxa" w:w="100"/>
            </w:tcMar>
            <w:vAlign w:val="center"/>
          </w:tcPr>
          <w:p>
            <w:pPr>
              <w:jc w:val="left"/>
            </w:pPr>
            <w:r>
              <w:rPr>
                <w:b w:val="false"/>
                <w:bCs w:val="false"/>
              </w:rPr>
              <w:t xml:space="preserve">URL-based (/api/v1/...); breaking changes require a new version, not a silent contract change</w:t>
            </w:r>
          </w:p>
        </w:tc>
      </w:tr>
      <w:tr>
        <w:tc>
          <w:tcPr>
            <w:tcW w:type="dxa" w:w="2200"/>
            <w:shd w:fill="F2F2F2" w:val="clear"/>
            <w:tcMar>
              <w:top w:type="dxa" w:w="60"/>
              <w:left w:type="dxa" w:w="100"/>
              <w:bottom w:type="dxa" w:w="60"/>
              <w:right w:type="dxa" w:w="100"/>
            </w:tcMar>
            <w:vAlign w:val="center"/>
          </w:tcPr>
          <w:p>
            <w:pPr>
              <w:jc w:val="left"/>
            </w:pPr>
            <w:r>
              <w:rPr>
                <w:b w:val="false"/>
                <w:bCs w:val="false"/>
              </w:rPr>
              <w:t xml:space="preserve">Resource naming</w:t>
            </w:r>
          </w:p>
        </w:tc>
        <w:tc>
          <w:tcPr>
            <w:tcW w:type="dxa" w:w="7160"/>
            <w:shd w:fill="F2F2F2" w:val="clear"/>
            <w:tcMar>
              <w:top w:type="dxa" w:w="60"/>
              <w:left w:type="dxa" w:w="100"/>
              <w:bottom w:type="dxa" w:w="60"/>
              <w:right w:type="dxa" w:w="100"/>
            </w:tcMar>
            <w:vAlign w:val="center"/>
          </w:tcPr>
          <w:p>
            <w:pPr>
              <w:jc w:val="left"/>
            </w:pPr>
            <w:r>
              <w:rPr>
                <w:b w:val="false"/>
                <w:bCs w:val="false"/>
              </w:rPr>
              <w:t xml:space="preserve">Plural nouns, kebab/snake-case matching Django convention (e.g. /patients/, /lab-orders/)</w:t>
            </w:r>
          </w:p>
        </w:tc>
      </w:tr>
      <w:tr>
        <w:tc>
          <w:tcPr>
            <w:tcW w:type="dxa" w:w="2200"/>
            <w:shd w:fill="FFFFFF" w:val="clear"/>
            <w:tcMar>
              <w:top w:type="dxa" w:w="60"/>
              <w:left w:type="dxa" w:w="100"/>
              <w:bottom w:type="dxa" w:w="60"/>
              <w:right w:type="dxa" w:w="100"/>
            </w:tcMar>
            <w:vAlign w:val="center"/>
          </w:tcPr>
          <w:p>
            <w:pPr>
              <w:jc w:val="left"/>
            </w:pPr>
            <w:r>
              <w:rPr>
                <w:b w:val="false"/>
                <w:bCs w:val="false"/>
              </w:rPr>
              <w:t xml:space="preserve">Auth</w:t>
            </w:r>
          </w:p>
        </w:tc>
        <w:tc>
          <w:tcPr>
            <w:tcW w:type="dxa" w:w="7160"/>
            <w:shd w:fill="FFFFFF" w:val="clear"/>
            <w:tcMar>
              <w:top w:type="dxa" w:w="60"/>
              <w:left w:type="dxa" w:w="100"/>
              <w:bottom w:type="dxa" w:w="60"/>
              <w:right w:type="dxa" w:w="100"/>
            </w:tcMar>
            <w:vAlign w:val="center"/>
          </w:tcPr>
          <w:p>
            <w:pPr>
              <w:jc w:val="left"/>
            </w:pPr>
            <w:r>
              <w:rPr>
                <w:b w:val="false"/>
                <w:bCs w:val="false"/>
              </w:rPr>
              <w:t xml:space="preserve">Bearer JWT in the Authorization header for every authenticated request</w:t>
            </w:r>
          </w:p>
        </w:tc>
      </w:tr>
      <w:tr>
        <w:tc>
          <w:tcPr>
            <w:tcW w:type="dxa" w:w="2200"/>
            <w:shd w:fill="F2F2F2" w:val="clear"/>
            <w:tcMar>
              <w:top w:type="dxa" w:w="60"/>
              <w:left w:type="dxa" w:w="100"/>
              <w:bottom w:type="dxa" w:w="60"/>
              <w:right w:type="dxa" w:w="100"/>
            </w:tcMar>
            <w:vAlign w:val="center"/>
          </w:tcPr>
          <w:p>
            <w:pPr>
              <w:jc w:val="left"/>
            </w:pPr>
            <w:r>
              <w:rPr>
                <w:b w:val="false"/>
                <w:bCs w:val="false"/>
              </w:rPr>
              <w:t xml:space="preserve">Pagination</w:t>
            </w:r>
          </w:p>
        </w:tc>
        <w:tc>
          <w:tcPr>
            <w:tcW w:type="dxa" w:w="7160"/>
            <w:shd w:fill="F2F2F2" w:val="clear"/>
            <w:tcMar>
              <w:top w:type="dxa" w:w="60"/>
              <w:left w:type="dxa" w:w="100"/>
              <w:bottom w:type="dxa" w:w="60"/>
              <w:right w:type="dxa" w:w="100"/>
            </w:tcMar>
            <w:vAlign w:val="center"/>
          </w:tcPr>
          <w:p>
            <w:pPr>
              <w:jc w:val="left"/>
            </w:pPr>
            <w:r>
              <w:rPr>
                <w:b w:val="false"/>
                <w:bCs w:val="false"/>
              </w:rPr>
              <w:t xml:space="preserve">Cursor-based for large/growing lists; explicit page size cap (max 100)</w:t>
            </w:r>
          </w:p>
        </w:tc>
      </w:tr>
      <w:tr>
        <w:tc>
          <w:tcPr>
            <w:tcW w:type="dxa" w:w="2200"/>
            <w:shd w:fill="FFFFFF" w:val="clear"/>
            <w:tcMar>
              <w:top w:type="dxa" w:w="60"/>
              <w:left w:type="dxa" w:w="100"/>
              <w:bottom w:type="dxa" w:w="60"/>
              <w:right w:type="dxa" w:w="100"/>
            </w:tcMar>
            <w:vAlign w:val="center"/>
          </w:tcPr>
          <w:p>
            <w:pPr>
              <w:jc w:val="left"/>
            </w:pPr>
            <w:r>
              <w:rPr>
                <w:b w:val="false"/>
                <w:bCs w:val="false"/>
              </w:rPr>
              <w:t xml:space="preserve">Filtering &amp; search</w:t>
            </w:r>
          </w:p>
        </w:tc>
        <w:tc>
          <w:tcPr>
            <w:tcW w:type="dxa" w:w="7160"/>
            <w:shd w:fill="FFFFFF" w:val="clear"/>
            <w:tcMar>
              <w:top w:type="dxa" w:w="60"/>
              <w:left w:type="dxa" w:w="100"/>
              <w:bottom w:type="dxa" w:w="60"/>
              <w:right w:type="dxa" w:w="100"/>
            </w:tcMar>
            <w:vAlign w:val="center"/>
          </w:tcPr>
          <w:p>
            <w:pPr>
              <w:jc w:val="left"/>
            </w:pPr>
            <w:r>
              <w:rPr>
                <w:b w:val="false"/>
                <w:bCs w:val="false"/>
              </w:rPr>
              <w:t xml:space="preserve">Query-param based, consistent filter naming across modules (e.g. ?status=, ?facility=, ?date_from=)</w:t>
            </w:r>
          </w:p>
        </w:tc>
      </w:tr>
      <w:tr>
        <w:tc>
          <w:tcPr>
            <w:tcW w:type="dxa" w:w="2200"/>
            <w:shd w:fill="F2F2F2" w:val="clear"/>
            <w:tcMar>
              <w:top w:type="dxa" w:w="60"/>
              <w:left w:type="dxa" w:w="100"/>
              <w:bottom w:type="dxa" w:w="60"/>
              <w:right w:type="dxa" w:w="100"/>
            </w:tcMar>
            <w:vAlign w:val="center"/>
          </w:tcPr>
          <w:p>
            <w:pPr>
              <w:jc w:val="left"/>
            </w:pPr>
            <w:r>
              <w:rPr>
                <w:b w:val="false"/>
                <w:bCs w:val="false"/>
              </w:rPr>
              <w:t xml:space="preserve">Error format</w:t>
            </w:r>
          </w:p>
        </w:tc>
        <w:tc>
          <w:tcPr>
            <w:tcW w:type="dxa" w:w="7160"/>
            <w:shd w:fill="F2F2F2" w:val="clear"/>
            <w:tcMar>
              <w:top w:type="dxa" w:w="60"/>
              <w:left w:type="dxa" w:w="100"/>
              <w:bottom w:type="dxa" w:w="60"/>
              <w:right w:type="dxa" w:w="100"/>
            </w:tcMar>
            <w:vAlign w:val="center"/>
          </w:tcPr>
          <w:p>
            <w:pPr>
              <w:jc w:val="left"/>
            </w:pPr>
            <w:r>
              <w:rPr>
                <w:b w:val="false"/>
                <w:bCs w:val="false"/>
              </w:rPr>
              <w:t xml:space="preserve">Single envelope shape (Section 4.2) across all endpoints, including validation errors</w:t>
            </w:r>
          </w:p>
        </w:tc>
      </w:tr>
      <w:tr>
        <w:tc>
          <w:tcPr>
            <w:tcW w:type="dxa" w:w="2200"/>
            <w:shd w:fill="FFFFFF" w:val="clear"/>
            <w:tcMar>
              <w:top w:type="dxa" w:w="60"/>
              <w:left w:type="dxa" w:w="100"/>
              <w:bottom w:type="dxa" w:w="60"/>
              <w:right w:type="dxa" w:w="100"/>
            </w:tcMar>
            <w:vAlign w:val="center"/>
          </w:tcPr>
          <w:p>
            <w:pPr>
              <w:jc w:val="left"/>
            </w:pPr>
            <w:r>
              <w:rPr>
                <w:b w:val="false"/>
                <w:bCs w:val="false"/>
              </w:rPr>
              <w:t xml:space="preserve">Idempotency</w:t>
            </w:r>
          </w:p>
        </w:tc>
        <w:tc>
          <w:tcPr>
            <w:tcW w:type="dxa" w:w="7160"/>
            <w:shd w:fill="FFFFFF" w:val="clear"/>
            <w:tcMar>
              <w:top w:type="dxa" w:w="60"/>
              <w:left w:type="dxa" w:w="100"/>
              <w:bottom w:type="dxa" w:w="60"/>
              <w:right w:type="dxa" w:w="100"/>
            </w:tcMar>
            <w:vAlign w:val="center"/>
          </w:tcPr>
          <w:p>
            <w:pPr>
              <w:jc w:val="left"/>
            </w:pPr>
            <w:r>
              <w:rPr>
                <w:b w:val="false"/>
                <w:bCs w:val="false"/>
              </w:rPr>
              <w:t xml:space="preserve">Required via Idempotency-Key header on financial and clinical-order POST endpoints</w:t>
            </w:r>
          </w:p>
        </w:tc>
      </w:tr>
      <w:tr>
        <w:tc>
          <w:tcPr>
            <w:tcW w:type="dxa" w:w="2200"/>
            <w:shd w:fill="F2F2F2" w:val="clear"/>
            <w:tcMar>
              <w:top w:type="dxa" w:w="60"/>
              <w:left w:type="dxa" w:w="100"/>
              <w:bottom w:type="dxa" w:w="60"/>
              <w:right w:type="dxa" w:w="100"/>
            </w:tcMar>
            <w:vAlign w:val="center"/>
          </w:tcPr>
          <w:p>
            <w:pPr>
              <w:jc w:val="left"/>
            </w:pPr>
            <w:r>
              <w:rPr>
                <w:b w:val="false"/>
                <w:bCs w:val="false"/>
              </w:rPr>
              <w:t xml:space="preserve">Documentation</w:t>
            </w:r>
          </w:p>
        </w:tc>
        <w:tc>
          <w:tcPr>
            <w:tcW w:type="dxa" w:w="7160"/>
            <w:shd w:fill="F2F2F2" w:val="clear"/>
            <w:tcMar>
              <w:top w:type="dxa" w:w="60"/>
              <w:left w:type="dxa" w:w="100"/>
              <w:bottom w:type="dxa" w:w="60"/>
              <w:right w:type="dxa" w:w="100"/>
            </w:tcMar>
            <w:vAlign w:val="center"/>
          </w:tcPr>
          <w:p>
            <w:pPr>
              <w:jc w:val="left"/>
            </w:pPr>
            <w:r>
              <w:rPr>
                <w:b w:val="false"/>
                <w:bCs w:val="false"/>
              </w:rPr>
              <w:t xml:space="preserve">Auto-generated OpenAPI 3.0 spec (drf-spectacular), published at /api/schema/ and rendered via Swagger UI for internal use</w:t>
            </w:r>
          </w:p>
        </w:tc>
      </w:tr>
      <w:tr>
        <w:tc>
          <w:tcPr>
            <w:tcW w:type="dxa" w:w="2200"/>
            <w:shd w:fill="FFFFFF" w:val="clear"/>
            <w:tcMar>
              <w:top w:type="dxa" w:w="60"/>
              <w:left w:type="dxa" w:w="100"/>
              <w:bottom w:type="dxa" w:w="60"/>
              <w:right w:type="dxa" w:w="100"/>
            </w:tcMar>
            <w:vAlign w:val="center"/>
          </w:tcPr>
          <w:p>
            <w:pPr>
              <w:jc w:val="left"/>
            </w:pPr>
            <w:r>
              <w:rPr>
                <w:b w:val="false"/>
                <w:bCs w:val="false"/>
              </w:rPr>
              <w:t xml:space="preserve">Rate limiting</w:t>
            </w:r>
          </w:p>
        </w:tc>
        <w:tc>
          <w:tcPr>
            <w:tcW w:type="dxa" w:w="7160"/>
            <w:shd w:fill="FFFFFF" w:val="clear"/>
            <w:tcMar>
              <w:top w:type="dxa" w:w="60"/>
              <w:left w:type="dxa" w:w="100"/>
              <w:bottom w:type="dxa" w:w="60"/>
              <w:right w:type="dxa" w:w="100"/>
            </w:tcMar>
            <w:vAlign w:val="center"/>
          </w:tcPr>
          <w:p>
            <w:pPr>
              <w:jc w:val="left"/>
            </w:pPr>
            <w:r>
              <w:rPr>
                <w:b w:val="false"/>
                <w:bCs w:val="false"/>
              </w:rPr>
              <w:t xml:space="preserve">Per-user and per-IP throttling on authentication and public-facing (patient portal) endpoints</w:t>
            </w:r>
          </w:p>
        </w:tc>
      </w:tr>
    </w:tbl>
    <w:p>
      <w:pPr>
        <w:pStyle w:val="Heading1"/>
        <w:pageBreakBefore/>
        <w:spacing w:after="200" w:before="200"/>
      </w:pPr>
      <w:r>
        <w:t xml:space="preserve">8. Data Architecture</w:t>
      </w:r>
    </w:p>
    <w:p>
      <w:pPr>
        <w:pStyle w:val="Heading2"/>
        <w:spacing w:after="140" w:before="320"/>
      </w:pPr>
      <w:r>
        <w:t xml:space="preserve">8.1 Database</w:t>
      </w:r>
    </w:p>
    <w:p>
      <w:pPr>
        <w:pStyle w:val="ListParagraph"/>
        <w:numPr>
          <w:ilvl w:val="0"/>
          <w:numId w:val="2"/>
        </w:numPr>
        <w:spacing w:after="70"/>
      </w:pPr>
      <w:r>
        <w:t xml:space="preserve">PostgreSQL as the system of record — chosen for strong relational integrity guarantees, which matter more here than in most domains given the clinical and financial consequences of a bad write.</w:t>
      </w:r>
    </w:p>
    <w:p>
      <w:pPr>
        <w:pStyle w:val="ListParagraph"/>
        <w:numPr>
          <w:ilvl w:val="0"/>
          <w:numId w:val="2"/>
        </w:numPr>
        <w:spacing w:after="70"/>
      </w:pPr>
      <w:r>
        <w:t xml:space="preserve">Every core table includes: id (UUID, not sequential integer, to avoid enumeration/guessing across facilities), facility_id, created_at, updated_at, created_by, updated_by, and — for clinical/financial tables — a soft-delete deleted_at rather than destructive deletes, per the BRD's record-versioning requirement.</w:t>
      </w:r>
    </w:p>
    <w:p>
      <w:pPr>
        <w:pStyle w:val="ListParagraph"/>
        <w:numPr>
          <w:ilvl w:val="0"/>
          <w:numId w:val="2"/>
        </w:numPr>
        <w:spacing w:after="70"/>
      </w:pPr>
      <w:r>
        <w:t xml:space="preserve">Row-level scoping by facility_id is enforced at the query layer (custom Django manager), not left to individual view logic to remember.</w:t>
      </w:r>
    </w:p>
    <w:p>
      <w:pPr>
        <w:pStyle w:val="ListParagraph"/>
        <w:numPr>
          <w:ilvl w:val="0"/>
          <w:numId w:val="2"/>
        </w:numPr>
        <w:spacing w:after="70"/>
      </w:pPr>
      <w:r>
        <w:t xml:space="preserve">Read replicas serve the reporting/analytics app so heavy aggregate queries (BRD Section 6.18 dashboards) never compete with transactional OPD/billing writes.</w:t>
      </w:r>
    </w:p>
    <w:p>
      <w:pPr>
        <w:pStyle w:val="Heading2"/>
        <w:spacing w:after="140" w:before="320"/>
      </w:pPr>
      <w:r>
        <w:t xml:space="preserve">8.2 Caching &amp; Session Store</w:t>
      </w:r>
    </w:p>
    <w:p>
      <w:pPr>
        <w:pStyle w:val="ListParagraph"/>
        <w:numPr>
          <w:ilvl w:val="0"/>
          <w:numId w:val="2"/>
        </w:numPr>
        <w:spacing w:after="70"/>
      </w:pPr>
      <w:r>
        <w:t xml:space="preserve">Redis serves three distinct purposes and should be provisioned/monitored as such: Celery broker/result backend, Django Channels layer for WebSockets, and application-level caching (e.g. dashboard aggregate results, permission-set lookups) with explicit short TTLs on anything clinically sensitive.</w:t>
      </w:r>
    </w:p>
    <w:p>
      <w:pPr>
        <w:pStyle w:val="Heading2"/>
        <w:spacing w:after="140" w:before="320"/>
      </w:pPr>
      <w:r>
        <w:t xml:space="preserve">8.3 Object Storage</w:t>
      </w:r>
    </w:p>
    <w:p>
      <w:pPr>
        <w:pStyle w:val="ListParagraph"/>
        <w:numPr>
          <w:ilvl w:val="0"/>
          <w:numId w:val="2"/>
        </w:numPr>
        <w:spacing w:after="70"/>
      </w:pPr>
      <w:r>
        <w:t xml:space="preserve">S3-compatible object storage (AWS S3 or equivalent) for patient photos, uploaded documents, lab/imaging attachments, and generated PDFs (invoices, reports) — never stored on local application-server disk, to keep app servers stateless per Section 3.2.</w:t>
      </w:r>
    </w:p>
    <w:p>
      <w:pPr>
        <w:pStyle w:val="Heading2"/>
        <w:spacing w:after="140" w:before="320"/>
      </w:pPr>
      <w:r>
        <w:t xml:space="preserve">8.4 Audit Trail</w:t>
      </w:r>
    </w:p>
    <w:p>
      <w:pPr>
        <w:pStyle w:val="ListParagraph"/>
        <w:numPr>
          <w:ilvl w:val="0"/>
          <w:numId w:val="2"/>
        </w:numPr>
        <w:spacing w:after="70"/>
      </w:pPr>
      <w:r>
        <w:t xml:space="preserve">A dedicated audit app (Section 4.1) records every create/update/delete on clinical and financial models: actor, timestamp, model, record id, field-level diff, and the request's facility/IP context — queryable independently of the source module, so an audit doesn't require trusting the module being audited.</w:t>
      </w:r>
    </w:p>
    <w:p>
      <w:pPr>
        <w:pStyle w:val="Heading1"/>
        <w:pageBreakBefore/>
        <w:spacing w:after="200" w:before="200"/>
      </w:pPr>
      <w:r>
        <w:t xml:space="preserve">9. Integration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rPr>
              <w:t xml:space="preserve">Integration</w:t>
            </w:r>
          </w:p>
        </w:tc>
        <w:tc>
          <w:tcPr>
            <w:tcW w:type="dxa" w:w="2400"/>
            <w:shd w:fill="1F3864" w:val="clear"/>
            <w:tcMar>
              <w:top w:type="dxa" w:w="60"/>
              <w:left w:type="dxa" w:w="100"/>
              <w:bottom w:type="dxa" w:w="60"/>
              <w:right w:type="dxa" w:w="100"/>
            </w:tcMar>
            <w:vAlign w:val="center"/>
          </w:tcPr>
          <w:p>
            <w:pPr>
              <w:jc w:val="left"/>
            </w:pPr>
            <w:r>
              <w:rPr>
                <w:b/>
                <w:bCs/>
                <w:color w:val="FFFFFF"/>
              </w:rPr>
              <w:t xml:space="preserve">Purpose</w:t>
            </w:r>
          </w:p>
        </w:tc>
        <w:tc>
          <w:tcPr>
            <w:tcW w:type="dxa" w:w="4760"/>
            <w:shd w:fill="1F3864" w:val="clear"/>
            <w:tcMar>
              <w:top w:type="dxa" w:w="60"/>
              <w:left w:type="dxa" w:w="100"/>
              <w:bottom w:type="dxa" w:w="60"/>
              <w:right w:type="dxa" w:w="100"/>
            </w:tcMar>
            <w:vAlign w:val="center"/>
          </w:tcPr>
          <w:p>
            <w:pPr>
              <w:jc w:val="left"/>
            </w:pPr>
            <w:r>
              <w:rPr>
                <w:b/>
                <w:bCs/>
                <w:color w:val="FFFFFF"/>
              </w:rPr>
              <w:t xml:space="preserve">Implementation Notes</w:t>
            </w:r>
          </w:p>
        </w:tc>
      </w:tr>
      <w:tr>
        <w:tc>
          <w:tcPr>
            <w:tcW w:type="dxa" w:w="2200"/>
            <w:shd w:fill="FFFFFF" w:val="clear"/>
            <w:tcMar>
              <w:top w:type="dxa" w:w="60"/>
              <w:left w:type="dxa" w:w="100"/>
              <w:bottom w:type="dxa" w:w="60"/>
              <w:right w:type="dxa" w:w="100"/>
            </w:tcMar>
            <w:vAlign w:val="center"/>
          </w:tcPr>
          <w:p>
            <w:pPr>
              <w:jc w:val="left"/>
            </w:pPr>
            <w:r>
              <w:rPr>
                <w:b w:val="false"/>
                <w:bCs w:val="false"/>
              </w:rPr>
              <w:t xml:space="preserve">M-Pesa (Safaricom Daraja API)</w:t>
            </w:r>
          </w:p>
        </w:tc>
        <w:tc>
          <w:tcPr>
            <w:tcW w:type="dxa" w:w="2400"/>
            <w:shd w:fill="FFFFFF" w:val="clear"/>
            <w:tcMar>
              <w:top w:type="dxa" w:w="60"/>
              <w:left w:type="dxa" w:w="100"/>
              <w:bottom w:type="dxa" w:w="60"/>
              <w:right w:type="dxa" w:w="100"/>
            </w:tcMar>
            <w:vAlign w:val="center"/>
          </w:tcPr>
          <w:p>
            <w:pPr>
              <w:jc w:val="left"/>
            </w:pPr>
            <w:r>
              <w:rPr>
                <w:b w:val="false"/>
                <w:bCs w:val="false"/>
              </w:rPr>
              <w:t xml:space="preserve">Payment collection &amp; confirmation</w:t>
            </w:r>
          </w:p>
        </w:tc>
        <w:tc>
          <w:tcPr>
            <w:tcW w:type="dxa" w:w="4760"/>
            <w:shd w:fill="FFFFFF" w:val="clear"/>
            <w:tcMar>
              <w:top w:type="dxa" w:w="60"/>
              <w:left w:type="dxa" w:w="100"/>
              <w:bottom w:type="dxa" w:w="60"/>
              <w:right w:type="dxa" w:w="100"/>
            </w:tcMar>
            <w:vAlign w:val="center"/>
          </w:tcPr>
          <w:p>
            <w:pPr>
              <w:jc w:val="left"/>
            </w:pPr>
            <w:r>
              <w:rPr>
                <w:b w:val="false"/>
                <w:bCs w:val="false"/>
              </w:rPr>
              <w:t xml:space="preserve">STK Push for cashier-initiated collection; callback webhook processed asynchronously via Celery; reconciliation job matches Daraja transaction IDs to invoices nightly</w:t>
            </w:r>
          </w:p>
        </w:tc>
      </w:tr>
      <w:tr>
        <w:tc>
          <w:tcPr>
            <w:tcW w:type="dxa" w:w="2200"/>
            <w:shd w:fill="F2F2F2" w:val="clear"/>
            <w:tcMar>
              <w:top w:type="dxa" w:w="60"/>
              <w:left w:type="dxa" w:w="100"/>
              <w:bottom w:type="dxa" w:w="60"/>
              <w:right w:type="dxa" w:w="100"/>
            </w:tcMar>
            <w:vAlign w:val="center"/>
          </w:tcPr>
          <w:p>
            <w:pPr>
              <w:jc w:val="left"/>
            </w:pPr>
            <w:r>
              <w:rPr>
                <w:b w:val="false"/>
                <w:bCs w:val="false"/>
              </w:rPr>
              <w:t xml:space="preserve">SMS / WhatsApp Gateway</w:t>
            </w:r>
          </w:p>
        </w:tc>
        <w:tc>
          <w:tcPr>
            <w:tcW w:type="dxa" w:w="2400"/>
            <w:shd w:fill="F2F2F2" w:val="clear"/>
            <w:tcMar>
              <w:top w:type="dxa" w:w="60"/>
              <w:left w:type="dxa" w:w="100"/>
              <w:bottom w:type="dxa" w:w="60"/>
              <w:right w:type="dxa" w:w="100"/>
            </w:tcMar>
            <w:vAlign w:val="center"/>
          </w:tcPr>
          <w:p>
            <w:pPr>
              <w:jc w:val="left"/>
            </w:pPr>
            <w:r>
              <w:rPr>
                <w:b w:val="false"/>
                <w:bCs w:val="false"/>
              </w:rPr>
              <w:t xml:space="preserve">Appointment reminders, notifications, critical alerts</w:t>
            </w:r>
          </w:p>
        </w:tc>
        <w:tc>
          <w:tcPr>
            <w:tcW w:type="dxa" w:w="4760"/>
            <w:shd w:fill="F2F2F2" w:val="clear"/>
            <w:tcMar>
              <w:top w:type="dxa" w:w="60"/>
              <w:left w:type="dxa" w:w="100"/>
              <w:bottom w:type="dxa" w:w="60"/>
              <w:right w:type="dxa" w:w="100"/>
            </w:tcMar>
            <w:vAlign w:val="center"/>
          </w:tcPr>
          <w:p>
            <w:pPr>
              <w:jc w:val="left"/>
            </w:pPr>
            <w:r>
              <w:rPr>
                <w:b w:val="false"/>
                <w:bCs w:val="false"/>
              </w:rPr>
              <w:t xml:space="preserve">Abstracted behind the notifications app so the underlying provider (e.g. Africa's Talking, Twilio) can be swapped without touching calling code</w:t>
            </w:r>
          </w:p>
        </w:tc>
      </w:tr>
      <w:tr>
        <w:tc>
          <w:tcPr>
            <w:tcW w:type="dxa" w:w="2200"/>
            <w:shd w:fill="FFFFFF" w:val="clear"/>
            <w:tcMar>
              <w:top w:type="dxa" w:w="60"/>
              <w:left w:type="dxa" w:w="100"/>
              <w:bottom w:type="dxa" w:w="60"/>
              <w:right w:type="dxa" w:w="100"/>
            </w:tcMar>
            <w:vAlign w:val="center"/>
          </w:tcPr>
          <w:p>
            <w:pPr>
              <w:jc w:val="left"/>
            </w:pPr>
            <w:r>
              <w:rPr>
                <w:b w:val="false"/>
                <w:bCs w:val="false"/>
              </w:rPr>
              <w:t xml:space="preserve">Insurance Company APIs</w:t>
            </w:r>
          </w:p>
        </w:tc>
        <w:tc>
          <w:tcPr>
            <w:tcW w:type="dxa" w:w="2400"/>
            <w:shd w:fill="FFFFFF" w:val="clear"/>
            <w:tcMar>
              <w:top w:type="dxa" w:w="60"/>
              <w:left w:type="dxa" w:w="100"/>
              <w:bottom w:type="dxa" w:w="60"/>
              <w:right w:type="dxa" w:w="100"/>
            </w:tcMar>
            <w:vAlign w:val="center"/>
          </w:tcPr>
          <w:p>
            <w:pPr>
              <w:jc w:val="left"/>
            </w:pPr>
            <w:r>
              <w:rPr>
                <w:b w:val="false"/>
                <w:bCs w:val="false"/>
              </w:rPr>
              <w:t xml:space="preserve">Eligibility verification, pre-authorization, claim submission</w:t>
            </w:r>
          </w:p>
        </w:tc>
        <w:tc>
          <w:tcPr>
            <w:tcW w:type="dxa" w:w="4760"/>
            <w:shd w:fill="FFFFFF" w:val="clear"/>
            <w:tcMar>
              <w:top w:type="dxa" w:w="60"/>
              <w:left w:type="dxa" w:w="100"/>
              <w:bottom w:type="dxa" w:w="60"/>
              <w:right w:type="dxa" w:w="100"/>
            </w:tcMar>
            <w:vAlign w:val="center"/>
          </w:tcPr>
          <w:p>
            <w:pPr>
              <w:jc w:val="left"/>
            </w:pPr>
            <w:r>
              <w:rPr>
                <w:b w:val="false"/>
                <w:bCs w:val="false"/>
              </w:rPr>
              <w:t xml:space="preserve">Per-insurer adapter pattern in the integrations app, since API shape will differ materially by insurer; a manual-fallback path is required per the BRD's insurance edge cases</w:t>
            </w:r>
          </w:p>
        </w:tc>
      </w:tr>
      <w:tr>
        <w:tc>
          <w:tcPr>
            <w:tcW w:type="dxa" w:w="2200"/>
            <w:shd w:fill="F2F2F2" w:val="clear"/>
            <w:tcMar>
              <w:top w:type="dxa" w:w="60"/>
              <w:left w:type="dxa" w:w="100"/>
              <w:bottom w:type="dxa" w:w="60"/>
              <w:right w:type="dxa" w:w="100"/>
            </w:tcMar>
            <w:vAlign w:val="center"/>
          </w:tcPr>
          <w:p>
            <w:pPr>
              <w:jc w:val="left"/>
            </w:pPr>
            <w:r>
              <w:rPr>
                <w:b w:val="false"/>
                <w:bCs w:val="false"/>
              </w:rPr>
              <w:t xml:space="preserve">Email</w:t>
            </w:r>
          </w:p>
        </w:tc>
        <w:tc>
          <w:tcPr>
            <w:tcW w:type="dxa" w:w="2400"/>
            <w:shd w:fill="F2F2F2" w:val="clear"/>
            <w:tcMar>
              <w:top w:type="dxa" w:w="60"/>
              <w:left w:type="dxa" w:w="100"/>
              <w:bottom w:type="dxa" w:w="60"/>
              <w:right w:type="dxa" w:w="100"/>
            </w:tcMar>
            <w:vAlign w:val="center"/>
          </w:tcPr>
          <w:p>
            <w:pPr>
              <w:jc w:val="left"/>
            </w:pPr>
            <w:r>
              <w:rPr>
                <w:b w:val="false"/>
                <w:bCs w:val="false"/>
              </w:rPr>
              <w:t xml:space="preserve">Reports, statements, password reset, patient communication</w:t>
            </w:r>
          </w:p>
        </w:tc>
        <w:tc>
          <w:tcPr>
            <w:tcW w:type="dxa" w:w="4760"/>
            <w:shd w:fill="F2F2F2" w:val="clear"/>
            <w:tcMar>
              <w:top w:type="dxa" w:w="60"/>
              <w:left w:type="dxa" w:w="100"/>
              <w:bottom w:type="dxa" w:w="60"/>
              <w:right w:type="dxa" w:w="100"/>
            </w:tcMar>
            <w:vAlign w:val="center"/>
          </w:tcPr>
          <w:p>
            <w:pPr>
              <w:jc w:val="left"/>
            </w:pPr>
            <w:r>
              <w:rPr>
                <w:b w:val="false"/>
                <w:bCs w:val="false"/>
              </w:rPr>
              <w:t xml:space="preserve">Transactional email provider (e.g. SES/SendGrid), templated via the notifications app</w:t>
            </w:r>
          </w:p>
        </w:tc>
      </w:tr>
      <w:tr>
        <w:tc>
          <w:tcPr>
            <w:tcW w:type="dxa" w:w="2200"/>
            <w:shd w:fill="FFFFFF" w:val="clear"/>
            <w:tcMar>
              <w:top w:type="dxa" w:w="60"/>
              <w:left w:type="dxa" w:w="100"/>
              <w:bottom w:type="dxa" w:w="60"/>
              <w:right w:type="dxa" w:w="100"/>
            </w:tcMar>
            <w:vAlign w:val="center"/>
          </w:tcPr>
          <w:p>
            <w:pPr>
              <w:jc w:val="left"/>
            </w:pPr>
            <w:r>
              <w:rPr>
                <w:b w:val="false"/>
                <w:bCs w:val="false"/>
              </w:rPr>
              <w:t xml:space="preserve">PACS / DICOM (future)</w:t>
            </w:r>
          </w:p>
        </w:tc>
        <w:tc>
          <w:tcPr>
            <w:tcW w:type="dxa" w:w="2400"/>
            <w:shd w:fill="FFFFFF" w:val="clear"/>
            <w:tcMar>
              <w:top w:type="dxa" w:w="60"/>
              <w:left w:type="dxa" w:w="100"/>
              <w:bottom w:type="dxa" w:w="60"/>
              <w:right w:type="dxa" w:w="100"/>
            </w:tcMar>
            <w:vAlign w:val="center"/>
          </w:tcPr>
          <w:p>
            <w:pPr>
              <w:jc w:val="left"/>
            </w:pPr>
            <w:r>
              <w:rPr>
                <w:b w:val="false"/>
                <w:bCs w:val="false"/>
              </w:rPr>
              <w:t xml:space="preserve">Radiology image storage &amp; retrieval</w:t>
            </w:r>
          </w:p>
        </w:tc>
        <w:tc>
          <w:tcPr>
            <w:tcW w:type="dxa" w:w="4760"/>
            <w:shd w:fill="FFFFFF" w:val="clear"/>
            <w:tcMar>
              <w:top w:type="dxa" w:w="60"/>
              <w:left w:type="dxa" w:w="100"/>
              <w:bottom w:type="dxa" w:w="60"/>
              <w:right w:type="dxa" w:w="100"/>
            </w:tcMar>
            <w:vAlign w:val="center"/>
          </w:tcPr>
          <w:p>
            <w:pPr>
              <w:jc w:val="left"/>
            </w:pPr>
            <w:r>
              <w:rPr>
                <w:b w:val="false"/>
                <w:bCs w:val="false"/>
              </w:rPr>
              <w:t xml:space="preserve">Not built in Phase 1–2; interim manual image upload/attachment per the BRD's radiology edge case</w:t>
            </w:r>
          </w:p>
        </w:tc>
      </w:tr>
      <w:tr>
        <w:tc>
          <w:tcPr>
            <w:tcW w:type="dxa" w:w="2200"/>
            <w:shd w:fill="F2F2F2" w:val="clear"/>
            <w:tcMar>
              <w:top w:type="dxa" w:w="60"/>
              <w:left w:type="dxa" w:w="100"/>
              <w:bottom w:type="dxa" w:w="60"/>
              <w:right w:type="dxa" w:w="100"/>
            </w:tcMar>
            <w:vAlign w:val="center"/>
          </w:tcPr>
          <w:p>
            <w:pPr>
              <w:jc w:val="left"/>
            </w:pPr>
            <w:r>
              <w:rPr>
                <w:b w:val="false"/>
                <w:bCs w:val="false"/>
              </w:rPr>
              <w:t xml:space="preserve">Accounting System (future/optional)</w:t>
            </w:r>
          </w:p>
        </w:tc>
        <w:tc>
          <w:tcPr>
            <w:tcW w:type="dxa" w:w="2400"/>
            <w:shd w:fill="F2F2F2" w:val="clear"/>
            <w:tcMar>
              <w:top w:type="dxa" w:w="60"/>
              <w:left w:type="dxa" w:w="100"/>
              <w:bottom w:type="dxa" w:w="60"/>
              <w:right w:type="dxa" w:w="100"/>
            </w:tcMar>
            <w:vAlign w:val="center"/>
          </w:tcPr>
          <w:p>
            <w:pPr>
              <w:jc w:val="left"/>
            </w:pPr>
            <w:r>
              <w:rPr>
                <w:b w:val="false"/>
                <w:bCs w:val="false"/>
              </w:rPr>
              <w:t xml:space="preserve">General ledger sync</w:t>
            </w:r>
          </w:p>
        </w:tc>
        <w:tc>
          <w:tcPr>
            <w:tcW w:type="dxa" w:w="4760"/>
            <w:shd w:fill="F2F2F2" w:val="clear"/>
            <w:tcMar>
              <w:top w:type="dxa" w:w="60"/>
              <w:left w:type="dxa" w:w="100"/>
              <w:bottom w:type="dxa" w:w="60"/>
              <w:right w:type="dxa" w:w="100"/>
            </w:tcMar>
            <w:vAlign w:val="center"/>
          </w:tcPr>
          <w:p>
            <w:pPr>
              <w:jc w:val="left"/>
            </w:pPr>
            <w:r>
              <w:rPr>
                <w:b w:val="false"/>
                <w:bCs w:val="false"/>
              </w:rPr>
              <w:t xml:space="preserve">Preferred as an integration (e.g. export/API sync) rather than rebuilding a full GL, per the BRD's Finance &amp; Accounting module recommendation</w:t>
            </w:r>
          </w:p>
        </w:tc>
      </w:tr>
    </w:tbl>
    <w:p>
      <w:pPr>
        <w:pStyle w:val="Heading1"/>
        <w:pageBreakBefore/>
        <w:spacing w:after="200" w:before="200"/>
      </w:pPr>
      <w:r>
        <w:t xml:space="preserve">10. Security Requirements</w:t>
      </w:r>
    </w:p>
    <w:p>
      <w:pPr>
        <w:pStyle w:val="ListParagraph"/>
        <w:numPr>
          <w:ilvl w:val="0"/>
          <w:numId w:val="2"/>
        </w:numPr>
        <w:spacing w:after="70"/>
      </w:pPr>
      <w:r>
        <w:t xml:space="preserve">Transport security: TLS everywhere, HSTS enabled, no mixed content.</w:t>
      </w:r>
    </w:p>
    <w:p>
      <w:pPr>
        <w:pStyle w:val="ListParagraph"/>
        <w:numPr>
          <w:ilvl w:val="0"/>
          <w:numId w:val="2"/>
        </w:numPr>
        <w:spacing w:after="70"/>
      </w:pPr>
      <w:r>
        <w:t xml:space="preserve">Secrets management: environment-injected via a secrets manager (not committed to source, not baked into container images).</w:t>
      </w:r>
    </w:p>
    <w:p>
      <w:pPr>
        <w:pStyle w:val="ListParagraph"/>
        <w:numPr>
          <w:ilvl w:val="0"/>
          <w:numId w:val="2"/>
        </w:numPr>
        <w:spacing w:after="70"/>
      </w:pPr>
      <w:r>
        <w:t xml:space="preserve">Dependency hygiene: automated vulnerability scanning on every build (both Python and JavaScript dependency trees), with a policy of no critical-severity vulnerabilities in production.</w:t>
      </w:r>
    </w:p>
    <w:p>
      <w:pPr>
        <w:pStyle w:val="ListParagraph"/>
        <w:numPr>
          <w:ilvl w:val="0"/>
          <w:numId w:val="2"/>
        </w:numPr>
        <w:spacing w:after="70"/>
      </w:pPr>
      <w:r>
        <w:t xml:space="preserve">Input validation: server-side validation is authoritative on every endpoint — client-side validation is a UX convenience, never the security boundary.</w:t>
      </w:r>
    </w:p>
    <w:p>
      <w:pPr>
        <w:pStyle w:val="ListParagraph"/>
        <w:numPr>
          <w:ilvl w:val="0"/>
          <w:numId w:val="2"/>
        </w:numPr>
        <w:spacing w:after="70"/>
      </w:pPr>
      <w:r>
        <w:t xml:space="preserve">File upload handling: type/size validation, virus scanning on ingest for any uploaded document (lab attachments, HR documents, procurement invoices) before it reaches object storage.</w:t>
      </w:r>
    </w:p>
    <w:p>
      <w:pPr>
        <w:pStyle w:val="ListParagraph"/>
        <w:numPr>
          <w:ilvl w:val="0"/>
          <w:numId w:val="2"/>
        </w:numPr>
        <w:spacing w:after="70"/>
      </w:pPr>
      <w:r>
        <w:t xml:space="preserve">Penetration testing: required before the first production go-live, and after any major architectural change (e.g. the multi-branch rollout in Phase 3).</w:t>
      </w:r>
    </w:p>
    <w:p>
      <w:pPr>
        <w:pStyle w:val="ListParagraph"/>
        <w:numPr>
          <w:ilvl w:val="0"/>
          <w:numId w:val="2"/>
        </w:numPr>
        <w:spacing w:after="70"/>
      </w:pPr>
      <w:r>
        <w:t xml:space="preserve">Incident response: a documented runbook for a suspected data breach, aligned to the Kenya Data Protection Act's notification obligations.</w:t>
      </w:r>
    </w:p>
    <w:p>
      <w:pPr>
        <w:pStyle w:val="Heading1"/>
        <w:pageBreakBefore/>
        <w:spacing w:after="200" w:before="200"/>
      </w:pPr>
      <w:r>
        <w:t xml:space="preserve">11. DevOps &amp; Infrastructure</w:t>
      </w:r>
    </w:p>
    <w:p>
      <w:pPr>
        <w:pStyle w:val="Heading2"/>
        <w:spacing w:after="140" w:before="320"/>
      </w:pPr>
      <w:r>
        <w:t xml:space="preserve">11.1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rPr>
              <w:t xml:space="preserve">Environment</w:t>
            </w:r>
          </w:p>
        </w:tc>
        <w:tc>
          <w:tcPr>
            <w:tcW w:type="dxa" w:w="7160"/>
            <w:shd w:fill="1F3864" w:val="clear"/>
            <w:tcMar>
              <w:top w:type="dxa" w:w="60"/>
              <w:left w:type="dxa" w:w="100"/>
              <w:bottom w:type="dxa" w:w="60"/>
              <w:right w:type="dxa" w:w="100"/>
            </w:tcMar>
            <w:vAlign w:val="center"/>
          </w:tcPr>
          <w:p>
            <w:pPr>
              <w:jc w:val="left"/>
            </w:pPr>
            <w:r>
              <w:rPr>
                <w:b/>
                <w:bCs/>
                <w:color w:val="FFFFFF"/>
              </w:rPr>
              <w:t xml:space="preserve">Purpose</w:t>
            </w:r>
          </w:p>
        </w:tc>
      </w:tr>
      <w:tr>
        <w:tc>
          <w:tcPr>
            <w:tcW w:type="dxa" w:w="2200"/>
            <w:shd w:fill="FFFFFF" w:val="clear"/>
            <w:tcMar>
              <w:top w:type="dxa" w:w="60"/>
              <w:left w:type="dxa" w:w="100"/>
              <w:bottom w:type="dxa" w:w="60"/>
              <w:right w:type="dxa" w:w="100"/>
            </w:tcMar>
            <w:vAlign w:val="center"/>
          </w:tcPr>
          <w:p>
            <w:pPr>
              <w:jc w:val="left"/>
            </w:pPr>
            <w:r>
              <w:rPr>
                <w:b w:val="false"/>
                <w:bCs w:val="false"/>
              </w:rPr>
              <w:t xml:space="preserve">Local</w:t>
            </w:r>
          </w:p>
        </w:tc>
        <w:tc>
          <w:tcPr>
            <w:tcW w:type="dxa" w:w="7160"/>
            <w:shd w:fill="FFFFFF" w:val="clear"/>
            <w:tcMar>
              <w:top w:type="dxa" w:w="60"/>
              <w:left w:type="dxa" w:w="100"/>
              <w:bottom w:type="dxa" w:w="60"/>
              <w:right w:type="dxa" w:w="100"/>
            </w:tcMar>
            <w:vAlign w:val="center"/>
          </w:tcPr>
          <w:p>
            <w:pPr>
              <w:jc w:val="left"/>
            </w:pPr>
            <w:r>
              <w:rPr>
                <w:b w:val="false"/>
                <w:bCs w:val="false"/>
              </w:rPr>
              <w:t xml:space="preserve">Individual developer machines, Docker Compose mirroring production services</w:t>
            </w:r>
          </w:p>
        </w:tc>
      </w:tr>
      <w:tr>
        <w:tc>
          <w:tcPr>
            <w:tcW w:type="dxa" w:w="2200"/>
            <w:shd w:fill="F2F2F2" w:val="clear"/>
            <w:tcMar>
              <w:top w:type="dxa" w:w="60"/>
              <w:left w:type="dxa" w:w="100"/>
              <w:bottom w:type="dxa" w:w="60"/>
              <w:right w:type="dxa" w:w="100"/>
            </w:tcMar>
            <w:vAlign w:val="center"/>
          </w:tcPr>
          <w:p>
            <w:pPr>
              <w:jc w:val="left"/>
            </w:pPr>
            <w:r>
              <w:rPr>
                <w:b w:val="false"/>
                <w:bCs w:val="false"/>
              </w:rPr>
              <w:t xml:space="preserve">Development</w:t>
            </w:r>
          </w:p>
        </w:tc>
        <w:tc>
          <w:tcPr>
            <w:tcW w:type="dxa" w:w="7160"/>
            <w:shd w:fill="F2F2F2" w:val="clear"/>
            <w:tcMar>
              <w:top w:type="dxa" w:w="60"/>
              <w:left w:type="dxa" w:w="100"/>
              <w:bottom w:type="dxa" w:w="60"/>
              <w:right w:type="dxa" w:w="100"/>
            </w:tcMar>
            <w:vAlign w:val="center"/>
          </w:tcPr>
          <w:p>
            <w:pPr>
              <w:jc w:val="left"/>
            </w:pPr>
            <w:r>
              <w:rPr>
                <w:b w:val="false"/>
                <w:bCs w:val="false"/>
              </w:rPr>
              <w:t xml:space="preserve">Shared integration environment, auto-deployed from the main development branch</w:t>
            </w:r>
          </w:p>
        </w:tc>
      </w:tr>
      <w:tr>
        <w:tc>
          <w:tcPr>
            <w:tcW w:type="dxa" w:w="2200"/>
            <w:shd w:fill="FFFFFF" w:val="clear"/>
            <w:tcMar>
              <w:top w:type="dxa" w:w="60"/>
              <w:left w:type="dxa" w:w="100"/>
              <w:bottom w:type="dxa" w:w="60"/>
              <w:right w:type="dxa" w:w="100"/>
            </w:tcMar>
            <w:vAlign w:val="center"/>
          </w:tcPr>
          <w:p>
            <w:pPr>
              <w:jc w:val="left"/>
            </w:pPr>
            <w:r>
              <w:rPr>
                <w:b w:val="false"/>
                <w:bCs w:val="false"/>
              </w:rPr>
              <w:t xml:space="preserve">Staging</w:t>
            </w:r>
          </w:p>
        </w:tc>
        <w:tc>
          <w:tcPr>
            <w:tcW w:type="dxa" w:w="7160"/>
            <w:shd w:fill="FFFFFF" w:val="clear"/>
            <w:tcMar>
              <w:top w:type="dxa" w:w="60"/>
              <w:left w:type="dxa" w:w="100"/>
              <w:bottom w:type="dxa" w:w="60"/>
              <w:right w:type="dxa" w:w="100"/>
            </w:tcMar>
            <w:vAlign w:val="center"/>
          </w:tcPr>
          <w:p>
            <w:pPr>
              <w:jc w:val="left"/>
            </w:pPr>
            <w:r>
              <w:rPr>
                <w:b w:val="false"/>
                <w:bCs w:val="false"/>
              </w:rPr>
              <w:t xml:space="preserve">Production-like environment for UAT and pre-release verification, using anonymized data</w:t>
            </w:r>
          </w:p>
        </w:tc>
      </w:tr>
      <w:tr>
        <w:tc>
          <w:tcPr>
            <w:tcW w:type="dxa" w:w="2200"/>
            <w:shd w:fill="F2F2F2" w:val="clear"/>
            <w:tcMar>
              <w:top w:type="dxa" w:w="60"/>
              <w:left w:type="dxa" w:w="100"/>
              <w:bottom w:type="dxa" w:w="60"/>
              <w:right w:type="dxa" w:w="100"/>
            </w:tcMar>
            <w:vAlign w:val="center"/>
          </w:tcPr>
          <w:p>
            <w:pPr>
              <w:jc w:val="left"/>
            </w:pPr>
            <w:r>
              <w:rPr>
                <w:b w:val="false"/>
                <w:bCs w:val="false"/>
              </w:rPr>
              <w:t xml:space="preserve">Production</w:t>
            </w:r>
          </w:p>
        </w:tc>
        <w:tc>
          <w:tcPr>
            <w:tcW w:type="dxa" w:w="7160"/>
            <w:shd w:fill="F2F2F2" w:val="clear"/>
            <w:tcMar>
              <w:top w:type="dxa" w:w="60"/>
              <w:left w:type="dxa" w:w="100"/>
              <w:bottom w:type="dxa" w:w="60"/>
              <w:right w:type="dxa" w:w="100"/>
            </w:tcMar>
            <w:vAlign w:val="center"/>
          </w:tcPr>
          <w:p>
            <w:pPr>
              <w:jc w:val="left"/>
            </w:pPr>
            <w:r>
              <w:rPr>
                <w:b w:val="false"/>
                <w:bCs w:val="false"/>
              </w:rPr>
              <w:t xml:space="preserve">Live environment serving real facilities and patient data</w:t>
            </w:r>
          </w:p>
        </w:tc>
      </w:tr>
    </w:tbl>
    <w:p>
      <w:pPr>
        <w:pStyle w:val="Heading2"/>
        <w:spacing w:after="140" w:before="320"/>
      </w:pPr>
      <w:r>
        <w:t xml:space="preserve">11.2 Containerization &amp; Orchestration</w:t>
      </w:r>
    </w:p>
    <w:p>
      <w:pPr>
        <w:pStyle w:val="ListParagraph"/>
        <w:numPr>
          <w:ilvl w:val="0"/>
          <w:numId w:val="2"/>
        </w:numPr>
        <w:spacing w:after="70"/>
      </w:pPr>
      <w:r>
        <w:t xml:space="preserve">Docker images for the Django backend, Celery workers, and the React web build (served via Nginx); a container registry stores versioned, immutable images per release.</w:t>
      </w:r>
    </w:p>
    <w:p>
      <w:pPr>
        <w:pStyle w:val="ListParagraph"/>
        <w:numPr>
          <w:ilvl w:val="0"/>
          <w:numId w:val="2"/>
        </w:numPr>
        <w:spacing w:after="70"/>
      </w:pPr>
      <w:r>
        <w:t xml:space="preserve">Orchestration via a managed Kubernetes service (or a simpler managed-container platform for Phase 1, e.g. AWS ECS) — the recommendation is to start with the simplest platform that meets the NFRs in Section 3 and move to Kubernetes only when multi-facility scale actually requires it, not pre-emptively.</w:t>
      </w:r>
    </w:p>
    <w:p>
      <w:pPr>
        <w:pStyle w:val="Heading2"/>
        <w:spacing w:after="140" w:before="320"/>
      </w:pPr>
      <w:r>
        <w:t xml:space="preserve">11.3 CI/CD</w:t>
      </w:r>
    </w:p>
    <w:p>
      <w:pPr>
        <w:pStyle w:val="ListParagraph"/>
        <w:numPr>
          <w:ilvl w:val="0"/>
          <w:numId w:val="2"/>
        </w:numPr>
        <w:spacing w:after="70"/>
      </w:pPr>
      <w:r>
        <w:t xml:space="preserve">Every pull request runs: linting, unit tests, dependency vulnerability scan, and a build check for both backend and frontend.</w:t>
      </w:r>
    </w:p>
    <w:p>
      <w:pPr>
        <w:pStyle w:val="ListParagraph"/>
        <w:numPr>
          <w:ilvl w:val="0"/>
          <w:numId w:val="2"/>
        </w:numPr>
        <w:spacing w:after="70"/>
      </w:pPr>
      <w:r>
        <w:t xml:space="preserve">Merges to the main branch auto-deploy to Development; promotion to Staging and Production is a deliberate, approved step, never automatic for a hospital-critical system.</w:t>
      </w:r>
    </w:p>
    <w:p>
      <w:pPr>
        <w:pStyle w:val="ListParagraph"/>
        <w:numPr>
          <w:ilvl w:val="0"/>
          <w:numId w:val="2"/>
        </w:numPr>
        <w:spacing w:after="70"/>
      </w:pPr>
      <w:r>
        <w:t xml:space="preserve">Database migrations run as a distinct, reviewed step in the pipeline — never auto-applied silently alongside an application deploy.</w:t>
      </w:r>
    </w:p>
    <w:p>
      <w:pPr>
        <w:pStyle w:val="Heading2"/>
        <w:spacing w:after="140" w:before="320"/>
      </w:pPr>
      <w:r>
        <w:t xml:space="preserve">11.4 Monitoring, Logging &amp; Alerting</w:t>
      </w:r>
    </w:p>
    <w:p>
      <w:pPr>
        <w:pStyle w:val="ListParagraph"/>
        <w:numPr>
          <w:ilvl w:val="0"/>
          <w:numId w:val="2"/>
        </w:numPr>
        <w:spacing w:after="70"/>
      </w:pPr>
      <w:r>
        <w:t xml:space="preserve">Centralized structured logging (not scattered print/console statements) from Django, Celery, and both frontends' error boundaries.</w:t>
      </w:r>
    </w:p>
    <w:p>
      <w:pPr>
        <w:pStyle w:val="ListParagraph"/>
        <w:numPr>
          <w:ilvl w:val="0"/>
          <w:numId w:val="2"/>
        </w:numPr>
        <w:spacing w:after="70"/>
      </w:pPr>
      <w:r>
        <w:t xml:space="preserve">Application performance monitoring against the targets in Section 3.1, with alerting when p95 latency or error rate breaches threshold.</w:t>
      </w:r>
    </w:p>
    <w:p>
      <w:pPr>
        <w:pStyle w:val="ListParagraph"/>
        <w:numPr>
          <w:ilvl w:val="0"/>
          <w:numId w:val="2"/>
        </w:numPr>
        <w:spacing w:after="70"/>
      </w:pPr>
      <w:r>
        <w:t xml:space="preserve">Uptime monitoring on every externally facing endpoint, with on-call alerting for the clinically critical paths (authentication, OPD, lab, billing, patient portal).</w:t>
      </w:r>
    </w:p>
    <w:p>
      <w:pPr>
        <w:pStyle w:val="Heading2"/>
        <w:spacing w:after="140" w:before="320"/>
      </w:pPr>
      <w:r>
        <w:t xml:space="preserve">11.5 Backup &amp; Disaster Recovery</w:t>
      </w:r>
    </w:p>
    <w:p>
      <w:pPr>
        <w:pStyle w:val="ListParagraph"/>
        <w:numPr>
          <w:ilvl w:val="0"/>
          <w:numId w:val="2"/>
        </w:numPr>
        <w:spacing w:after="70"/>
      </w:pPr>
      <w:r>
        <w:t xml:space="preserve">Automated daily database backups with point-in-time recovery capability, tested via a periodic restore drill — an untested backup is not a backup.</w:t>
      </w:r>
    </w:p>
    <w:p>
      <w:pPr>
        <w:pStyle w:val="ListParagraph"/>
        <w:numPr>
          <w:ilvl w:val="0"/>
          <w:numId w:val="2"/>
        </w:numPr>
        <w:spacing w:after="70"/>
      </w:pPr>
      <w:r>
        <w:t xml:space="preserve">Documented Recovery Time Objective (RTO) and Recovery Point Objective (RPO) targets, agreed with the business before go-live — proposed starting point: RTO 4 hours, RPO 1 hour for Phase 1, tightened as the platform becomes more clinically load-bearing.</w:t>
      </w:r>
    </w:p>
    <w:p>
      <w:pPr>
        <w:pStyle w:val="Heading1"/>
        <w:pageBreakBefore/>
        <w:spacing w:after="200" w:before="200"/>
      </w:pPr>
      <w:r>
        <w:t xml:space="preserve">12.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300"/>
        <w:gridCol w:w="2160"/>
      </w:tblGrid>
      <w:tr>
        <w:trPr>
          <w:tblHeader/>
        </w:trPr>
        <w:tc>
          <w:tcPr>
            <w:tcW w:type="dxa" w:w="1900"/>
            <w:shd w:fill="1F3864" w:val="clear"/>
            <w:tcMar>
              <w:top w:type="dxa" w:w="60"/>
              <w:left w:type="dxa" w:w="100"/>
              <w:bottom w:type="dxa" w:w="60"/>
              <w:right w:type="dxa" w:w="100"/>
            </w:tcMar>
            <w:vAlign w:val="center"/>
          </w:tcPr>
          <w:p>
            <w:pPr>
              <w:jc w:val="left"/>
            </w:pPr>
            <w:r>
              <w:rPr>
                <w:b/>
                <w:bCs/>
                <w:color w:val="FFFFFF"/>
              </w:rPr>
              <w:t xml:space="preserve">Layer</w:t>
            </w:r>
          </w:p>
        </w:tc>
        <w:tc>
          <w:tcPr>
            <w:tcW w:type="dxa" w:w="5300"/>
            <w:shd w:fill="1F3864" w:val="clear"/>
            <w:tcMar>
              <w:top w:type="dxa" w:w="60"/>
              <w:left w:type="dxa" w:w="100"/>
              <w:bottom w:type="dxa" w:w="60"/>
              <w:right w:type="dxa" w:w="100"/>
            </w:tcMar>
            <w:vAlign w:val="center"/>
          </w:tcPr>
          <w:p>
            <w:pPr>
              <w:jc w:val="left"/>
            </w:pPr>
            <w:r>
              <w:rPr>
                <w:b/>
                <w:bCs/>
                <w:color w:val="FFFFFF"/>
              </w:rPr>
              <w:t xml:space="preserve">Approach</w:t>
            </w:r>
          </w:p>
        </w:tc>
        <w:tc>
          <w:tcPr>
            <w:tcW w:type="dxa" w:w="2160"/>
            <w:shd w:fill="1F3864" w:val="clear"/>
            <w:tcMar>
              <w:top w:type="dxa" w:w="60"/>
              <w:left w:type="dxa" w:w="100"/>
              <w:bottom w:type="dxa" w:w="60"/>
              <w:right w:type="dxa" w:w="100"/>
            </w:tcMar>
            <w:vAlign w:val="center"/>
          </w:tcPr>
          <w:p>
            <w:pPr>
              <w:jc w:val="left"/>
            </w:pPr>
            <w:r>
              <w:rPr>
                <w:b/>
                <w:bCs/>
                <w:color w:val="FFFFFF"/>
              </w:rPr>
              <w:t xml:space="preserve">Owner</w:t>
            </w:r>
          </w:p>
        </w:tc>
      </w:tr>
      <w:tr>
        <w:tc>
          <w:tcPr>
            <w:tcW w:type="dxa" w:w="1900"/>
            <w:shd w:fill="FFFFFF" w:val="clear"/>
            <w:tcMar>
              <w:top w:type="dxa" w:w="60"/>
              <w:left w:type="dxa" w:w="100"/>
              <w:bottom w:type="dxa" w:w="60"/>
              <w:right w:type="dxa" w:w="100"/>
            </w:tcMar>
            <w:vAlign w:val="center"/>
          </w:tcPr>
          <w:p>
            <w:pPr>
              <w:jc w:val="left"/>
            </w:pPr>
            <w:r>
              <w:rPr>
                <w:b w:val="false"/>
                <w:bCs w:val="false"/>
              </w:rPr>
              <w:t xml:space="preserve">Unit tests</w:t>
            </w:r>
          </w:p>
        </w:tc>
        <w:tc>
          <w:tcPr>
            <w:tcW w:type="dxa" w:w="5300"/>
            <w:shd w:fill="FFFFFF" w:val="clear"/>
            <w:tcMar>
              <w:top w:type="dxa" w:w="60"/>
              <w:left w:type="dxa" w:w="100"/>
              <w:bottom w:type="dxa" w:w="60"/>
              <w:right w:type="dxa" w:w="100"/>
            </w:tcMar>
            <w:vAlign w:val="center"/>
          </w:tcPr>
          <w:p>
            <w:pPr>
              <w:jc w:val="left"/>
            </w:pPr>
            <w:r>
              <w:rPr>
                <w:b w:val="false"/>
                <w:bCs w:val="false"/>
              </w:rPr>
              <w:t xml:space="preserve">pytest for Django (models, serializers, permission classes); Jest/React Testing Library for both React and React Native components</w:t>
            </w:r>
          </w:p>
        </w:tc>
        <w:tc>
          <w:tcPr>
            <w:tcW w:type="dxa" w:w="2160"/>
            <w:shd w:fill="FFFFFF" w:val="clear"/>
            <w:tcMar>
              <w:top w:type="dxa" w:w="60"/>
              <w:left w:type="dxa" w:w="100"/>
              <w:bottom w:type="dxa" w:w="60"/>
              <w:right w:type="dxa" w:w="100"/>
            </w:tcMar>
            <w:vAlign w:val="center"/>
          </w:tcPr>
          <w:p>
            <w:pPr>
              <w:jc w:val="left"/>
            </w:pPr>
            <w:r>
              <w:rPr>
                <w:b w:val="false"/>
                <w:bCs w:val="false"/>
              </w:rPr>
              <w:t xml:space="preserve">Engineering</w:t>
            </w:r>
          </w:p>
        </w:tc>
      </w:tr>
      <w:tr>
        <w:tc>
          <w:tcPr>
            <w:tcW w:type="dxa" w:w="1900"/>
            <w:shd w:fill="F2F2F2" w:val="clear"/>
            <w:tcMar>
              <w:top w:type="dxa" w:w="60"/>
              <w:left w:type="dxa" w:w="100"/>
              <w:bottom w:type="dxa" w:w="60"/>
              <w:right w:type="dxa" w:w="100"/>
            </w:tcMar>
            <w:vAlign w:val="center"/>
          </w:tcPr>
          <w:p>
            <w:pPr>
              <w:jc w:val="left"/>
            </w:pPr>
            <w:r>
              <w:rPr>
                <w:b w:val="false"/>
                <w:bCs w:val="false"/>
              </w:rPr>
              <w:t xml:space="preserve">Integration tests</w:t>
            </w:r>
          </w:p>
        </w:tc>
        <w:tc>
          <w:tcPr>
            <w:tcW w:type="dxa" w:w="5300"/>
            <w:shd w:fill="F2F2F2" w:val="clear"/>
            <w:tcMar>
              <w:top w:type="dxa" w:w="60"/>
              <w:left w:type="dxa" w:w="100"/>
              <w:bottom w:type="dxa" w:w="60"/>
              <w:right w:type="dxa" w:w="100"/>
            </w:tcMar>
            <w:vAlign w:val="center"/>
          </w:tcPr>
          <w:p>
            <w:pPr>
              <w:jc w:val="left"/>
            </w:pPr>
            <w:r>
              <w:rPr>
                <w:b w:val="false"/>
                <w:bCs w:val="false"/>
              </w:rPr>
              <w:t xml:space="preserve">DRF APIClient-based tests covering full request/response cycles per endpoint, including permission-denial cases</w:t>
            </w:r>
          </w:p>
        </w:tc>
        <w:tc>
          <w:tcPr>
            <w:tcW w:type="dxa" w:w="2160"/>
            <w:shd w:fill="F2F2F2" w:val="clear"/>
            <w:tcMar>
              <w:top w:type="dxa" w:w="60"/>
              <w:left w:type="dxa" w:w="100"/>
              <w:bottom w:type="dxa" w:w="60"/>
              <w:right w:type="dxa" w:w="100"/>
            </w:tcMar>
            <w:vAlign w:val="center"/>
          </w:tcPr>
          <w:p>
            <w:pPr>
              <w:jc w:val="left"/>
            </w:pPr>
            <w:r>
              <w:rPr>
                <w:b w:val="false"/>
                <w:bCs w:val="false"/>
              </w:rPr>
              <w:t xml:space="preserve">Engineering</w:t>
            </w:r>
          </w:p>
        </w:tc>
      </w:tr>
      <w:tr>
        <w:tc>
          <w:tcPr>
            <w:tcW w:type="dxa" w:w="1900"/>
            <w:shd w:fill="FFFFFF" w:val="clear"/>
            <w:tcMar>
              <w:top w:type="dxa" w:w="60"/>
              <w:left w:type="dxa" w:w="100"/>
              <w:bottom w:type="dxa" w:w="60"/>
              <w:right w:type="dxa" w:w="100"/>
            </w:tcMar>
            <w:vAlign w:val="center"/>
          </w:tcPr>
          <w:p>
            <w:pPr>
              <w:jc w:val="left"/>
            </w:pPr>
            <w:r>
              <w:rPr>
                <w:b w:val="false"/>
                <w:bCs w:val="false"/>
              </w:rPr>
              <w:t xml:space="preserve">End-to-end tests</w:t>
            </w:r>
          </w:p>
        </w:tc>
        <w:tc>
          <w:tcPr>
            <w:tcW w:type="dxa" w:w="5300"/>
            <w:shd w:fill="FFFFFF" w:val="clear"/>
            <w:tcMar>
              <w:top w:type="dxa" w:w="60"/>
              <w:left w:type="dxa" w:w="100"/>
              <w:bottom w:type="dxa" w:w="60"/>
              <w:right w:type="dxa" w:w="100"/>
            </w:tcMar>
            <w:vAlign w:val="center"/>
          </w:tcPr>
          <w:p>
            <w:pPr>
              <w:jc w:val="left"/>
            </w:pPr>
            <w:r>
              <w:rPr>
                <w:b w:val="false"/>
                <w:bCs w:val="false"/>
              </w:rPr>
              <w:t xml:space="preserve">Playwright/Cypress for the web console's critical flows (registration → OPD → billing); Detox for the mobile app's critical flows (login → book appointment)</w:t>
            </w:r>
          </w:p>
        </w:tc>
        <w:tc>
          <w:tcPr>
            <w:tcW w:type="dxa" w:w="2160"/>
            <w:shd w:fill="FFFFFF" w:val="clear"/>
            <w:tcMar>
              <w:top w:type="dxa" w:w="60"/>
              <w:left w:type="dxa" w:w="100"/>
              <w:bottom w:type="dxa" w:w="60"/>
              <w:right w:type="dxa" w:w="100"/>
            </w:tcMar>
            <w:vAlign w:val="center"/>
          </w:tcPr>
          <w:p>
            <w:pPr>
              <w:jc w:val="left"/>
            </w:pPr>
            <w:r>
              <w:rPr>
                <w:b w:val="false"/>
                <w:bCs w:val="false"/>
              </w:rPr>
              <w:t xml:space="preserve">QA / Engineering</w:t>
            </w:r>
          </w:p>
        </w:tc>
      </w:tr>
      <w:tr>
        <w:tc>
          <w:tcPr>
            <w:tcW w:type="dxa" w:w="1900"/>
            <w:shd w:fill="F2F2F2" w:val="clear"/>
            <w:tcMar>
              <w:top w:type="dxa" w:w="60"/>
              <w:left w:type="dxa" w:w="100"/>
              <w:bottom w:type="dxa" w:w="60"/>
              <w:right w:type="dxa" w:w="100"/>
            </w:tcMar>
            <w:vAlign w:val="center"/>
          </w:tcPr>
          <w:p>
            <w:pPr>
              <w:jc w:val="left"/>
            </w:pPr>
            <w:r>
              <w:rPr>
                <w:b w:val="false"/>
                <w:bCs w:val="false"/>
              </w:rPr>
              <w:t xml:space="preserve">Load testing</w:t>
            </w:r>
          </w:p>
        </w:tc>
        <w:tc>
          <w:tcPr>
            <w:tcW w:type="dxa" w:w="5300"/>
            <w:shd w:fill="F2F2F2" w:val="clear"/>
            <w:tcMar>
              <w:top w:type="dxa" w:w="60"/>
              <w:left w:type="dxa" w:w="100"/>
              <w:bottom w:type="dxa" w:w="60"/>
              <w:right w:type="dxa" w:w="100"/>
            </w:tcMar>
            <w:vAlign w:val="center"/>
          </w:tcPr>
          <w:p>
            <w:pPr>
              <w:jc w:val="left"/>
            </w:pPr>
            <w:r>
              <w:rPr>
                <w:b w:val="false"/>
                <w:bCs w:val="false"/>
              </w:rPr>
              <w:t xml:space="preserve">Simulated concurrent-user load against the targets in Section 3.1, run before major releases and before any new facility onboarding at scale</w:t>
            </w:r>
          </w:p>
        </w:tc>
        <w:tc>
          <w:tcPr>
            <w:tcW w:type="dxa" w:w="2160"/>
            <w:shd w:fill="F2F2F2" w:val="clear"/>
            <w:tcMar>
              <w:top w:type="dxa" w:w="60"/>
              <w:left w:type="dxa" w:w="100"/>
              <w:bottom w:type="dxa" w:w="60"/>
              <w:right w:type="dxa" w:w="100"/>
            </w:tcMar>
            <w:vAlign w:val="center"/>
          </w:tcPr>
          <w:p>
            <w:pPr>
              <w:jc w:val="left"/>
            </w:pPr>
            <w:r>
              <w:rPr>
                <w:b w:val="false"/>
                <w:bCs w:val="false"/>
              </w:rPr>
              <w:t xml:space="preserve">Engineering</w:t>
            </w:r>
          </w:p>
        </w:tc>
      </w:tr>
      <w:tr>
        <w:tc>
          <w:tcPr>
            <w:tcW w:type="dxa" w:w="1900"/>
            <w:shd w:fill="FFFFFF" w:val="clear"/>
            <w:tcMar>
              <w:top w:type="dxa" w:w="60"/>
              <w:left w:type="dxa" w:w="100"/>
              <w:bottom w:type="dxa" w:w="60"/>
              <w:right w:type="dxa" w:w="100"/>
            </w:tcMar>
            <w:vAlign w:val="center"/>
          </w:tcPr>
          <w:p>
            <w:pPr>
              <w:jc w:val="left"/>
            </w:pPr>
            <w:r>
              <w:rPr>
                <w:b w:val="false"/>
                <w:bCs w:val="false"/>
              </w:rPr>
              <w:t xml:space="preserve">Security testing</w:t>
            </w:r>
          </w:p>
        </w:tc>
        <w:tc>
          <w:tcPr>
            <w:tcW w:type="dxa" w:w="5300"/>
            <w:shd w:fill="FFFFFF" w:val="clear"/>
            <w:tcMar>
              <w:top w:type="dxa" w:w="60"/>
              <w:left w:type="dxa" w:w="100"/>
              <w:bottom w:type="dxa" w:w="60"/>
              <w:right w:type="dxa" w:w="100"/>
            </w:tcMar>
            <w:vAlign w:val="center"/>
          </w:tcPr>
          <w:p>
            <w:pPr>
              <w:jc w:val="left"/>
            </w:pPr>
            <w:r>
              <w:rPr>
                <w:b w:val="false"/>
                <w:bCs w:val="false"/>
              </w:rPr>
              <w:t xml:space="preserve">Automated SAST/dependency scanning in CI; manual penetration test pre-launch and periodically thereafter</w:t>
            </w:r>
          </w:p>
        </w:tc>
        <w:tc>
          <w:tcPr>
            <w:tcW w:type="dxa" w:w="2160"/>
            <w:shd w:fill="FFFFFF" w:val="clear"/>
            <w:tcMar>
              <w:top w:type="dxa" w:w="60"/>
              <w:left w:type="dxa" w:w="100"/>
              <w:bottom w:type="dxa" w:w="60"/>
              <w:right w:type="dxa" w:w="100"/>
            </w:tcMar>
            <w:vAlign w:val="center"/>
          </w:tcPr>
          <w:p>
            <w:pPr>
              <w:jc w:val="left"/>
            </w:pPr>
            <w:r>
              <w:rPr>
                <w:b w:val="false"/>
                <w:bCs w:val="false"/>
              </w:rPr>
              <w:t xml:space="preserve">Engineering / External</w:t>
            </w:r>
          </w:p>
        </w:tc>
      </w:tr>
      <w:tr>
        <w:tc>
          <w:tcPr>
            <w:tcW w:type="dxa" w:w="1900"/>
            <w:shd w:fill="F2F2F2" w:val="clear"/>
            <w:tcMar>
              <w:top w:type="dxa" w:w="60"/>
              <w:left w:type="dxa" w:w="100"/>
              <w:bottom w:type="dxa" w:w="60"/>
              <w:right w:type="dxa" w:w="100"/>
            </w:tcMar>
            <w:vAlign w:val="center"/>
          </w:tcPr>
          <w:p>
            <w:pPr>
              <w:jc w:val="left"/>
            </w:pPr>
            <w:r>
              <w:rPr>
                <w:b w:val="false"/>
                <w:bCs w:val="false"/>
              </w:rPr>
              <w:t xml:space="preserve">User acceptance testing (UAT)</w:t>
            </w:r>
          </w:p>
        </w:tc>
        <w:tc>
          <w:tcPr>
            <w:tcW w:type="dxa" w:w="5300"/>
            <w:shd w:fill="F2F2F2" w:val="clear"/>
            <w:tcMar>
              <w:top w:type="dxa" w:w="60"/>
              <w:left w:type="dxa" w:w="100"/>
              <w:bottom w:type="dxa" w:w="60"/>
              <w:right w:type="dxa" w:w="100"/>
            </w:tcMar>
            <w:vAlign w:val="center"/>
          </w:tcPr>
          <w:p>
            <w:pPr>
              <w:jc w:val="left"/>
            </w:pPr>
            <w:r>
              <w:rPr>
                <w:b w:val="false"/>
                <w:bCs w:val="false"/>
              </w:rPr>
              <w:t xml:space="preserve">Structured walkthroughs of the BRD's user journeys with real hospital staff, in the Staging environment, before each major release</w:t>
            </w:r>
          </w:p>
        </w:tc>
        <w:tc>
          <w:tcPr>
            <w:tcW w:type="dxa" w:w="2160"/>
            <w:shd w:fill="F2F2F2" w:val="clear"/>
            <w:tcMar>
              <w:top w:type="dxa" w:w="60"/>
              <w:left w:type="dxa" w:w="100"/>
              <w:bottom w:type="dxa" w:w="60"/>
              <w:right w:type="dxa" w:w="100"/>
            </w:tcMar>
            <w:vAlign w:val="center"/>
          </w:tcPr>
          <w:p>
            <w:pPr>
              <w:jc w:val="left"/>
            </w:pPr>
            <w:r>
              <w:rPr>
                <w:b w:val="false"/>
                <w:bCs w:val="false"/>
              </w:rPr>
              <w:t xml:space="preserve">Product / Clinical stakeholders</w:t>
            </w:r>
          </w:p>
        </w:tc>
      </w:tr>
    </w:tbl>
    <w:p>
      <w:pPr>
        <w:pStyle w:val="Heading1"/>
        <w:pageBreakBefore/>
        <w:spacing w:after="200" w:before="200"/>
      </w:pPr>
      <w:r>
        <w:t xml:space="preserve">13. Development Standards</w:t>
      </w:r>
    </w:p>
    <w:p>
      <w:pPr>
        <w:pStyle w:val="ListParagraph"/>
        <w:numPr>
          <w:ilvl w:val="0"/>
          <w:numId w:val="2"/>
        </w:numPr>
        <w:spacing w:after="70"/>
      </w:pPr>
      <w:r>
        <w:t xml:space="preserve">Git workflow: trunk-based development with short-lived feature branches, pull-request review required before merge to main — no direct commits to main.</w:t>
      </w:r>
    </w:p>
    <w:p>
      <w:pPr>
        <w:pStyle w:val="ListParagraph"/>
        <w:numPr>
          <w:ilvl w:val="0"/>
          <w:numId w:val="2"/>
        </w:numPr>
        <w:spacing w:after="70"/>
      </w:pPr>
      <w:r>
        <w:t xml:space="preserve">Code style: enforced via automated linting/formatting (e.g. Black + isort + flake8 for Python, ESLint + Prettier for JavaScript/TypeScript) as a CI gate, not a matter of individual preference.</w:t>
      </w:r>
    </w:p>
    <w:p>
      <w:pPr>
        <w:pStyle w:val="ListParagraph"/>
        <w:numPr>
          <w:ilvl w:val="0"/>
          <w:numId w:val="2"/>
        </w:numPr>
        <w:spacing w:after="70"/>
      </w:pPr>
      <w:r>
        <w:t xml:space="preserve">TypeScript is the default for both React and React Native code — the clinical-safety stakes of this domain make compile-time type safety worth the overhead.</w:t>
      </w:r>
    </w:p>
    <w:p>
      <w:pPr>
        <w:pStyle w:val="ListParagraph"/>
        <w:numPr>
          <w:ilvl w:val="0"/>
          <w:numId w:val="2"/>
        </w:numPr>
        <w:spacing w:after="70"/>
      </w:pPr>
      <w:r>
        <w:t xml:space="preserve">Every PR includes or updates: relevant tests, and, for API changes, the OpenAPI schema (auto-generated, but the PR author confirms it reflects the intended contract).</w:t>
      </w:r>
    </w:p>
    <w:p>
      <w:pPr>
        <w:pStyle w:val="ListParagraph"/>
        <w:numPr>
          <w:ilvl w:val="0"/>
          <w:numId w:val="2"/>
        </w:numPr>
        <w:spacing w:after="70"/>
      </w:pPr>
      <w:r>
        <w:t xml:space="preserve">Architectural Decision Records (ADRs) are written for any decision that changes the assumptions in this document (e.g. choosing a different message queue, moving a module to its own service) so the reasoning isn't lost to institutional memory.</w:t>
      </w:r>
    </w:p>
    <w:p>
      <w:pPr>
        <w:pStyle w:val="Heading1"/>
        <w:pageBreakBefore/>
        <w:spacing w:after="200" w:before="200"/>
      </w:pPr>
      <w:r>
        <w:t xml:space="preserve">Appendix A: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rPr>
              <w:t xml:space="preserve">Layer</w:t>
            </w:r>
          </w:p>
        </w:tc>
        <w:tc>
          <w:tcPr>
            <w:tcW w:type="dxa" w:w="6760"/>
            <w:shd w:fill="1F3864" w:val="clear"/>
            <w:tcMar>
              <w:top w:type="dxa" w:w="60"/>
              <w:left w:type="dxa" w:w="100"/>
              <w:bottom w:type="dxa" w:w="60"/>
              <w:right w:type="dxa" w:w="100"/>
            </w:tcMar>
            <w:vAlign w:val="center"/>
          </w:tcPr>
          <w:p>
            <w:pPr>
              <w:jc w:val="left"/>
            </w:pPr>
            <w:r>
              <w:rPr>
                <w:b/>
                <w:bCs/>
                <w:color w:val="FFFFFF"/>
              </w:rPr>
              <w:t xml:space="preserve">Technology</w:t>
            </w:r>
          </w:p>
        </w:tc>
      </w:tr>
      <w:tr>
        <w:tc>
          <w:tcPr>
            <w:tcW w:type="dxa" w:w="2600"/>
            <w:shd w:fill="FFFFFF" w:val="clear"/>
            <w:tcMar>
              <w:top w:type="dxa" w:w="60"/>
              <w:left w:type="dxa" w:w="100"/>
              <w:bottom w:type="dxa" w:w="60"/>
              <w:right w:type="dxa" w:w="100"/>
            </w:tcMar>
            <w:vAlign w:val="center"/>
          </w:tcPr>
          <w:p>
            <w:pPr>
              <w:jc w:val="left"/>
            </w:pPr>
            <w:r>
              <w:rPr>
                <w:b w:val="false"/>
                <w:bCs w:val="false"/>
              </w:rPr>
              <w:t xml:space="preserve">Backend framework</w:t>
            </w:r>
          </w:p>
        </w:tc>
        <w:tc>
          <w:tcPr>
            <w:tcW w:type="dxa" w:w="6760"/>
            <w:shd w:fill="FFFFFF" w:val="clear"/>
            <w:tcMar>
              <w:top w:type="dxa" w:w="60"/>
              <w:left w:type="dxa" w:w="100"/>
              <w:bottom w:type="dxa" w:w="60"/>
              <w:right w:type="dxa" w:w="100"/>
            </w:tcMar>
            <w:vAlign w:val="center"/>
          </w:tcPr>
          <w:p>
            <w:pPr>
              <w:jc w:val="left"/>
            </w:pPr>
            <w:r>
              <w:rPr>
                <w:b w:val="false"/>
                <w:bCs w:val="false"/>
              </w:rPr>
              <w:t xml:space="preserve">Django + Django REST Framework (Python)</w:t>
            </w:r>
          </w:p>
        </w:tc>
      </w:tr>
      <w:tr>
        <w:tc>
          <w:tcPr>
            <w:tcW w:type="dxa" w:w="2600"/>
            <w:shd w:fill="F2F2F2" w:val="clear"/>
            <w:tcMar>
              <w:top w:type="dxa" w:w="60"/>
              <w:left w:type="dxa" w:w="100"/>
              <w:bottom w:type="dxa" w:w="60"/>
              <w:right w:type="dxa" w:w="100"/>
            </w:tcMar>
            <w:vAlign w:val="center"/>
          </w:tcPr>
          <w:p>
            <w:pPr>
              <w:jc w:val="left"/>
            </w:pPr>
            <w:r>
              <w:rPr>
                <w:b w:val="false"/>
                <w:bCs w:val="false"/>
              </w:rPr>
              <w:t xml:space="preserve">Web frontend</w:t>
            </w:r>
          </w:p>
        </w:tc>
        <w:tc>
          <w:tcPr>
            <w:tcW w:type="dxa" w:w="6760"/>
            <w:shd w:fill="F2F2F2" w:val="clear"/>
            <w:tcMar>
              <w:top w:type="dxa" w:w="60"/>
              <w:left w:type="dxa" w:w="100"/>
              <w:bottom w:type="dxa" w:w="60"/>
              <w:right w:type="dxa" w:w="100"/>
            </w:tcMar>
            <w:vAlign w:val="center"/>
          </w:tcPr>
          <w:p>
            <w:pPr>
              <w:jc w:val="left"/>
            </w:pPr>
            <w:r>
              <w:rPr>
                <w:b w:val="false"/>
                <w:bCs w:val="false"/>
              </w:rPr>
              <w:t xml:space="preserve">React + TypeScript</w:t>
            </w:r>
          </w:p>
        </w:tc>
      </w:tr>
      <w:tr>
        <w:tc>
          <w:tcPr>
            <w:tcW w:type="dxa" w:w="2600"/>
            <w:shd w:fill="FFFFFF" w:val="clear"/>
            <w:tcMar>
              <w:top w:type="dxa" w:w="60"/>
              <w:left w:type="dxa" w:w="100"/>
              <w:bottom w:type="dxa" w:w="60"/>
              <w:right w:type="dxa" w:w="100"/>
            </w:tcMar>
            <w:vAlign w:val="center"/>
          </w:tcPr>
          <w:p>
            <w:pPr>
              <w:jc w:val="left"/>
            </w:pPr>
            <w:r>
              <w:rPr>
                <w:b w:val="false"/>
                <w:bCs w:val="false"/>
              </w:rPr>
              <w:t xml:space="preserve">Mobile frontend</w:t>
            </w:r>
          </w:p>
        </w:tc>
        <w:tc>
          <w:tcPr>
            <w:tcW w:type="dxa" w:w="6760"/>
            <w:shd w:fill="FFFFFF" w:val="clear"/>
            <w:tcMar>
              <w:top w:type="dxa" w:w="60"/>
              <w:left w:type="dxa" w:w="100"/>
              <w:bottom w:type="dxa" w:w="60"/>
              <w:right w:type="dxa" w:w="100"/>
            </w:tcMar>
            <w:vAlign w:val="center"/>
          </w:tcPr>
          <w:p>
            <w:pPr>
              <w:jc w:val="left"/>
            </w:pPr>
            <w:r>
              <w:rPr>
                <w:b w:val="false"/>
                <w:bCs w:val="false"/>
              </w:rPr>
              <w:t xml:space="preserve">React Native + TypeScript</w:t>
            </w:r>
          </w:p>
        </w:tc>
      </w:tr>
      <w:tr>
        <w:tc>
          <w:tcPr>
            <w:tcW w:type="dxa" w:w="2600"/>
            <w:shd w:fill="F2F2F2" w:val="clear"/>
            <w:tcMar>
              <w:top w:type="dxa" w:w="60"/>
              <w:left w:type="dxa" w:w="100"/>
              <w:bottom w:type="dxa" w:w="60"/>
              <w:right w:type="dxa" w:w="100"/>
            </w:tcMar>
            <w:vAlign w:val="center"/>
          </w:tcPr>
          <w:p>
            <w:pPr>
              <w:jc w:val="left"/>
            </w:pPr>
            <w:r>
              <w:rPr>
                <w:b w:val="false"/>
                <w:bCs w:val="false"/>
              </w:rPr>
              <w:t xml:space="preserve">Database</w:t>
            </w:r>
          </w:p>
        </w:tc>
        <w:tc>
          <w:tcPr>
            <w:tcW w:type="dxa" w:w="6760"/>
            <w:shd w:fill="F2F2F2" w:val="clear"/>
            <w:tcMar>
              <w:top w:type="dxa" w:w="60"/>
              <w:left w:type="dxa" w:w="100"/>
              <w:bottom w:type="dxa" w:w="60"/>
              <w:right w:type="dxa" w:w="100"/>
            </w:tcMar>
            <w:vAlign w:val="center"/>
          </w:tcPr>
          <w:p>
            <w:pPr>
              <w:jc w:val="left"/>
            </w:pPr>
            <w:r>
              <w:rPr>
                <w:b w:val="false"/>
                <w:bCs w:val="false"/>
              </w:rPr>
              <w:t xml:space="preserve">PostgreSQL (primary + read replica)</w:t>
            </w:r>
          </w:p>
        </w:tc>
      </w:tr>
      <w:tr>
        <w:tc>
          <w:tcPr>
            <w:tcW w:type="dxa" w:w="2600"/>
            <w:shd w:fill="FFFFFF" w:val="clear"/>
            <w:tcMar>
              <w:top w:type="dxa" w:w="60"/>
              <w:left w:type="dxa" w:w="100"/>
              <w:bottom w:type="dxa" w:w="60"/>
              <w:right w:type="dxa" w:w="100"/>
            </w:tcMar>
            <w:vAlign w:val="center"/>
          </w:tcPr>
          <w:p>
            <w:pPr>
              <w:jc w:val="left"/>
            </w:pPr>
            <w:r>
              <w:rPr>
                <w:b w:val="false"/>
                <w:bCs w:val="false"/>
              </w:rPr>
              <w:t xml:space="preserve">Cache / broker / real-time</w:t>
            </w:r>
          </w:p>
        </w:tc>
        <w:tc>
          <w:tcPr>
            <w:tcW w:type="dxa" w:w="6760"/>
            <w:shd w:fill="FFFFFF" w:val="clear"/>
            <w:tcMar>
              <w:top w:type="dxa" w:w="60"/>
              <w:left w:type="dxa" w:w="100"/>
              <w:bottom w:type="dxa" w:w="60"/>
              <w:right w:type="dxa" w:w="100"/>
            </w:tcMar>
            <w:vAlign w:val="center"/>
          </w:tcPr>
          <w:p>
            <w:pPr>
              <w:jc w:val="left"/>
            </w:pPr>
            <w:r>
              <w:rPr>
                <w:b w:val="false"/>
                <w:bCs w:val="false"/>
              </w:rPr>
              <w:t xml:space="preserve">Redis (Celery broker, Channels layer, application cache)</w:t>
            </w:r>
          </w:p>
        </w:tc>
      </w:tr>
      <w:tr>
        <w:tc>
          <w:tcPr>
            <w:tcW w:type="dxa" w:w="2600"/>
            <w:shd w:fill="F2F2F2" w:val="clear"/>
            <w:tcMar>
              <w:top w:type="dxa" w:w="60"/>
              <w:left w:type="dxa" w:w="100"/>
              <w:bottom w:type="dxa" w:w="60"/>
              <w:right w:type="dxa" w:w="100"/>
            </w:tcMar>
            <w:vAlign w:val="center"/>
          </w:tcPr>
          <w:p>
            <w:pPr>
              <w:jc w:val="left"/>
            </w:pPr>
            <w:r>
              <w:rPr>
                <w:b w:val="false"/>
                <w:bCs w:val="false"/>
              </w:rPr>
              <w:t xml:space="preserve">Async task processing</w:t>
            </w:r>
          </w:p>
        </w:tc>
        <w:tc>
          <w:tcPr>
            <w:tcW w:type="dxa" w:w="6760"/>
            <w:shd w:fill="F2F2F2" w:val="clear"/>
            <w:tcMar>
              <w:top w:type="dxa" w:w="60"/>
              <w:left w:type="dxa" w:w="100"/>
              <w:bottom w:type="dxa" w:w="60"/>
              <w:right w:type="dxa" w:w="100"/>
            </w:tcMar>
            <w:vAlign w:val="center"/>
          </w:tcPr>
          <w:p>
            <w:pPr>
              <w:jc w:val="left"/>
            </w:pPr>
            <w:r>
              <w:rPr>
                <w:b w:val="false"/>
                <w:bCs w:val="false"/>
              </w:rPr>
              <w:t xml:space="preserve">Celery + Celery Beat</w:t>
            </w:r>
          </w:p>
        </w:tc>
      </w:tr>
      <w:tr>
        <w:tc>
          <w:tcPr>
            <w:tcW w:type="dxa" w:w="2600"/>
            <w:shd w:fill="FFFFFF" w:val="clear"/>
            <w:tcMar>
              <w:top w:type="dxa" w:w="60"/>
              <w:left w:type="dxa" w:w="100"/>
              <w:bottom w:type="dxa" w:w="60"/>
              <w:right w:type="dxa" w:w="100"/>
            </w:tcMar>
            <w:vAlign w:val="center"/>
          </w:tcPr>
          <w:p>
            <w:pPr>
              <w:jc w:val="left"/>
            </w:pPr>
            <w:r>
              <w:rPr>
                <w:b w:val="false"/>
                <w:bCs w:val="false"/>
              </w:rPr>
              <w:t xml:space="preserve">Real-time transport</w:t>
            </w:r>
          </w:p>
        </w:tc>
        <w:tc>
          <w:tcPr>
            <w:tcW w:type="dxa" w:w="6760"/>
            <w:shd w:fill="FFFFFF" w:val="clear"/>
            <w:tcMar>
              <w:top w:type="dxa" w:w="60"/>
              <w:left w:type="dxa" w:w="100"/>
              <w:bottom w:type="dxa" w:w="60"/>
              <w:right w:type="dxa" w:w="100"/>
            </w:tcMar>
            <w:vAlign w:val="center"/>
          </w:tcPr>
          <w:p>
            <w:pPr>
              <w:jc w:val="left"/>
            </w:pPr>
            <w:r>
              <w:rPr>
                <w:b w:val="false"/>
                <w:bCs w:val="false"/>
              </w:rPr>
              <w:t xml:space="preserve">Django Channels (WebSockets)</w:t>
            </w:r>
          </w:p>
        </w:tc>
      </w:tr>
      <w:tr>
        <w:tc>
          <w:tcPr>
            <w:tcW w:type="dxa" w:w="2600"/>
            <w:shd w:fill="F2F2F2" w:val="clear"/>
            <w:tcMar>
              <w:top w:type="dxa" w:w="60"/>
              <w:left w:type="dxa" w:w="100"/>
              <w:bottom w:type="dxa" w:w="60"/>
              <w:right w:type="dxa" w:w="100"/>
            </w:tcMar>
            <w:vAlign w:val="center"/>
          </w:tcPr>
          <w:p>
            <w:pPr>
              <w:jc w:val="left"/>
            </w:pPr>
            <w:r>
              <w:rPr>
                <w:b w:val="false"/>
                <w:bCs w:val="false"/>
              </w:rPr>
              <w:t xml:space="preserve">Object storage</w:t>
            </w:r>
          </w:p>
        </w:tc>
        <w:tc>
          <w:tcPr>
            <w:tcW w:type="dxa" w:w="6760"/>
            <w:shd w:fill="F2F2F2" w:val="clear"/>
            <w:tcMar>
              <w:top w:type="dxa" w:w="60"/>
              <w:left w:type="dxa" w:w="100"/>
              <w:bottom w:type="dxa" w:w="60"/>
              <w:right w:type="dxa" w:w="100"/>
            </w:tcMar>
            <w:vAlign w:val="center"/>
          </w:tcPr>
          <w:p>
            <w:pPr>
              <w:jc w:val="left"/>
            </w:pPr>
            <w:r>
              <w:rPr>
                <w:b w:val="false"/>
                <w:bCs w:val="false"/>
              </w:rPr>
              <w:t xml:space="preserve">S3-compatible object storage</w:t>
            </w:r>
          </w:p>
        </w:tc>
      </w:tr>
      <w:tr>
        <w:tc>
          <w:tcPr>
            <w:tcW w:type="dxa" w:w="2600"/>
            <w:shd w:fill="FFFFFF" w:val="clear"/>
            <w:tcMar>
              <w:top w:type="dxa" w:w="60"/>
              <w:left w:type="dxa" w:w="100"/>
              <w:bottom w:type="dxa" w:w="60"/>
              <w:right w:type="dxa" w:w="100"/>
            </w:tcMar>
            <w:vAlign w:val="center"/>
          </w:tcPr>
          <w:p>
            <w:pPr>
              <w:jc w:val="left"/>
            </w:pPr>
            <w:r>
              <w:rPr>
                <w:b w:val="false"/>
                <w:bCs w:val="false"/>
              </w:rPr>
              <w:t xml:space="preserve">Containerization</w:t>
            </w:r>
          </w:p>
        </w:tc>
        <w:tc>
          <w:tcPr>
            <w:tcW w:type="dxa" w:w="6760"/>
            <w:shd w:fill="FFFFFF" w:val="clear"/>
            <w:tcMar>
              <w:top w:type="dxa" w:w="60"/>
              <w:left w:type="dxa" w:w="100"/>
              <w:bottom w:type="dxa" w:w="60"/>
              <w:right w:type="dxa" w:w="100"/>
            </w:tcMar>
            <w:vAlign w:val="center"/>
          </w:tcPr>
          <w:p>
            <w:pPr>
              <w:jc w:val="left"/>
            </w:pPr>
            <w:r>
              <w:rPr>
                <w:b w:val="false"/>
                <w:bCs w:val="false"/>
              </w:rPr>
              <w:t xml:space="preserve">Docker; orchestration via managed ECS/Kubernetes</w:t>
            </w:r>
          </w:p>
        </w:tc>
      </w:tr>
      <w:tr>
        <w:tc>
          <w:tcPr>
            <w:tcW w:type="dxa" w:w="2600"/>
            <w:shd w:fill="F2F2F2" w:val="clear"/>
            <w:tcMar>
              <w:top w:type="dxa" w:w="60"/>
              <w:left w:type="dxa" w:w="100"/>
              <w:bottom w:type="dxa" w:w="60"/>
              <w:right w:type="dxa" w:w="100"/>
            </w:tcMar>
            <w:vAlign w:val="center"/>
          </w:tcPr>
          <w:p>
            <w:pPr>
              <w:jc w:val="left"/>
            </w:pPr>
            <w:r>
              <w:rPr>
                <w:b w:val="false"/>
                <w:bCs w:val="false"/>
              </w:rPr>
              <w:t xml:space="preserve">Payments</w:t>
            </w:r>
          </w:p>
        </w:tc>
        <w:tc>
          <w:tcPr>
            <w:tcW w:type="dxa" w:w="6760"/>
            <w:shd w:fill="F2F2F2" w:val="clear"/>
            <w:tcMar>
              <w:top w:type="dxa" w:w="60"/>
              <w:left w:type="dxa" w:w="100"/>
              <w:bottom w:type="dxa" w:w="60"/>
              <w:right w:type="dxa" w:w="100"/>
            </w:tcMar>
            <w:vAlign w:val="center"/>
          </w:tcPr>
          <w:p>
            <w:pPr>
              <w:jc w:val="left"/>
            </w:pPr>
            <w:r>
              <w:rPr>
                <w:b w:val="false"/>
                <w:bCs w:val="false"/>
              </w:rPr>
              <w:t xml:space="preserve">M-Pesa Daraja API (STK Push + callback)</w:t>
            </w:r>
          </w:p>
        </w:tc>
      </w:tr>
      <w:tr>
        <w:tc>
          <w:tcPr>
            <w:tcW w:type="dxa" w:w="2600"/>
            <w:shd w:fill="FFFFFF" w:val="clear"/>
            <w:tcMar>
              <w:top w:type="dxa" w:w="60"/>
              <w:left w:type="dxa" w:w="100"/>
              <w:bottom w:type="dxa" w:w="60"/>
              <w:right w:type="dxa" w:w="100"/>
            </w:tcMar>
            <w:vAlign w:val="center"/>
          </w:tcPr>
          <w:p>
            <w:pPr>
              <w:jc w:val="left"/>
            </w:pPr>
            <w:r>
              <w:rPr>
                <w:b w:val="false"/>
                <w:bCs w:val="false"/>
              </w:rPr>
              <w:t xml:space="preserve">Notifications</w:t>
            </w:r>
          </w:p>
        </w:tc>
        <w:tc>
          <w:tcPr>
            <w:tcW w:type="dxa" w:w="6760"/>
            <w:shd w:fill="FFFFFF" w:val="clear"/>
            <w:tcMar>
              <w:top w:type="dxa" w:w="60"/>
              <w:left w:type="dxa" w:w="100"/>
              <w:bottom w:type="dxa" w:w="60"/>
              <w:right w:type="dxa" w:w="100"/>
            </w:tcMar>
            <w:vAlign w:val="center"/>
          </w:tcPr>
          <w:p>
            <w:pPr>
              <w:jc w:val="left"/>
            </w:pPr>
            <w:r>
              <w:rPr>
                <w:b w:val="false"/>
                <w:bCs w:val="false"/>
              </w:rPr>
              <w:t xml:space="preserve">SMS/WhatsApp gateway + FCM push + transactional email, abstracted behind the notifications app</w:t>
            </w:r>
          </w:p>
        </w:tc>
      </w:tr>
      <w:tr>
        <w:tc>
          <w:tcPr>
            <w:tcW w:type="dxa" w:w="2600"/>
            <w:shd w:fill="F2F2F2" w:val="clear"/>
            <w:tcMar>
              <w:top w:type="dxa" w:w="60"/>
              <w:left w:type="dxa" w:w="100"/>
              <w:bottom w:type="dxa" w:w="60"/>
              <w:right w:type="dxa" w:w="100"/>
            </w:tcMar>
            <w:vAlign w:val="center"/>
          </w:tcPr>
          <w:p>
            <w:pPr>
              <w:jc w:val="left"/>
            </w:pPr>
            <w:r>
              <w:rPr>
                <w:b w:val="false"/>
                <w:bCs w:val="false"/>
              </w:rPr>
              <w:t xml:space="preserve">API documentation</w:t>
            </w:r>
          </w:p>
        </w:tc>
        <w:tc>
          <w:tcPr>
            <w:tcW w:type="dxa" w:w="6760"/>
            <w:shd w:fill="F2F2F2" w:val="clear"/>
            <w:tcMar>
              <w:top w:type="dxa" w:w="60"/>
              <w:left w:type="dxa" w:w="100"/>
              <w:bottom w:type="dxa" w:w="60"/>
              <w:right w:type="dxa" w:w="100"/>
            </w:tcMar>
            <w:vAlign w:val="center"/>
          </w:tcPr>
          <w:p>
            <w:pPr>
              <w:jc w:val="left"/>
            </w:pPr>
            <w:r>
              <w:rPr>
                <w:b w:val="false"/>
                <w:bCs w:val="false"/>
              </w:rPr>
              <w:t xml:space="preserve">OpenAPI 3.0 via drf-spectacular</w:t>
            </w:r>
          </w:p>
        </w:tc>
      </w:tr>
      <w:tr>
        <w:tc>
          <w:tcPr>
            <w:tcW w:type="dxa" w:w="2600"/>
            <w:shd w:fill="FFFFFF" w:val="clear"/>
            <w:tcMar>
              <w:top w:type="dxa" w:w="60"/>
              <w:left w:type="dxa" w:w="100"/>
              <w:bottom w:type="dxa" w:w="60"/>
              <w:right w:type="dxa" w:w="100"/>
            </w:tcMar>
            <w:vAlign w:val="center"/>
          </w:tcPr>
          <w:p>
            <w:pPr>
              <w:jc w:val="left"/>
            </w:pPr>
            <w:r>
              <w:rPr>
                <w:b w:val="false"/>
                <w:bCs w:val="false"/>
              </w:rPr>
              <w:t xml:space="preserve">Testing</w:t>
            </w:r>
          </w:p>
        </w:tc>
        <w:tc>
          <w:tcPr>
            <w:tcW w:type="dxa" w:w="6760"/>
            <w:shd w:fill="FFFFFF" w:val="clear"/>
            <w:tcMar>
              <w:top w:type="dxa" w:w="60"/>
              <w:left w:type="dxa" w:w="100"/>
              <w:bottom w:type="dxa" w:w="60"/>
              <w:right w:type="dxa" w:w="100"/>
            </w:tcMar>
            <w:vAlign w:val="center"/>
          </w:tcPr>
          <w:p>
            <w:pPr>
              <w:jc w:val="left"/>
            </w:pPr>
            <w:r>
              <w:rPr>
                <w:b w:val="false"/>
                <w:bCs w:val="false"/>
              </w:rPr>
              <w:t xml:space="preserve">pytest, Jest/RTL, Playwright/Cypress, Detox</w:t>
            </w:r>
          </w:p>
        </w:tc>
      </w:tr>
    </w:tbl>
    <w:p>
      <w:pPr>
        <w:pStyle w:val="Heading1"/>
        <w:pageBreakBefore/>
        <w:spacing w:after="200" w:before="200"/>
      </w:pPr>
      <w:r>
        <w:t xml:space="preserve">Appendix B: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F3864" w:val="clear"/>
            <w:tcMar>
              <w:top w:type="dxa" w:w="60"/>
              <w:left w:type="dxa" w:w="100"/>
              <w:bottom w:type="dxa" w:w="60"/>
              <w:right w:type="dxa" w:w="100"/>
            </w:tcMar>
            <w:vAlign w:val="center"/>
          </w:tcPr>
          <w:p>
            <w:pPr>
              <w:jc w:val="left"/>
            </w:pPr>
            <w:r>
              <w:rPr>
                <w:b/>
                <w:bCs/>
                <w:color w:val="FFFFFF"/>
              </w:rPr>
              <w:t xml:space="preserve">Term</w:t>
            </w:r>
          </w:p>
        </w:tc>
        <w:tc>
          <w:tcPr>
            <w:tcW w:type="dxa" w:w="7360"/>
            <w:shd w:fill="1F3864" w:val="clear"/>
            <w:tcMar>
              <w:top w:type="dxa" w:w="60"/>
              <w:left w:type="dxa" w:w="100"/>
              <w:bottom w:type="dxa" w:w="60"/>
              <w:right w:type="dxa" w:w="100"/>
            </w:tcMar>
            <w:vAlign w:val="center"/>
          </w:tcPr>
          <w:p>
            <w:pPr>
              <w:jc w:val="left"/>
            </w:pPr>
            <w:r>
              <w:rPr>
                <w:b/>
                <w:bCs/>
                <w:color w:val="FFFFFF"/>
              </w:rPr>
              <w:t xml:space="preserve">Definition</w:t>
            </w:r>
          </w:p>
        </w:tc>
      </w:tr>
      <w:tr>
        <w:tc>
          <w:tcPr>
            <w:tcW w:type="dxa" w:w="2000"/>
            <w:shd w:fill="FFFFFF" w:val="clear"/>
            <w:tcMar>
              <w:top w:type="dxa" w:w="60"/>
              <w:left w:type="dxa" w:w="100"/>
              <w:bottom w:type="dxa" w:w="60"/>
              <w:right w:type="dxa" w:w="100"/>
            </w:tcMar>
            <w:vAlign w:val="center"/>
          </w:tcPr>
          <w:p>
            <w:pPr>
              <w:jc w:val="left"/>
            </w:pPr>
            <w:r>
              <w:rPr>
                <w:b w:val="false"/>
                <w:bCs w:val="false"/>
              </w:rPr>
              <w:t xml:space="preserve">DRF</w:t>
            </w:r>
          </w:p>
        </w:tc>
        <w:tc>
          <w:tcPr>
            <w:tcW w:type="dxa" w:w="7360"/>
            <w:shd w:fill="FFFFFF" w:val="clear"/>
            <w:tcMar>
              <w:top w:type="dxa" w:w="60"/>
              <w:left w:type="dxa" w:w="100"/>
              <w:bottom w:type="dxa" w:w="60"/>
              <w:right w:type="dxa" w:w="100"/>
            </w:tcMar>
            <w:vAlign w:val="center"/>
          </w:tcPr>
          <w:p>
            <w:pPr>
              <w:jc w:val="left"/>
            </w:pPr>
            <w:r>
              <w:rPr>
                <w:b w:val="false"/>
                <w:bCs w:val="false"/>
              </w:rPr>
              <w:t xml:space="preserve">Django REST Framework — the toolkit used to build the API layer on top of Django.</w:t>
            </w:r>
          </w:p>
        </w:tc>
      </w:tr>
      <w:tr>
        <w:tc>
          <w:tcPr>
            <w:tcW w:type="dxa" w:w="2000"/>
            <w:shd w:fill="F2F2F2" w:val="clear"/>
            <w:tcMar>
              <w:top w:type="dxa" w:w="60"/>
              <w:left w:type="dxa" w:w="100"/>
              <w:bottom w:type="dxa" w:w="60"/>
              <w:right w:type="dxa" w:w="100"/>
            </w:tcMar>
            <w:vAlign w:val="center"/>
          </w:tcPr>
          <w:p>
            <w:pPr>
              <w:jc w:val="left"/>
            </w:pPr>
            <w:r>
              <w:rPr>
                <w:b w:val="false"/>
                <w:bCs w:val="false"/>
              </w:rPr>
              <w:t xml:space="preserve">JWT</w:t>
            </w:r>
          </w:p>
        </w:tc>
        <w:tc>
          <w:tcPr>
            <w:tcW w:type="dxa" w:w="7360"/>
            <w:shd w:fill="F2F2F2" w:val="clear"/>
            <w:tcMar>
              <w:top w:type="dxa" w:w="60"/>
              <w:left w:type="dxa" w:w="100"/>
              <w:bottom w:type="dxa" w:w="60"/>
              <w:right w:type="dxa" w:w="100"/>
            </w:tcMar>
            <w:vAlign w:val="center"/>
          </w:tcPr>
          <w:p>
            <w:pPr>
              <w:jc w:val="left"/>
            </w:pPr>
            <w:r>
              <w:rPr>
                <w:b w:val="false"/>
                <w:bCs w:val="false"/>
              </w:rPr>
              <w:t xml:space="preserve">JSON Web Token — the token format used for stateless API authentication.</w:t>
            </w:r>
          </w:p>
        </w:tc>
      </w:tr>
      <w:tr>
        <w:tc>
          <w:tcPr>
            <w:tcW w:type="dxa" w:w="2000"/>
            <w:shd w:fill="FFFFFF" w:val="clear"/>
            <w:tcMar>
              <w:top w:type="dxa" w:w="60"/>
              <w:left w:type="dxa" w:w="100"/>
              <w:bottom w:type="dxa" w:w="60"/>
              <w:right w:type="dxa" w:w="100"/>
            </w:tcMar>
            <w:vAlign w:val="center"/>
          </w:tcPr>
          <w:p>
            <w:pPr>
              <w:jc w:val="left"/>
            </w:pPr>
            <w:r>
              <w:rPr>
                <w:b w:val="false"/>
                <w:bCs w:val="false"/>
              </w:rPr>
              <w:t xml:space="preserve">RBAC</w:t>
            </w:r>
          </w:p>
        </w:tc>
        <w:tc>
          <w:tcPr>
            <w:tcW w:type="dxa" w:w="7360"/>
            <w:shd w:fill="FFFFFF" w:val="clear"/>
            <w:tcMar>
              <w:top w:type="dxa" w:w="60"/>
              <w:left w:type="dxa" w:w="100"/>
              <w:bottom w:type="dxa" w:w="60"/>
              <w:right w:type="dxa" w:w="100"/>
            </w:tcMar>
            <w:vAlign w:val="center"/>
          </w:tcPr>
          <w:p>
            <w:pPr>
              <w:jc w:val="left"/>
            </w:pPr>
            <w:r>
              <w:rPr>
                <w:b w:val="false"/>
                <w:bCs w:val="false"/>
              </w:rPr>
              <w:t xml:space="preserve">Role-Based Access Control — see the BRD's Permission Engine (Section 8) for the full model.</w:t>
            </w:r>
          </w:p>
        </w:tc>
      </w:tr>
      <w:tr>
        <w:tc>
          <w:tcPr>
            <w:tcW w:type="dxa" w:w="2000"/>
            <w:shd w:fill="F2F2F2" w:val="clear"/>
            <w:tcMar>
              <w:top w:type="dxa" w:w="60"/>
              <w:left w:type="dxa" w:w="100"/>
              <w:bottom w:type="dxa" w:w="60"/>
              <w:right w:type="dxa" w:w="100"/>
            </w:tcMar>
            <w:vAlign w:val="center"/>
          </w:tcPr>
          <w:p>
            <w:pPr>
              <w:jc w:val="left"/>
            </w:pPr>
            <w:r>
              <w:rPr>
                <w:b w:val="false"/>
                <w:bCs w:val="false"/>
              </w:rPr>
              <w:t xml:space="preserve">Idempotency key</w:t>
            </w:r>
          </w:p>
        </w:tc>
        <w:tc>
          <w:tcPr>
            <w:tcW w:type="dxa" w:w="7360"/>
            <w:shd w:fill="F2F2F2" w:val="clear"/>
            <w:tcMar>
              <w:top w:type="dxa" w:w="60"/>
              <w:left w:type="dxa" w:w="100"/>
              <w:bottom w:type="dxa" w:w="60"/>
              <w:right w:type="dxa" w:w="100"/>
            </w:tcMar>
            <w:vAlign w:val="center"/>
          </w:tcPr>
          <w:p>
            <w:pPr>
              <w:jc w:val="left"/>
            </w:pPr>
            <w:r>
              <w:rPr>
                <w:b w:val="false"/>
                <w:bCs w:val="false"/>
              </w:rPr>
              <w:t xml:space="preserve">A client-generated unique key attached to a request so retrying it (e.g. after a dropped connection) never double-processes it.</w:t>
            </w:r>
          </w:p>
        </w:tc>
      </w:tr>
      <w:tr>
        <w:tc>
          <w:tcPr>
            <w:tcW w:type="dxa" w:w="2000"/>
            <w:shd w:fill="FFFFFF" w:val="clear"/>
            <w:tcMar>
              <w:top w:type="dxa" w:w="60"/>
              <w:left w:type="dxa" w:w="100"/>
              <w:bottom w:type="dxa" w:w="60"/>
              <w:right w:type="dxa" w:w="100"/>
            </w:tcMar>
            <w:vAlign w:val="center"/>
          </w:tcPr>
          <w:p>
            <w:pPr>
              <w:jc w:val="left"/>
            </w:pPr>
            <w:r>
              <w:rPr>
                <w:b w:val="false"/>
                <w:bCs w:val="false"/>
              </w:rPr>
              <w:t xml:space="preserve">RTO / RPO</w:t>
            </w:r>
          </w:p>
        </w:tc>
        <w:tc>
          <w:tcPr>
            <w:tcW w:type="dxa" w:w="7360"/>
            <w:shd w:fill="FFFFFF" w:val="clear"/>
            <w:tcMar>
              <w:top w:type="dxa" w:w="60"/>
              <w:left w:type="dxa" w:w="100"/>
              <w:bottom w:type="dxa" w:w="60"/>
              <w:right w:type="dxa" w:w="100"/>
            </w:tcMar>
            <w:vAlign w:val="center"/>
          </w:tcPr>
          <w:p>
            <w:pPr>
              <w:jc w:val="left"/>
            </w:pPr>
            <w:r>
              <w:rPr>
                <w:b w:val="false"/>
                <w:bCs w:val="false"/>
              </w:rPr>
              <w:t xml:space="preserve">Recovery Time Objective / Recovery Point Objective — how long recovery may take, and how much data loss is tolerable, in a disaster scenario.</w:t>
            </w:r>
          </w:p>
        </w:tc>
      </w:tr>
      <w:tr>
        <w:tc>
          <w:tcPr>
            <w:tcW w:type="dxa" w:w="2000"/>
            <w:shd w:fill="F2F2F2" w:val="clear"/>
            <w:tcMar>
              <w:top w:type="dxa" w:w="60"/>
              <w:left w:type="dxa" w:w="100"/>
              <w:bottom w:type="dxa" w:w="60"/>
              <w:right w:type="dxa" w:w="100"/>
            </w:tcMar>
            <w:vAlign w:val="center"/>
          </w:tcPr>
          <w:p>
            <w:pPr>
              <w:jc w:val="left"/>
            </w:pPr>
            <w:r>
              <w:rPr>
                <w:b w:val="false"/>
                <w:bCs w:val="false"/>
              </w:rPr>
              <w:t xml:space="preserve">p95 latency</w:t>
            </w:r>
          </w:p>
        </w:tc>
        <w:tc>
          <w:tcPr>
            <w:tcW w:type="dxa" w:w="7360"/>
            <w:shd w:fill="F2F2F2" w:val="clear"/>
            <w:tcMar>
              <w:top w:type="dxa" w:w="60"/>
              <w:left w:type="dxa" w:w="100"/>
              <w:bottom w:type="dxa" w:w="60"/>
              <w:right w:type="dxa" w:w="100"/>
            </w:tcMar>
            <w:vAlign w:val="center"/>
          </w:tcPr>
          <w:p>
            <w:pPr>
              <w:jc w:val="left"/>
            </w:pPr>
            <w:r>
              <w:rPr>
                <w:b w:val="false"/>
                <w:bCs w:val="false"/>
              </w:rPr>
              <w:t xml:space="preserve">The response time below which 95% of requests complete — a standard way to express performance targets that isn't skewed by outliers.</w:t>
            </w:r>
          </w:p>
        </w:tc>
      </w:tr>
      <w:tr>
        <w:tc>
          <w:tcPr>
            <w:tcW w:type="dxa" w:w="2000"/>
            <w:shd w:fill="FFFFFF" w:val="clear"/>
            <w:tcMar>
              <w:top w:type="dxa" w:w="60"/>
              <w:left w:type="dxa" w:w="100"/>
              <w:bottom w:type="dxa" w:w="60"/>
              <w:right w:type="dxa" w:w="100"/>
            </w:tcMar>
            <w:vAlign w:val="center"/>
          </w:tcPr>
          <w:p>
            <w:pPr>
              <w:jc w:val="left"/>
            </w:pPr>
            <w:r>
              <w:rPr>
                <w:b w:val="false"/>
                <w:bCs w:val="false"/>
              </w:rPr>
              <w:t xml:space="preserve">ADR</w:t>
            </w:r>
          </w:p>
        </w:tc>
        <w:tc>
          <w:tcPr>
            <w:tcW w:type="dxa" w:w="7360"/>
            <w:shd w:fill="FFFFFF" w:val="clear"/>
            <w:tcMar>
              <w:top w:type="dxa" w:w="60"/>
              <w:left w:type="dxa" w:w="100"/>
              <w:bottom w:type="dxa" w:w="60"/>
              <w:right w:type="dxa" w:w="100"/>
            </w:tcMar>
            <w:vAlign w:val="center"/>
          </w:tcPr>
          <w:p>
            <w:pPr>
              <w:jc w:val="left"/>
            </w:pPr>
            <w:r>
              <w:rPr>
                <w:b w:val="false"/>
                <w:bCs w:val="false"/>
              </w:rPr>
              <w:t xml:space="preserve">Architectural Decision Record — a short document capturing a significant technical decision and its rationale.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FDO HOSPITAL MIS — Technical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20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60"/>
      <w:outlineLvl w:val="1"/>
    </w:pPr>
    <w:rPr>
      <w:rFonts w:ascii="Calibri" w:cs="Calibri" w:eastAsia="Calibri" w:hAnsi="Calibri"/>
      <w:b/>
      <w:bCs/>
      <w:color w:val="2E74B5"/>
      <w:sz w:val="27"/>
      <w:szCs w:val="27"/>
    </w:rPr>
  </w:style>
  <w:style w:type="paragraph" w:styleId="Heading3">
    <w:name w:val="Heading 3"/>
    <w:basedOn w:val="Normal"/>
    <w:next w:val="Normal"/>
    <w:qFormat/>
    <w:pPr>
      <w:spacing w:after="90" w:before="180"/>
      <w:outlineLvl w:val="2"/>
    </w:pPr>
    <w:rPr>
      <w:rFonts w:ascii="Calibri" w:cs="Calibri" w:eastAsia="Calibri" w:hAnsi="Calibri"/>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2026-08-18T06:41:15.133Z</dcterms:created>
  <dcterms:modified xsi:type="dcterms:W3CDTF">2026-08-18T06:41:15.153Z</dcterms:modified>
</cp:coreProperties>
</file>

<file path=docProps/custom.xml><?xml version="1.0" encoding="utf-8"?>
<Properties xmlns="http://schemas.openxmlformats.org/officeDocument/2006/custom-properties" xmlns:vt="http://schemas.openxmlformats.org/officeDocument/2006/docPropsVTypes"/>
</file>