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游ゴシック" w:cs="游ゴシック" w:eastAsia="游ゴシック" w:hAnsi="游ゴシック"/>
          <w:b/>
          <w:bCs/>
          <w:color w:val="0369A1"/>
          <w:sz w:val="20"/>
          <w:szCs w:val="20"/>
        </w:rPr>
        <w:t xml:space="preserve">CLINC HP BUILDER — 技術資料</w:t>
      </w:r>
    </w:p>
    <w:p>
      <w:pPr>
        <w:spacing w:after="120"/>
      </w:pPr>
      <w:r>
        <w:rPr>
          <w:rFonts w:ascii="游ゴシック" w:cs="游ゴシック" w:eastAsia="游ゴシック" w:hAnsi="游ゴシック"/>
          <w:b/>
          <w:bCs/>
          <w:color w:val="1E293B"/>
          <w:sz w:val="38"/>
          <w:szCs w:val="38"/>
        </w:rPr>
        <w:t xml:space="preserve">テンプレートのJSON構造と編集・生成のしくみ</w:t>
      </w:r>
    </w:p>
    <w:p>
      <w:pPr>
        <w:spacing w:after="400"/>
      </w:pPr>
      <w:r>
        <w:rPr>
          <w:rFonts w:ascii="游ゴシック" w:cs="游ゴシック" w:eastAsia="游ゴシック" w:hAnsi="游ゴシック"/>
          <w:color w:val="64748B"/>
          <w:sz w:val="22"/>
          <w:szCs w:val="22"/>
        </w:rPr>
        <w:t xml:space="preserve">テンプレートも生成済みサイトも、実体は「SiteDocument」という1つのJSON構造のD1レコードです。編集も自動生成も、突き詰めればこのJSONへの書き込みという1つの操作に帰着します。</w:t>
      </w:r>
    </w:p>
    <w:p>
      <w:pPr>
        <w:pStyle w:val="Heading1"/>
        <w:pBdr>
          <w:bottom w:val="single" w:color="0369A1" w:sz="6" w:space="6"/>
        </w:pBdr>
        <w:spacing w:after="240" w:before="480"/>
      </w:pPr>
      <w:r>
        <w:rPr>
          <w:rFonts w:ascii="游ゴシック" w:cs="游ゴシック" w:eastAsia="游ゴシック" w:hAnsi="游ゴシック"/>
          <w:b/>
          <w:bCs/>
          <w:color w:val="0369A1"/>
          <w:sz w:val="32"/>
          <w:szCs w:val="32"/>
        </w:rPr>
        <w:t xml:space="preserve">1. JSONの構造（具体例）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テンプレート・生成済みサイトともに、下記のような形のJSON（型としては SiteDocument）で表現されます。実際の値を一部省略した例です。</w:t>
      </w:r>
    </w:p>
    <w:p>
      <w:pPr>
        <w:spacing w:after="160"/>
      </w:pPr>
    </w:p>
    <w:tbl>
      <w:tblPr>
        <w:tblW w:type="dxa" w:w="9350"/>
        <w:tblBorders>
          <w:top w:val="single" w:color="0F172A" w:sz="2"/>
          <w:left w:val="single" w:color="0F172A" w:sz="2"/>
          <w:bottom w:val="single" w:color="0F172A" w:sz="2"/>
          <w:right w:val="single" w:color="0F172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F172A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"8f2a1c9e-...",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"slug"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"clinic-mszqm6uxnu2w",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"isTemplate"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"design"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"colors"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 "primary": "#4ba3fc", "accent": "#2d7dd2", "text": "#2b2b2b"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"font"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 "headingFamily": "...", "baseSize": 16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"meta"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"clinicName"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"はなまるクリニック",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"phone"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"03-1234-5678",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"address"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"東京都..."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"blocks"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"blk_a1b2c3",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"type"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"hero",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"visible"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"navLabel"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"data"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"headline"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"お口の健康を、もっと身近に",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"subheadline"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"地域のかかりつけ歯科医院です",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"image"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"images/blk_a1b2c3.jpg"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"spacing"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 "paddingTop": 40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"textStyles"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"headline"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 "color": "#0369a1", "fontWeight": 700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"blk_d4e5f6",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"type"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"rich",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"visible"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"navLabel"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"診療のご案内",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"data"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"heading"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"診療のご案内",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"body"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"...",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"cards"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{ "heading": "一般歯科", "body": "...", "image": "images/blk_d4e5f6-0.jpg"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0"/>
      </w:pP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主なフィールドは次のとおりです。</w:t>
      </w:r>
    </w:p>
    <w:tbl>
      <w:tblPr>
        <w:tblW w:type="dxa" w:w="935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0369A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4675"/>
            <w:shd w:fill="0369A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design</w:t>
            </w:r>
          </w:p>
        </w:tc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配色・フォント・角丸・アニメーションなど、サイト全体の見た目（デザイントークン）</w:t>
            </w:r>
          </w:p>
        </w:tc>
      </w:tr>
      <w:tr>
        <w:tc>
          <w:tcPr>
            <w:tcW w:type="dxa" w:w="4675"/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meta</w:t>
            </w:r>
          </w:p>
        </w:tc>
        <w:tc>
          <w:tcPr>
            <w:tcW w:type="dxa" w:w="4675"/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クリニック名・電話番号・住所・SEO情報など、ブロックに属さない全体情報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blocks[]</w:t>
            </w:r>
          </w:p>
        </w:tc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ページを構成するセクションの配列。順番がそのまま表示順</w:t>
            </w:r>
          </w:p>
        </w:tc>
      </w:tr>
      <w:tr>
        <w:tc>
          <w:tcPr>
            <w:tcW w:type="dxa" w:w="4675"/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blocks[].type</w:t>
            </w:r>
          </w:p>
        </w:tc>
        <w:tc>
          <w:tcPr>
            <w:tcW w:type="dxa" w:w="4675"/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hero / rich / faq / pricing など、12種類に固定されたブロックの種類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blocks[].data</w:t>
            </w:r>
          </w:p>
        </w:tc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そのブロック固有の中身。typeごとに形が決まっている（見出し・本文・カード配列など）</w:t>
            </w:r>
          </w:p>
        </w:tc>
      </w:tr>
      <w:tr>
        <w:tc>
          <w:tcPr>
            <w:tcW w:type="dxa" w:w="4675"/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blocks[].spacing</w:t>
            </w:r>
          </w:p>
        </w:tc>
        <w:tc>
          <w:tcPr>
            <w:tcW w:type="dxa" w:w="4675"/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そのブロックの上下の余白（Padding / Margin）の個別上書き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blocks[].textStyles</w:t>
            </w:r>
          </w:p>
        </w:tc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個別テキストの文字色・フォント・太さの上書き（フィールドパスをキーに持つ）</w:t>
            </w:r>
          </w:p>
        </w:tc>
      </w:tr>
    </w:tbl>
    <w:p>
      <w:pPr>
        <w:pStyle w:val="Heading1"/>
        <w:pBdr>
          <w:bottom w:val="single" w:color="0369A1" w:sz="6" w:space="6"/>
        </w:pBdr>
        <w:spacing w:after="240" w:before="480"/>
      </w:pPr>
      <w:r>
        <w:rPr>
          <w:rFonts w:ascii="游ゴシック" w:cs="游ゴシック" w:eastAsia="游ゴシック" w:hAnsi="游ゴシック"/>
          <w:b/>
          <w:bCs/>
          <w:color w:val="0369A1"/>
          <w:sz w:val="32"/>
          <w:szCs w:val="32"/>
        </w:rPr>
        <w:t xml:space="preserve">2. 「フィールドパス」というアドレス指定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1つのブロックの中の1つの値を指し示すために、「フィールドパス」という文字列を使っています。トップレベルの値はそのままのキー（例: heading）、配列の中の値は「配列キー.インデックス.サブキー」（例: cards.0.heading）という形です。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このパス文字列は、実際に生成されるHTMLの data-field 属性としてそのまま埋め込まれます。エディタ画面でテキストをクリックしたとき、この属性から「どのブロックの、どのフィールドか」を逆引きしています。</w:t>
      </w:r>
    </w:p>
    <w:p>
      <w:pPr>
        <w:spacing w:after="160"/>
      </w:pPr>
    </w:p>
    <w:tbl>
      <w:tblPr>
        <w:tblW w:type="dxa" w:w="9350"/>
        <w:tblBorders>
          <w:top w:val="single" w:color="0F172A" w:sz="2"/>
          <w:left w:val="single" w:color="0F172A" w:sz="2"/>
          <w:bottom w:val="single" w:color="0F172A" w:sz="2"/>
          <w:right w:val="single" w:color="0F172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F172A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レンダリング結果のHTML（一部）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&lt;h1 data-block-id="blk_a1b2c3" data-field="headline"&gt;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お口の健康を、もっと身近に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&lt;/h1&gt;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&lt;h3 data-block-id="blk_d4e5f6" data-field="cards.0.heading"&gt;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一般歯科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&lt;/h3&gt;</w:t>
            </w:r>
          </w:p>
        </w:tc>
      </w:tr>
    </w:tbl>
    <w:p>
      <w:pPr>
        <w:spacing w:after="300"/>
      </w:pP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textStyles や metaTextStyles も同じフィールドパスをキーに持つ辞書（Record）なので、「このパスに個別の文字色・フォントが指定されているか」を同じロジックで引けます。</w:t>
      </w:r>
    </w:p>
    <w:p>
      <w:pPr>
        <w:pStyle w:val="Heading1"/>
        <w:pBdr>
          <w:bottom w:val="single" w:color="0369A1" w:sz="6" w:space="6"/>
        </w:pBdr>
        <w:spacing w:after="240" w:before="480"/>
      </w:pPr>
      <w:r>
        <w:rPr>
          <w:rFonts w:ascii="游ゴシック" w:cs="游ゴシック" w:eastAsia="游ゴシック" w:hAnsi="游ゴシック"/>
          <w:b/>
          <w:bCs/>
          <w:color w:val="0369A1"/>
          <w:sz w:val="32"/>
          <w:szCs w:val="32"/>
        </w:rPr>
        <w:t xml:space="preserve">3. DB上の実体（D1）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このJSONは、1つの巨大な列に丸ごと入っているわけではなく、Cloudflare D1の2つのテーブルに分かれて入っています。</w:t>
      </w:r>
    </w:p>
    <w:tbl>
      <w:tblPr>
        <w:tblW w:type="dxa" w:w="935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0369A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テーブル</w:t>
            </w:r>
          </w:p>
        </w:tc>
        <w:tc>
          <w:tcPr>
            <w:tcW w:type="dxa" w:w="4675"/>
            <w:shd w:fill="0369A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sites</w:t>
            </w:r>
          </w:p>
        </w:tc>
        <w:tc>
          <w:tcPr>
            <w:tcW w:type="dxa" w:w="4675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1ドキュメント（テンプレート or サイト）につき1行。design / meta / tags はJSON文字列の列として保持</w:t>
            </w:r>
          </w:p>
        </w:tc>
      </w:tr>
      <w:tr>
        <w:tc>
          <w:tcPr>
            <w:tcW w:type="dxa" w:w="4675"/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9A1"/>
                <w:sz w:val="19"/>
                <w:szCs w:val="19"/>
              </w:rPr>
              <w:t xml:space="preserve">site_sections</w:t>
            </w:r>
          </w:p>
        </w:tc>
        <w:tc>
          <w:tcPr>
            <w:tcW w:type="dxa" w:w="4675"/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9"/>
                <w:szCs w:val="19"/>
              </w:rPr>
              <w:t xml:space="preserve">1ブロックにつき1行。position列で並び順を管理。content列がブロックのdataそのもの（JSON文字列）</w:t>
            </w:r>
          </w:p>
        </w:tc>
      </w:tr>
    </w:tbl>
    <w:p>
      <w:pPr>
        <w:spacing w:after="200"/>
      </w:pP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テンプレートと生成済みサイトは、この2つのテーブルを完全に共有しています。sites.is_template フラグだけが両者を区別する唯一の違いです。</w:t>
      </w:r>
    </w:p>
    <w:p>
      <w:pPr>
        <w:pStyle w:val="Heading1"/>
        <w:pBdr>
          <w:bottom w:val="single" w:color="0369A1" w:sz="6" w:space="6"/>
        </w:pBdr>
        <w:spacing w:after="240" w:before="480"/>
      </w:pPr>
      <w:r>
        <w:rPr>
          <w:rFonts w:ascii="游ゴシック" w:cs="游ゴシック" w:eastAsia="游ゴシック" w:hAnsi="游ゴシック"/>
          <w:b/>
          <w:bCs/>
          <w:color w:val="0369A1"/>
          <w:sz w:val="32"/>
          <w:szCs w:val="32"/>
        </w:rPr>
        <w:t xml:space="preserve">4. 編集の流れ（画面 → JSON → DB → HTML）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1.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画面上のテキストをクリック、またはフォームに入力する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ブラウザ内に保持している SiteDocument オブジェクト（JS上のJSON）の該当フィールドが書き換わります。この時点ではまだDBには何も送られていません。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2.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「保存する」を押す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サーバー側で、id・slug・isTemplate・所有者などの「本来クライアントが書き換えてはいけない値」を保存済みの行から復元したうえで、zodスキーマで構造全体を検証します。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3.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D1へ書き込む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sites 行を1件UPSERTし、その文書に属する site_sections を全件削除してから、現在のブロック配列を丸ごと再INSERTします。差分更新ではなく「置き換え」方式です（ブロックの追加・削除・並べ替えが自由に起きるため、差分検出よりシンプルさを優先した設計判断です）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4.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保存済みJSONから静的HTML/CSSを再生成する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D1に保存されたJSONを読み直し、design（配色・フォント）をCSS変数に、blocks配列を順番にHTMLへ変換します。これによりpublic/generated以下のファイルが更新され、プレビューに反映されます。</w:t>
      </w:r>
    </w:p>
    <w:tbl>
      <w:tblPr>
        <w:tblW w:type="dxa" w:w="9350"/>
        <w:tblBorders>
          <w:top w:val="single" w:color="0369A1" w:sz="4"/>
          <w:left w:val="single" w:color="0369A1" w:sz="4"/>
          <w:bottom w:val="single" w:color="0369A1" w:sz="4"/>
          <w:right w:val="single" w:color="0369A1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0F2FE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游ゴシック" w:cs="游ゴシック" w:eastAsia="游ゴシック" w:hAnsi="游ゴシック"/>
                <w:b/>
                <w:bCs/>
                <w:color w:val="0369A1"/>
                <w:sz w:val="21"/>
                <w:szCs w:val="21"/>
              </w:rPr>
              <w:t xml:space="preserve">ポイント</w:t>
            </w:r>
          </w:p>
          <w:p>
            <w:pPr>
              <w:spacing w:line="320"/>
            </w:pPr>
            <w:r>
              <w:rPr>
                <w:rFonts w:ascii="游ゴシック" w:cs="游ゴシック" w:eastAsia="游ゴシック" w:hAnsi="游ゴシック"/>
                <w:color w:val="1E293B"/>
                <w:sz w:val="20"/>
                <w:szCs w:val="20"/>
              </w:rPr>
              <w:t xml:space="preserve">生成されたHTMLファイルは、あくまでJSONから機械的に作られる「成果物」です。正となる情報は常にD1上のJSONであり、HTMLは保存のたびに作り直されます。</w:t>
            </w:r>
          </w:p>
        </w:tc>
      </w:tr>
    </w:tbl>
    <w:p>
      <w:pPr>
        <w:pStyle w:val="Heading1"/>
        <w:pBdr>
          <w:bottom w:val="single" w:color="0369A1" w:sz="6" w:space="6"/>
        </w:pBdr>
        <w:spacing w:after="240" w:before="480"/>
      </w:pPr>
      <w:r>
        <w:rPr>
          <w:rFonts w:ascii="游ゴシック" w:cs="游ゴシック" w:eastAsia="游ゴシック" w:hAnsi="游ゴシック"/>
          <w:b/>
          <w:bCs/>
          <w:color w:val="0369A1"/>
          <w:sz w:val="32"/>
          <w:szCs w:val="32"/>
        </w:rPr>
        <w:t xml:space="preserve">5. テンプレートからサイトを作る流れ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申請内容からサイトが自動的にできあがる処理も、実は「同じJSONへの書き込み」の繰り返しです。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1.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テンプレートの自動選定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申請内容（診療科・特徴・想定患者層）と、各テンプレートの「雰囲気」テキストをAIに渡し、最も合う1件を選ばせます。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2.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テンプレートのJSONを丸ごと複製する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選ばれたテンプレートの SiteDocument をディープコピーし、新しい id と slug を発行します（isTemplate は false に）。この時点で、design・blocks の構造はテンプレートと完全に同一で、中身はまだテンプレートのサンプル文言のままです。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3.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AIが各ブロックの data を書き換える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blockIdを鍵に、hero・rich・contact など「文章を書く」ブロックの heading / body / cards を、申請内容に合わせてAIが生成した文章に差し替えます。JSONの構造自体は変わらず、値だけが置き換わります。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4.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事実情報はヒアリングシートの値をそのまま書き込む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診療時間・住所・スタッフ紹介・料金表は、AIを経由せず、申請フォームに入力された値をそのまま対応するブロックの data に書き込みます。入力が無い項目はブロックごと visible: false になります。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5.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画像を生成・割当し、パスをJSONに書き込む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実際にアップロードされた写真があれば内容に応じて割り当て、無い部分はAIが画像を生成します。できあがった画像ファイルのパス（例: images/blk_a1b2c3.jpg）を、該当ブロックの image / cards[].image フィールドに書き込みます。</w:t>
      </w:r>
    </w:p>
    <w:p>
      <w:pPr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369A1"/>
          <w:sz w:val="22"/>
          <w:szCs w:val="22"/>
        </w:rPr>
        <w:t xml:space="preserve">6.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新規レコードとして保存し、HTMLを生成する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できあがったJSONを新しい sites 行として保存し、以降は編集時とまったく同じ関数でHTMLを生成します。</w:t>
      </w:r>
    </w:p>
    <w:p>
      <w:pPr>
        <w:pStyle w:val="Heading1"/>
        <w:pBdr>
          <w:bottom w:val="single" w:color="0369A1" w:sz="6" w:space="6"/>
        </w:pBdr>
        <w:spacing w:after="240" w:before="480"/>
      </w:pPr>
      <w:r>
        <w:rPr>
          <w:rFonts w:ascii="游ゴシック" w:cs="游ゴシック" w:eastAsia="游ゴシック" w:hAnsi="游ゴシック"/>
          <w:b/>
          <w:bCs/>
          <w:color w:val="0369A1"/>
          <w:sz w:val="32"/>
          <w:szCs w:val="32"/>
        </w:rPr>
        <w:t xml:space="preserve">まとめ</w:t>
      </w:r>
    </w:p>
    <w:p>
      <w:pPr>
        <w:spacing w:after="200" w:line="360"/>
      </w:pPr>
      <w:r>
        <w:rPr>
          <w:rFonts w:ascii="游ゴシック" w:cs="游ゴシック" w:eastAsia="游ゴシック" w:hAnsi="游ゴシック"/>
          <w:color w:val="1E293B"/>
          <w:sz w:val="22"/>
          <w:szCs w:val="22"/>
        </w:rPr>
        <w:t xml:space="preserve">「テンプレートを編集する」ことと「申請からサイトを自動生成する」ことは、コードの上では区別されていません。どちらも同じ SiteDocument というJSON構造を、同じ保存関数（D1への書き込み）と同じ描画関数（HTMLの生成）に通しているだけです。違うのは、そのJSONの値を「人がエディタ画面で書き換えるか」「AIがヒアリング内容をもとに書き換えるか」だけです。</w:t>
      </w:r>
    </w:p>
    <w:sectPr>
      <w:headerReference w:type="default" r:id="rId7"/>
      <w:footerReference w:type="default" r:id="rId8"/>
      <w:pgSz w:w="11907" w:h="16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64748B"/>
        <w:sz w:val="16"/>
        <w:szCs w:val="16"/>
      </w:rPr>
      <w:t xml:space="preserve">テンプレートのJSON構造と編集・生成のしくみ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2026-08-20T05:52:45.732Z</dcterms:created>
  <dcterms:modified xsi:type="dcterms:W3CDTF">2026-08-20T05:52:45.820Z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