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6"/>
        <w:gridCol w:w="2464"/>
        <w:gridCol w:w="1080"/>
        <w:gridCol w:w="1080"/>
        <w:gridCol w:w="1127"/>
        <w:gridCol w:w="1810"/>
      </w:tblGrid>
      <w:tr w:rsidR="00222D8E" w:rsidRPr="003E49EA" w14:paraId="61C5D4DF" w14:textId="77777777" w:rsidTr="005A4361">
        <w:trPr>
          <w:trHeight w:val="350"/>
        </w:trPr>
        <w:tc>
          <w:tcPr>
            <w:tcW w:w="1980" w:type="dxa"/>
            <w:vMerge w:val="restart"/>
            <w:tcBorders>
              <w:right w:val="nil"/>
            </w:tcBorders>
          </w:tcPr>
          <w:p w14:paraId="11F2392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5853" w14:textId="65F57DFD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SOAL UJIAN </w:t>
            </w:r>
            <w:r w:rsidR="003970E3">
              <w:rPr>
                <w:rFonts w:ascii="Arial" w:hAnsi="Arial" w:cs="Arial"/>
                <w:b/>
                <w:bCs/>
                <w:sz w:val="22"/>
                <w:szCs w:val="22"/>
              </w:rPr>
              <w:t>TENGAH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 SEMESTER 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</w:rPr>
              <w:t>GANJIL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202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5 - 2026</w:t>
            </w:r>
          </w:p>
        </w:tc>
        <w:tc>
          <w:tcPr>
            <w:tcW w:w="1810" w:type="dxa"/>
            <w:vMerge w:val="restart"/>
            <w:tcBorders>
              <w:left w:val="nil"/>
            </w:tcBorders>
          </w:tcPr>
          <w:p w14:paraId="275422C0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222D8E" w:rsidRPr="003E49EA" w14:paraId="10E7790B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7D8466E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C5102" w14:textId="47CE9E3F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Fakultas </w:t>
            </w:r>
            <w:r w:rsidR="00833EDB">
              <w:rPr>
                <w:rFonts w:ascii="Arial" w:hAnsi="Arial" w:cs="Arial"/>
                <w:b/>
                <w:bCs/>
              </w:rPr>
              <w:t>Ekonomi dan Bisnis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656C904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B398E70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1B1B4389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A9C82" w14:textId="6EC0EE6E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Prodi </w:t>
            </w:r>
            <w:r w:rsidR="00833EDB">
              <w:rPr>
                <w:rFonts w:ascii="Arial" w:hAnsi="Arial" w:cs="Arial"/>
                <w:b/>
                <w:bCs/>
              </w:rPr>
              <w:t>Akuntansi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4C531AD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55952CED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5A1A1A7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76B893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3E49EA">
              <w:rPr>
                <w:rFonts w:ascii="Arial" w:hAnsi="Arial" w:cs="Arial"/>
                <w:b/>
                <w:bCs/>
              </w:rPr>
              <w:t>Universitas Esa Unggul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0393BBB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47A9B51" w14:textId="77777777" w:rsidTr="005A4361">
        <w:trPr>
          <w:trHeight w:val="70"/>
        </w:trPr>
        <w:tc>
          <w:tcPr>
            <w:tcW w:w="1980" w:type="dxa"/>
            <w:vMerge/>
            <w:tcBorders>
              <w:right w:val="nil"/>
            </w:tcBorders>
          </w:tcPr>
          <w:p w14:paraId="56E96AF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B8A08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0" w:type="dxa"/>
            <w:vMerge/>
            <w:tcBorders>
              <w:left w:val="nil"/>
            </w:tcBorders>
          </w:tcPr>
          <w:p w14:paraId="6CF23F7D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780843EA" w14:textId="77777777" w:rsidTr="005A4361">
        <w:tc>
          <w:tcPr>
            <w:tcW w:w="1980" w:type="dxa"/>
            <w:tcBorders>
              <w:right w:val="nil"/>
            </w:tcBorders>
          </w:tcPr>
          <w:p w14:paraId="0EA5447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540ABD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4D0C9DA3" w14:textId="65425BB1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Akuntansi Keuangan Menengah 1</w:t>
            </w:r>
          </w:p>
        </w:tc>
      </w:tr>
      <w:tr w:rsidR="00222D8E" w:rsidRPr="003E49EA" w14:paraId="1E4DE24C" w14:textId="77777777" w:rsidTr="005A4361">
        <w:tc>
          <w:tcPr>
            <w:tcW w:w="1980" w:type="dxa"/>
            <w:tcBorders>
              <w:right w:val="nil"/>
            </w:tcBorders>
          </w:tcPr>
          <w:p w14:paraId="70224FB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Dosen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F58BB9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3A20FB1A" w14:textId="605BBD1E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33EDB">
              <w:rPr>
                <w:rFonts w:ascii="Arial" w:hAnsi="Arial" w:cs="Arial"/>
                <w:b/>
                <w:sz w:val="20"/>
                <w:szCs w:val="20"/>
              </w:rPr>
              <w:t>HERMANTO, SE, M.AK, CEH, CASF, 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RWVCPC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CSFPC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LFPC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222D8E" w:rsidRPr="003E49EA" w14:paraId="4E912CB2" w14:textId="77777777" w:rsidTr="005A4361">
        <w:tc>
          <w:tcPr>
            <w:tcW w:w="1980" w:type="dxa"/>
            <w:tcBorders>
              <w:right w:val="nil"/>
            </w:tcBorders>
          </w:tcPr>
          <w:p w14:paraId="2CEF4CE3" w14:textId="77777777" w:rsidR="00222D8E" w:rsidRPr="003E49EA" w:rsidRDefault="00222D8E" w:rsidP="00D2052A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3655AAE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1254CA96" w14:textId="7164422A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59EC9C41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533598E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7DFF84A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2B77C490" w14:textId="77777777" w:rsidTr="005A4361">
        <w:tc>
          <w:tcPr>
            <w:tcW w:w="1980" w:type="dxa"/>
            <w:tcBorders>
              <w:right w:val="nil"/>
            </w:tcBorders>
          </w:tcPr>
          <w:p w14:paraId="326C98AF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B2A3A4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E09B0C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04D04C2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Seksi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605C63D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6692DEBC" w14:textId="77777777" w:rsidR="00222D8E" w:rsidRPr="003E49EA" w:rsidRDefault="00222D8E" w:rsidP="00D2052A">
            <w:pPr>
              <w:spacing w:line="276" w:lineRule="auto"/>
              <w:ind w:left="-1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129338E9" w14:textId="77777777" w:rsidTr="005A4361">
        <w:tc>
          <w:tcPr>
            <w:tcW w:w="1980" w:type="dxa"/>
            <w:tcBorders>
              <w:right w:val="nil"/>
            </w:tcBorders>
          </w:tcPr>
          <w:p w14:paraId="2CBCA23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Sifat Ujian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A863B6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6061262" w14:textId="6F7933F7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Online</w:t>
            </w:r>
          </w:p>
        </w:tc>
        <w:tc>
          <w:tcPr>
            <w:tcW w:w="4017" w:type="dxa"/>
            <w:gridSpan w:val="3"/>
            <w:tcBorders>
              <w:bottom w:val="nil"/>
            </w:tcBorders>
          </w:tcPr>
          <w:p w14:paraId="11FC2E9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2D8E" w:rsidRPr="003E49EA" w14:paraId="1B564E36" w14:textId="77777777" w:rsidTr="005A4361">
        <w:tc>
          <w:tcPr>
            <w:tcW w:w="9777" w:type="dxa"/>
            <w:gridSpan w:val="7"/>
          </w:tcPr>
          <w:p w14:paraId="34FAFA0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sv-SE"/>
              </w:rPr>
            </w:pPr>
            <w:r w:rsidRPr="003E49EA">
              <w:rPr>
                <w:rFonts w:ascii="Arial" w:hAnsi="Arial" w:cs="Arial"/>
                <w:b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222D8E" w:rsidRPr="003E49EA" w14:paraId="6E497631" w14:textId="77777777" w:rsidTr="005A4361">
        <w:tc>
          <w:tcPr>
            <w:tcW w:w="4680" w:type="dxa"/>
            <w:gridSpan w:val="3"/>
          </w:tcPr>
          <w:p w14:paraId="59033087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5097" w:type="dxa"/>
            <w:gridSpan w:val="4"/>
          </w:tcPr>
          <w:p w14:paraId="6A698CBF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  <w:t>Tanggal dan Tanda Tangan Ketua Prodi</w:t>
            </w:r>
          </w:p>
        </w:tc>
      </w:tr>
      <w:tr w:rsidR="00222D8E" w:rsidRPr="003E49EA" w14:paraId="6F9E12F0" w14:textId="77777777" w:rsidTr="005A4361">
        <w:trPr>
          <w:trHeight w:val="1097"/>
        </w:trPr>
        <w:tc>
          <w:tcPr>
            <w:tcW w:w="4680" w:type="dxa"/>
            <w:gridSpan w:val="3"/>
          </w:tcPr>
          <w:p w14:paraId="13482AD8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5097" w:type="dxa"/>
            <w:gridSpan w:val="4"/>
          </w:tcPr>
          <w:p w14:paraId="52A0497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6A2ECEB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20BC373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</w:tr>
    </w:tbl>
    <w:p w14:paraId="1E496D9C" w14:textId="77777777" w:rsidR="00222D8E" w:rsidRPr="003E49EA" w:rsidRDefault="00222D8E" w:rsidP="00D2052A">
      <w:pPr>
        <w:spacing w:before="40" w:line="276" w:lineRule="auto"/>
        <w:ind w:left="425" w:hanging="283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3E49E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2A88F84" wp14:editId="15EF3D76">
            <wp:simplePos x="0" y="0"/>
            <wp:positionH relativeFrom="column">
              <wp:posOffset>45720</wp:posOffset>
            </wp:positionH>
            <wp:positionV relativeFrom="paragraph">
              <wp:posOffset>-2493645</wp:posOffset>
            </wp:positionV>
            <wp:extent cx="1992630" cy="563880"/>
            <wp:effectExtent l="0" t="0" r="0" b="0"/>
            <wp:wrapNone/>
            <wp:docPr id="24001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4312" name="Picture 2400143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"/>
                    <a:stretch/>
                  </pic:blipFill>
                  <pic:spPr bwMode="auto">
                    <a:xfrm>
                      <a:off x="0" y="0"/>
                      <a:ext cx="19926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9EA">
        <w:rPr>
          <w:rFonts w:ascii="Arial" w:hAnsi="Arial" w:cs="Arial"/>
          <w:b/>
          <w:sz w:val="20"/>
          <w:szCs w:val="20"/>
          <w:u w:val="single"/>
          <w:lang w:val="id-ID"/>
        </w:rPr>
        <w:t>Petunjuk Umum:</w:t>
      </w:r>
    </w:p>
    <w:p w14:paraId="01FECD39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Berdoalah sebelum mengerjakan soal</w:t>
      </w:r>
    </w:p>
    <w:p w14:paraId="2713A520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Periksa dan bacalah soal-soal dengan teliti sebelum anda mengerjakan</w:t>
      </w:r>
    </w:p>
    <w:p w14:paraId="37B296EB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Dahulukan menjawab soal yang anda anggap mudah</w:t>
      </w:r>
    </w:p>
    <w:p w14:paraId="59547B21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Dilarang mencontek, saling bertukar lembar jawaban/soal/</w:t>
      </w:r>
      <w:r w:rsidRPr="003E49EA">
        <w:rPr>
          <w:rFonts w:ascii="Arial" w:hAnsi="Arial" w:cs="Arial"/>
          <w:sz w:val="16"/>
          <w:szCs w:val="16"/>
        </w:rPr>
        <w:t>plagiasi maupun copy paste</w:t>
      </w:r>
    </w:p>
    <w:p w14:paraId="19047EF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Bagi yang melanggar tata tertib ujian akan diberikan sanksi oleh pengawas dan dicatat dalam berita acara ujian</w:t>
      </w:r>
    </w:p>
    <w:p w14:paraId="5C87019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Lembar jawaban</w:t>
      </w:r>
      <w:r w:rsidRPr="003E49EA">
        <w:rPr>
          <w:rFonts w:ascii="Arial" w:hAnsi="Arial" w:cs="Arial"/>
          <w:sz w:val="16"/>
          <w:szCs w:val="16"/>
        </w:rPr>
        <w:t xml:space="preserve"> dan soal harus diserahkan </w:t>
      </w:r>
      <w:r w:rsidRPr="003E49EA">
        <w:rPr>
          <w:rFonts w:ascii="Arial" w:hAnsi="Arial" w:cs="Arial"/>
          <w:sz w:val="16"/>
          <w:szCs w:val="16"/>
          <w:lang w:val="id-ID"/>
        </w:rPr>
        <w:t>kembali ke pengawas.</w:t>
      </w:r>
      <w:r w:rsidRPr="003E49EA">
        <w:rPr>
          <w:rFonts w:ascii="Arial" w:hAnsi="Arial" w:cs="Arial"/>
          <w:sz w:val="16"/>
          <w:szCs w:val="16"/>
        </w:rPr>
        <w:t xml:space="preserve"> / diupload </w:t>
      </w:r>
      <w:r w:rsidRPr="003E49EA">
        <w:rPr>
          <w:rFonts w:ascii="Arial" w:hAnsi="Arial" w:cs="Arial"/>
          <w:sz w:val="16"/>
          <w:szCs w:val="16"/>
          <w:lang w:val="id-ID"/>
        </w:rPr>
        <w:t>sesuai batas</w:t>
      </w:r>
      <w:r w:rsidRPr="003E49EA">
        <w:rPr>
          <w:rFonts w:ascii="Arial" w:hAnsi="Arial" w:cs="Arial"/>
          <w:sz w:val="16"/>
          <w:szCs w:val="16"/>
        </w:rPr>
        <w:t xml:space="preserve"> waktu yang ditentukan</w:t>
      </w:r>
    </w:p>
    <w:p w14:paraId="42544150" w14:textId="77777777" w:rsidR="00222D8E" w:rsidRPr="003E49EA" w:rsidRDefault="00222D8E" w:rsidP="00D2052A">
      <w:pPr>
        <w:spacing w:line="276" w:lineRule="auto"/>
        <w:ind w:left="284"/>
        <w:contextualSpacing/>
        <w:rPr>
          <w:rFonts w:ascii="Arial" w:hAnsi="Arial" w:cs="Arial"/>
          <w:sz w:val="18"/>
          <w:szCs w:val="18"/>
          <w:lang w:val="id-ID"/>
        </w:rPr>
      </w:pPr>
      <w:r w:rsidRPr="003E49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6EAC85" wp14:editId="5FDD6C8A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6096000" cy="952"/>
                <wp:effectExtent l="0" t="0" r="0" b="0"/>
                <wp:wrapNone/>
                <wp:docPr id="1027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952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E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6pt;margin-top:6.35pt;width:480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">
                <o:lock v:ext="edit" shapetype="f"/>
              </v:shape>
            </w:pict>
          </mc:Fallback>
        </mc:AlternateContent>
      </w:r>
    </w:p>
    <w:p w14:paraId="3A3E447D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Pada tanggal 1 Januari 2023, PT Digital Finansia Nusantara menerbitkan obligasi 5 tahun dengan nilai nominal Rp1.000.000.000, tingkat bunga kupon 8% per tahun, dibayarkan setiap 31 Desember.</w:t>
      </w:r>
    </w:p>
    <w:p w14:paraId="2A6E2146" w14:textId="6426A96A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Namun, karena kondisi pasar, investor menuntut tingkat pengembalian efektif sebesar 10% per tahun.</w:t>
      </w:r>
    </w:p>
    <w:p w14:paraId="5DFF45E2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Selain itu, pada tanggal yang sama, PT Digital Finansia juga melakukan dua transaksi lainnya:</w:t>
      </w:r>
    </w:p>
    <w:p w14:paraId="2528C592" w14:textId="77777777" w:rsidR="00EF2E0D" w:rsidRPr="00EF2E0D" w:rsidRDefault="00EF2E0D" w:rsidP="00EF2E0D">
      <w:pPr>
        <w:numPr>
          <w:ilvl w:val="0"/>
          <w:numId w:val="12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Menyewakan peralatan kepada PT TechnoServ untuk masa sewa 4 tahun, dengan pembayaran Rp200.000.000 per tahun di akhir tahun, tanpa nilai residu. Nilai wajar peralatan saat awal sewa adalah Rp640.000.000.</w:t>
      </w:r>
    </w:p>
    <w:p w14:paraId="28303D0B" w14:textId="77777777" w:rsidR="00EF2E0D" w:rsidRPr="00EF2E0D" w:rsidRDefault="00EF2E0D" w:rsidP="00EF2E0D">
      <w:pPr>
        <w:numPr>
          <w:ilvl w:val="0"/>
          <w:numId w:val="12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Memberikan pinjaman jangka panjang sebesar Rp500.000.000 kepada karyawan dengan tingkat bunga 4%, sementara tingkat bunga pasar adalah 8%. Jangka waktu pinjaman 5 tahun, bunga dibayar tahunan, dan pokok dibayar di akhir tahun ke-5.</w:t>
      </w:r>
    </w:p>
    <w:p w14:paraId="40A120D0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Perusahaan menggunakan metode suku bunga efektif (effective interest method) untuk mengamortisasi diskonto/premi dan menilai instrumen keuangan sesuai IFRS 9 Financial Instruments.</w:t>
      </w:r>
    </w:p>
    <w:p w14:paraId="5DA2A204" w14:textId="141D3C5B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Gunakan semua perhitungan berdasarkan nilai waktu uang (present value).</w:t>
      </w:r>
    </w:p>
    <w:p w14:paraId="432E572F" w14:textId="72A1947E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3D376D8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>Pertanyaan:</w:t>
      </w:r>
    </w:p>
    <w:p w14:paraId="42833554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>Bagian A – Konseptual</w:t>
      </w:r>
    </w:p>
    <w:p w14:paraId="3EA1B0D5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Jelaskan secara akademik </w:t>
      </w:r>
      <w:r w:rsidRPr="00EF2E0D">
        <w:rPr>
          <w:rFonts w:ascii="Arial" w:hAnsi="Arial" w:cs="Arial"/>
          <w:b/>
          <w:bCs/>
          <w:sz w:val="22"/>
          <w:szCs w:val="22"/>
          <w:lang w:val="en-ID"/>
        </w:rPr>
        <w:t>konsep nilai waktu uang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dan bagaimana konsep ini menjadi dasar pengakuan aset dan liabilitas keuangan dalam IFRS 9.</w:t>
      </w:r>
      <w:r w:rsidRPr="00EF2E0D">
        <w:rPr>
          <w:rFonts w:ascii="Arial" w:hAnsi="Arial" w:cs="Arial"/>
          <w:sz w:val="22"/>
          <w:szCs w:val="22"/>
          <w:lang w:val="en-ID"/>
        </w:rPr>
        <w:br/>
        <w:t>Sertakan referensi empiris dari jurnal bereputasi Q1 yang mendukung hubungan antara nilai waktu uang dan relevansi nilai wajar dalam laporan keuangan.</w:t>
      </w:r>
    </w:p>
    <w:p w14:paraId="5C09A2A2" w14:textId="625F0722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7D17310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199A0CD9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8B11716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Bagian B – Analitis dan Perhitungan</w:t>
      </w:r>
    </w:p>
    <w:p w14:paraId="3CCF98F5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Hitung harga penerbitan (present value) dari obligasi yang diterbitkan PT Digital Finansia Nusantara pada tanggal 1 Januari 2023.</w:t>
      </w:r>
      <w:r w:rsidRPr="00EF2E0D">
        <w:rPr>
          <w:rFonts w:ascii="Arial" w:hAnsi="Arial" w:cs="Arial"/>
          <w:sz w:val="22"/>
          <w:szCs w:val="22"/>
          <w:lang w:val="en-ID"/>
        </w:rPr>
        <w:br/>
        <w:t>(Gunakan faktor nilai sekarang dari bunga dan pokok berdasarkan tingkat bunga pasar 10%).</w:t>
      </w:r>
    </w:p>
    <w:p w14:paraId="032BD37D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Buat amortisasi premi/diskonto obligasi untuk dua tahun pertama menggunakan metode suku bunga efektif.</w:t>
      </w:r>
      <w:r w:rsidRPr="00EF2E0D">
        <w:rPr>
          <w:rFonts w:ascii="Arial" w:hAnsi="Arial" w:cs="Arial"/>
          <w:sz w:val="22"/>
          <w:szCs w:val="22"/>
          <w:lang w:val="en-ID"/>
        </w:rPr>
        <w:br/>
        <w:t>Sajikan dalam bentuk tabel.</w:t>
      </w:r>
    </w:p>
    <w:p w14:paraId="435D05C7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Tentukan nilai kini dari pembayaran sewa (lease receivable) yang akan diakui oleh PT Digital Finansia Nusantara pada awal kontrak, sesuai dengan IFRS 16 – Leases.</w:t>
      </w:r>
      <w:r w:rsidRPr="00EF2E0D">
        <w:rPr>
          <w:rFonts w:ascii="Arial" w:hAnsi="Arial" w:cs="Arial"/>
          <w:sz w:val="22"/>
          <w:szCs w:val="22"/>
          <w:lang w:val="en-ID"/>
        </w:rPr>
        <w:br/>
        <w:t>Hitung tingkat bunga implisit dari sewa tersebut.</w:t>
      </w:r>
    </w:p>
    <w:p w14:paraId="62B372F1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Hitung nilai kini pinjaman karyawan dan tentukan beban bunga efektif yang akan diakui selama lima tahun masa pinjaman.</w:t>
      </w:r>
    </w:p>
    <w:p w14:paraId="194D7B9E" w14:textId="3414226C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C8C1DBC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>Bagian C – Penerapan dan Pelaporan Akuntansi</w:t>
      </w:r>
    </w:p>
    <w:p w14:paraId="365D9E1F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Sajikan </w:t>
      </w:r>
      <w:r w:rsidRPr="00EF2E0D">
        <w:rPr>
          <w:rFonts w:ascii="Arial" w:hAnsi="Arial" w:cs="Arial"/>
          <w:b/>
          <w:bCs/>
          <w:sz w:val="22"/>
          <w:szCs w:val="22"/>
          <w:lang w:val="en-ID"/>
        </w:rPr>
        <w:t>jurnal akuntansi lengkap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untuk tiga transaksi berikut:</w:t>
      </w:r>
    </w:p>
    <w:p w14:paraId="115A1276" w14:textId="77777777" w:rsidR="00EF2E0D" w:rsidRDefault="00EF2E0D" w:rsidP="00EF2E0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Penerbitan obligasi pada harga diskonto.</w:t>
      </w:r>
    </w:p>
    <w:p w14:paraId="6A88C608" w14:textId="77777777" w:rsidR="00EF2E0D" w:rsidRDefault="00EF2E0D" w:rsidP="00EF2E0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Penerimaan pembayaran sewa tahun pertama.</w:t>
      </w:r>
    </w:p>
    <w:p w14:paraId="2F4C07D7" w14:textId="71231926" w:rsidR="00EF2E0D" w:rsidRPr="00EF2E0D" w:rsidRDefault="00EF2E0D" w:rsidP="00EF2E0D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>Pengakuan bunga efektif atas pinjaman karyawan.</w:t>
      </w:r>
    </w:p>
    <w:p w14:paraId="12D58113" w14:textId="77777777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Jelaskan bagaimana perbedaan antara </w:t>
      </w:r>
      <w:r w:rsidRPr="00EF2E0D">
        <w:rPr>
          <w:rFonts w:ascii="Arial" w:hAnsi="Arial" w:cs="Arial"/>
          <w:b/>
          <w:bCs/>
          <w:sz w:val="22"/>
          <w:szCs w:val="22"/>
          <w:lang w:val="en-ID"/>
        </w:rPr>
        <w:t>tingkat bunga kontraktual dan tingkat bunga efektif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mencerminkan nilai waktu uang dan risiko kredit menurut IFRS 9.</w:t>
      </w:r>
    </w:p>
    <w:p w14:paraId="23C571B2" w14:textId="03795FDB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8A7918E" w14:textId="77777777" w:rsidR="00EF2E0D" w:rsidRPr="00EF2E0D" w:rsidRDefault="00EF2E0D" w:rsidP="00EF2E0D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EF2E0D">
        <w:rPr>
          <w:rFonts w:ascii="Arial" w:hAnsi="Arial" w:cs="Arial"/>
          <w:b/>
          <w:bCs/>
          <w:sz w:val="22"/>
          <w:szCs w:val="22"/>
          <w:lang w:val="en-ID"/>
        </w:rPr>
        <w:t>Bagian D – Evaluatif dan Kritis</w:t>
      </w:r>
    </w:p>
    <w:p w14:paraId="7F87D0E5" w14:textId="12C78CFB" w:rsidR="00EF2E0D" w:rsidRPr="00EF2E0D" w:rsidRDefault="00EF2E0D" w:rsidP="00EF2E0D">
      <w:pPr>
        <w:numPr>
          <w:ilvl w:val="0"/>
          <w:numId w:val="13"/>
        </w:numPr>
        <w:tabs>
          <w:tab w:val="clear" w:pos="720"/>
        </w:tabs>
        <w:spacing w:line="276" w:lineRule="auto"/>
        <w:ind w:left="567" w:hanging="425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Berdasarkan hasil perhitungan, </w:t>
      </w:r>
      <w:r w:rsidRPr="00EF2E0D">
        <w:rPr>
          <w:rFonts w:ascii="Arial" w:hAnsi="Arial" w:cs="Arial"/>
          <w:b/>
          <w:bCs/>
          <w:sz w:val="22"/>
          <w:szCs w:val="22"/>
          <w:lang w:val="en-ID"/>
        </w:rPr>
        <w:t>evaluasi dampak penerapan nilai waktu uang terhadap relevansi dan reliabilitas laporan keuangan</w:t>
      </w:r>
      <w:r w:rsidRPr="00EF2E0D">
        <w:rPr>
          <w:rFonts w:ascii="Arial" w:hAnsi="Arial" w:cs="Arial"/>
          <w:sz w:val="22"/>
          <w:szCs w:val="22"/>
          <w:lang w:val="en-ID"/>
        </w:rPr>
        <w:t>.</w:t>
      </w:r>
      <w:r>
        <w:rPr>
          <w:rFonts w:ascii="Arial" w:hAnsi="Arial" w:cs="Arial"/>
          <w:sz w:val="22"/>
          <w:szCs w:val="22"/>
          <w:lang w:val="en-ID"/>
        </w:rPr>
        <w:t xml:space="preserve"> </w:t>
      </w:r>
      <w:r w:rsidRPr="00EF2E0D">
        <w:rPr>
          <w:rFonts w:ascii="Arial" w:hAnsi="Arial" w:cs="Arial"/>
          <w:sz w:val="22"/>
          <w:szCs w:val="22"/>
          <w:lang w:val="en-ID"/>
        </w:rPr>
        <w:t>Kaitkan dengan penelitian empiris, misalnya:</w:t>
      </w:r>
    </w:p>
    <w:p w14:paraId="0EB986B4" w14:textId="77777777" w:rsidR="00EF2E0D" w:rsidRDefault="00EF2E0D" w:rsidP="00EF2E0D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Barth, M. E., Landsman, W. R., &amp; Lang, M. H. (2008).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International Accounting Standards and Accounting Quality.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Journal of Accounting Research</w:t>
      </w:r>
      <w:r w:rsidRPr="00EF2E0D">
        <w:rPr>
          <w:rFonts w:ascii="Arial" w:hAnsi="Arial" w:cs="Arial"/>
          <w:sz w:val="22"/>
          <w:szCs w:val="22"/>
          <w:lang w:val="en-ID"/>
        </w:rPr>
        <w:t>, 46(3), 467–498.</w:t>
      </w:r>
    </w:p>
    <w:p w14:paraId="5E41C21C" w14:textId="366E202F" w:rsidR="00EF2E0D" w:rsidRDefault="00EF2E0D" w:rsidP="00EF2E0D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6" w:history="1">
        <w:r w:rsidRPr="00EF2E0D">
          <w:rPr>
            <w:rStyle w:val="Hyperlink"/>
            <w:rFonts w:ascii="Arial" w:hAnsi="Arial" w:cs="Arial"/>
            <w:sz w:val="22"/>
            <w:szCs w:val="22"/>
            <w:lang w:val="en-ID"/>
          </w:rPr>
          <w:t>https://onlinelibrary.wiley.com/doi/abs/10.1111/j.1475-679X.2008.00287.x</w:t>
        </w:r>
      </w:hyperlink>
    </w:p>
    <w:p w14:paraId="2EC5BB20" w14:textId="17901D1C" w:rsidR="004D28C1" w:rsidRDefault="00EF2E0D" w:rsidP="00EF2E0D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EF2E0D">
        <w:rPr>
          <w:rFonts w:ascii="Arial" w:hAnsi="Arial" w:cs="Arial"/>
          <w:sz w:val="22"/>
          <w:szCs w:val="22"/>
          <w:lang w:val="en-ID"/>
        </w:rPr>
        <w:t xml:space="preserve">Kothari, S. P., Ramanna, K., &amp; Skinner, D. J. (2010).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Implications for GAAP from an Analysis of Positive Research in Accounting.</w:t>
      </w:r>
      <w:r w:rsidRPr="00EF2E0D">
        <w:rPr>
          <w:rFonts w:ascii="Arial" w:hAnsi="Arial" w:cs="Arial"/>
          <w:sz w:val="22"/>
          <w:szCs w:val="22"/>
          <w:lang w:val="en-ID"/>
        </w:rPr>
        <w:t xml:space="preserve"> </w:t>
      </w:r>
      <w:r w:rsidRPr="00EF2E0D">
        <w:rPr>
          <w:rFonts w:ascii="Arial" w:hAnsi="Arial" w:cs="Arial"/>
          <w:i/>
          <w:iCs/>
          <w:sz w:val="22"/>
          <w:szCs w:val="22"/>
          <w:lang w:val="en-ID"/>
        </w:rPr>
        <w:t>Journal of Accounting and Economics</w:t>
      </w:r>
      <w:r w:rsidRPr="00EF2E0D">
        <w:rPr>
          <w:rFonts w:ascii="Arial" w:hAnsi="Arial" w:cs="Arial"/>
          <w:sz w:val="22"/>
          <w:szCs w:val="22"/>
          <w:lang w:val="en-ID"/>
        </w:rPr>
        <w:t>, 50(2–3), 246–286.</w:t>
      </w:r>
    </w:p>
    <w:p w14:paraId="18922B6B" w14:textId="58DE3A50" w:rsidR="00DD4DC9" w:rsidRPr="00EF2E0D" w:rsidRDefault="00DD4DC9" w:rsidP="00DD4DC9">
      <w:pPr>
        <w:pStyle w:val="ListParagraph"/>
        <w:spacing w:line="276" w:lineRule="auto"/>
        <w:ind w:left="927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7" w:history="1">
        <w:r w:rsidRPr="00DD4DC9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https://papers.ssrn.com/sol3/Delivery.cfm/SSRN_ID1676387_code698198.pdf?abstractid=1413775&amp;mirid=1</w:t>
        </w:r>
      </w:hyperlink>
    </w:p>
    <w:sectPr w:rsidR="00DD4DC9" w:rsidRPr="00EF2E0D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DEE"/>
    <w:multiLevelType w:val="hybridMultilevel"/>
    <w:tmpl w:val="42284D3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4C5788D"/>
    <w:multiLevelType w:val="multilevel"/>
    <w:tmpl w:val="2AEE4C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32E6E"/>
    <w:multiLevelType w:val="multilevel"/>
    <w:tmpl w:val="BF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94CE4"/>
    <w:multiLevelType w:val="multilevel"/>
    <w:tmpl w:val="32F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72134"/>
    <w:multiLevelType w:val="multilevel"/>
    <w:tmpl w:val="F11ED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0E2A7C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AF06728"/>
    <w:multiLevelType w:val="multilevel"/>
    <w:tmpl w:val="68560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92266"/>
    <w:multiLevelType w:val="multilevel"/>
    <w:tmpl w:val="A4E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840196"/>
    <w:multiLevelType w:val="hybridMultilevel"/>
    <w:tmpl w:val="0CFA57B4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D573DEC"/>
    <w:multiLevelType w:val="hybridMultilevel"/>
    <w:tmpl w:val="1A50B876"/>
    <w:lvl w:ilvl="0" w:tplc="DED2DC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74C38A5"/>
    <w:multiLevelType w:val="multilevel"/>
    <w:tmpl w:val="819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D679A5"/>
    <w:multiLevelType w:val="hybridMultilevel"/>
    <w:tmpl w:val="09CAF512"/>
    <w:lvl w:ilvl="0" w:tplc="38090019">
      <w:start w:val="1"/>
      <w:numFmt w:val="lowerLetter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58062BA9"/>
    <w:multiLevelType w:val="multilevel"/>
    <w:tmpl w:val="53C6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153BA9"/>
    <w:multiLevelType w:val="hybridMultilevel"/>
    <w:tmpl w:val="9F38D348"/>
    <w:lvl w:ilvl="0" w:tplc="1F8C818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F624474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B5CC9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97066B9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790454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8AC05B5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6FAEF5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95F0B05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5626574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DFA0F67"/>
    <w:multiLevelType w:val="multilevel"/>
    <w:tmpl w:val="1E7617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439A4"/>
    <w:multiLevelType w:val="multilevel"/>
    <w:tmpl w:val="230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606BE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7FBE6180"/>
    <w:multiLevelType w:val="hybridMultilevel"/>
    <w:tmpl w:val="68E22054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297298581">
    <w:abstractNumId w:val="13"/>
  </w:num>
  <w:num w:numId="2" w16cid:durableId="759831785">
    <w:abstractNumId w:val="10"/>
  </w:num>
  <w:num w:numId="3" w16cid:durableId="55131165">
    <w:abstractNumId w:val="7"/>
  </w:num>
  <w:num w:numId="4" w16cid:durableId="246230591">
    <w:abstractNumId w:val="15"/>
  </w:num>
  <w:num w:numId="5" w16cid:durableId="1232734899">
    <w:abstractNumId w:val="3"/>
  </w:num>
  <w:num w:numId="6" w16cid:durableId="537818435">
    <w:abstractNumId w:val="2"/>
  </w:num>
  <w:num w:numId="7" w16cid:durableId="661158269">
    <w:abstractNumId w:val="0"/>
  </w:num>
  <w:num w:numId="8" w16cid:durableId="1713072774">
    <w:abstractNumId w:val="11"/>
  </w:num>
  <w:num w:numId="9" w16cid:durableId="477189621">
    <w:abstractNumId w:val="9"/>
  </w:num>
  <w:num w:numId="10" w16cid:durableId="1677877102">
    <w:abstractNumId w:val="16"/>
  </w:num>
  <w:num w:numId="11" w16cid:durableId="397438440">
    <w:abstractNumId w:val="5"/>
  </w:num>
  <w:num w:numId="12" w16cid:durableId="1011566358">
    <w:abstractNumId w:val="4"/>
  </w:num>
  <w:num w:numId="13" w16cid:durableId="519858390">
    <w:abstractNumId w:val="12"/>
  </w:num>
  <w:num w:numId="14" w16cid:durableId="1647398805">
    <w:abstractNumId w:val="6"/>
  </w:num>
  <w:num w:numId="15" w16cid:durableId="1750492850">
    <w:abstractNumId w:val="14"/>
  </w:num>
  <w:num w:numId="16" w16cid:durableId="158616051">
    <w:abstractNumId w:val="1"/>
  </w:num>
  <w:num w:numId="17" w16cid:durableId="1748309881">
    <w:abstractNumId w:val="8"/>
  </w:num>
  <w:num w:numId="18" w16cid:durableId="1568454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8E"/>
    <w:rsid w:val="00222D8E"/>
    <w:rsid w:val="003970E3"/>
    <w:rsid w:val="004D28C1"/>
    <w:rsid w:val="007467D7"/>
    <w:rsid w:val="00833EDB"/>
    <w:rsid w:val="00BF240E"/>
    <w:rsid w:val="00D2052A"/>
    <w:rsid w:val="00DC06C9"/>
    <w:rsid w:val="00DD4DC9"/>
    <w:rsid w:val="00EF2E0D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FA6"/>
  <w15:chartTrackingRefBased/>
  <w15:docId w15:val="{ECECDFCD-5EC2-41C4-A8E3-2A46058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Delivery.cfm/SSRN_ID1676387_code698198.pdf?abstractid=1413775&amp;mir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abs/10.1111/j.1475-679X.2008.00287.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UEU</dc:creator>
  <cp:keywords/>
  <dc:description/>
  <cp:lastModifiedBy>Hermanto Liu</cp:lastModifiedBy>
  <cp:revision>3</cp:revision>
  <cp:lastPrinted>2025-10-25T23:11:00Z</cp:lastPrinted>
  <dcterms:created xsi:type="dcterms:W3CDTF">2025-10-25T23:19:00Z</dcterms:created>
  <dcterms:modified xsi:type="dcterms:W3CDTF">2025-10-26T02:58:00Z</dcterms:modified>
</cp:coreProperties>
</file>