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Laura Devendorf is a PhD Candidate at the UC Berkeley School of Information with a Designated Emphasis in New Media. She is advised by Kimiko Ryokai. Laura combines theory, art, design, and computation to create speculative interactive systems that explore the concept of human-machine collaboration. Collaboration is a mode of work that requires compromise and care, can foster new perspectives on the familiar, and encourage critical questioning of the “everyday.” She has explored collaborative interfaces in contexts of mobile computing, digital fabrication, and e-textiles. Her has been published at won two best paper honorable mention awards at CHI, has been featured on National Public Radio, and has been featured in several juried art and design exhibitions.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Highlighted Publications: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highlight w:val="white"/>
          <w:rtl w:val="0"/>
        </w:rPr>
        <w:t xml:space="preserve">Laura Devendorf and Kimiko Ryokai. “Being the Machine: Reconfiguring Agency and Control in Hybrid Fabrication.” </w:t>
      </w:r>
      <w:r w:rsidDel="00000000" w:rsidR="00000000" w:rsidRPr="00000000">
        <w:rPr>
          <w:i w:val="1"/>
          <w:rtl w:val="0"/>
        </w:rPr>
        <w:t xml:space="preserve">In Proceedings of the SIGCHI Conference on Human Factors in Computing Systems</w:t>
      </w:r>
      <w:r w:rsidDel="00000000" w:rsidR="00000000" w:rsidRPr="00000000">
        <w:rPr>
          <w:i w:val="1"/>
          <w:highlight w:val="white"/>
          <w:rtl w:val="0"/>
        </w:rPr>
        <w:t xml:space="preserve"> </w:t>
      </w:r>
      <w:r w:rsidDel="00000000" w:rsidR="00000000" w:rsidRPr="00000000">
        <w:rPr>
          <w:highlight w:val="white"/>
          <w:rtl w:val="0"/>
        </w:rPr>
        <w:t xml:space="preserve">(CHI '15) Best Paper Honorable Mention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highlight w:val="white"/>
          <w:rtl w:val="0"/>
        </w:rPr>
        <w:t xml:space="preserve">Laura Devendorf and Kimiko Ryokai. “AnyType: Provoking Reflection and Exploration with Aesthetic Interaction.” In </w:t>
      </w:r>
      <w:r w:rsidDel="00000000" w:rsidR="00000000" w:rsidRPr="00000000">
        <w:rPr>
          <w:i w:val="1"/>
          <w:highlight w:val="white"/>
          <w:rtl w:val="0"/>
        </w:rPr>
        <w:t xml:space="preserve">Proceedings of the SIGCHI Conference on Human Factors in Computing Systems</w:t>
      </w:r>
      <w:r w:rsidDel="00000000" w:rsidR="00000000" w:rsidRPr="00000000">
        <w:rPr>
          <w:highlight w:val="white"/>
          <w:rtl w:val="0"/>
        </w:rPr>
        <w:t xml:space="preserve"> (CHI '13). Best Paper Honorable Mention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