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AFE" w:rsidRDefault="00B25BC6">
      <w:r>
        <w:t xml:space="preserve">Group Pandas: </w:t>
      </w:r>
    </w:p>
    <w:p w:rsidR="00CA4AFE" w:rsidRDefault="00B25BC6">
      <w:proofErr w:type="spellStart"/>
      <w:r>
        <w:t>Jianlei</w:t>
      </w:r>
      <w:proofErr w:type="spellEnd"/>
      <w:r>
        <w:t xml:space="preserve"> (</w:t>
      </w:r>
      <w:proofErr w:type="spellStart"/>
      <w:proofErr w:type="gramStart"/>
      <w:r>
        <w:t>ella</w:t>
      </w:r>
      <w:proofErr w:type="spellEnd"/>
      <w:proofErr w:type="gramEnd"/>
      <w:r>
        <w:t>) Chen</w:t>
      </w:r>
      <w:r w:rsidR="00CA4AFE">
        <w:t>: ella199161@gmail.com</w:t>
      </w:r>
    </w:p>
    <w:p w:rsidR="00CA4AFE" w:rsidRDefault="00CA4AFE">
      <w:proofErr w:type="spellStart"/>
      <w:r>
        <w:t>Chuxuan</w:t>
      </w:r>
      <w:proofErr w:type="spellEnd"/>
      <w:r>
        <w:t xml:space="preserve"> Yang:  yangchuxuan@gwmail.gwu.edu</w:t>
      </w:r>
    </w:p>
    <w:p w:rsidR="00B25BC6" w:rsidRDefault="00B25BC6">
      <w:r>
        <w:t>Nikhil Swami</w:t>
      </w:r>
      <w:r w:rsidR="00CA4AFE">
        <w:t>: nikhilswami7@gwu.edu</w:t>
      </w:r>
    </w:p>
    <w:p w:rsidR="00B25BC6" w:rsidRDefault="00B25BC6">
      <w:bookmarkStart w:id="0" w:name="_GoBack"/>
      <w:bookmarkEnd w:id="0"/>
    </w:p>
    <w:p w:rsidR="004B53CE" w:rsidRDefault="004B53CE">
      <w:r>
        <w:t>Model</w:t>
      </w:r>
    </w:p>
    <w:p w:rsidR="004D1965" w:rsidRDefault="00EB5616">
      <w:proofErr w:type="gramStart"/>
      <w:r>
        <w:t xml:space="preserve">Proficiency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Participation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 xml:space="preserve">, Graduation </w:t>
      </w:r>
      <m:oMath>
        <m:r>
          <w:rPr>
            <w:rFonts w:ascii="Cambria Math" w:hAnsi="Cambria Math"/>
          </w:rPr>
          <m:t>G</m:t>
        </m:r>
      </m:oMath>
    </w:p>
    <w:p w:rsidR="00EB5616" w:rsidRDefault="00EB5616">
      <w:r>
        <w:t>Base case: does not consider the adjustment of the assessment system and funding</w:t>
      </w:r>
      <w:r w:rsidR="00635D93">
        <w:t>, and national budget</w:t>
      </w:r>
    </w:p>
    <w:p w:rsidR="00EB5616" w:rsidRPr="00EB5616" w:rsidRDefault="00EB5616">
      <w:r>
        <w:t xml:space="preserve">First the graduation percentage should directly </w:t>
      </w:r>
    </w:p>
    <w:p w:rsidR="00EB5616" w:rsidRPr="00EB5616" w:rsidRDefault="00EB5616">
      <m:oMathPara>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3</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r</m:t>
                      </m:r>
                    </m:sub>
                  </m:sSub>
                </m:e>
                <m:sub>
                  <m:r>
                    <w:rPr>
                      <w:rFonts w:ascii="Cambria Math" w:hAnsi="Cambria Math"/>
                    </w:rPr>
                    <m:t>(4-i)</m:t>
                  </m:r>
                </m:sub>
              </m:sSub>
            </m:e>
          </m:nary>
        </m:oMath>
      </m:oMathPara>
    </w:p>
    <w:p w:rsidR="00EB5616" w:rsidRDefault="00EB5616">
      <w:r>
        <w:t xml:space="preserve">Where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xml:space="preserve"> is the base minimum graduation </w:t>
      </w:r>
      <w:proofErr w:type="gramStart"/>
      <w:r>
        <w:t>rate.</w:t>
      </w:r>
      <w:proofErr w:type="gramEnd"/>
      <w:r>
        <w:t xml:space="preserve"> Like my </w:t>
      </w:r>
      <w:r w:rsidR="00635D93">
        <w:t>professors always say</w:t>
      </w:r>
      <w:r>
        <w:t xml:space="preserve">, you can’t fail everyone. </w:t>
      </w:r>
      <w:r w:rsidR="00635D93">
        <w:t xml:space="preserve">The second term represents the scaled effect of each year’s proficiency prior to graduation. (If the class average is D in the junior year of high school, you know not many of them are going to make it to </w:t>
      </w:r>
      <w:proofErr w:type="gramStart"/>
      <w:r w:rsidR="00635D93">
        <w:t>graduate</w:t>
      </w:r>
      <w:proofErr w:type="gramEnd"/>
      <w:r w:rsidR="00635D93">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635D93">
        <w:t xml:space="preserve"> </w:t>
      </w:r>
      <w:proofErr w:type="gramStart"/>
      <w:r w:rsidR="00635D93">
        <w:t>is</w:t>
      </w:r>
      <w:proofErr w:type="gramEnd"/>
      <w:r w:rsidR="00635D93">
        <w:t xml:space="preserve"> the weight for each year, such that the performance in the freshmen year tells less about the graduation. </w:t>
      </w:r>
    </w:p>
    <w:p w:rsidR="00635D93" w:rsidRDefault="00197188">
      <w:r>
        <w:t xml:space="preserve">Case 2: </w:t>
      </w:r>
      <w:r w:rsidR="00635D93">
        <w:t>Assessment factor and funding considered:</w:t>
      </w:r>
    </w:p>
    <w:p w:rsidR="00635D93" w:rsidRPr="0054181C" w:rsidRDefault="002E611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num>
            <m:den>
              <m:r>
                <w:rPr>
                  <w:rFonts w:ascii="Cambria Math" w:hAnsi="Cambria Math"/>
                </w:rPr>
                <m:t>dt</m:t>
              </m:r>
            </m:den>
          </m:f>
          <m:r>
            <w:rPr>
              <w:rFonts w:ascii="Cambria Math" w:hAnsi="Cambria Math"/>
            </w:rPr>
            <m:t>=s+kF</m:t>
          </m:r>
        </m:oMath>
      </m:oMathPara>
    </w:p>
    <w:p w:rsidR="0054181C" w:rsidRDefault="002E6114">
      <m:oMathPara>
        <m:oMath>
          <m:f>
            <m:fPr>
              <m:ctrlPr>
                <w:rPr>
                  <w:rFonts w:ascii="Cambria Math" w:hAnsi="Cambria Math"/>
                  <w:i/>
                </w:rPr>
              </m:ctrlPr>
            </m:fPr>
            <m:num>
              <m:r>
                <w:rPr>
                  <w:rFonts w:ascii="Cambria Math" w:hAnsi="Cambria Math"/>
                </w:rPr>
                <m:t>dG</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r>
                    <w:rPr>
                      <w:rFonts w:ascii="Cambria Math" w:hAnsi="Cambria Math"/>
                    </w:rPr>
                    <m:t>3</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r</m:t>
                          </m:r>
                        </m:sub>
                      </m:sSub>
                    </m:e>
                    <m:sub>
                      <m:r>
                        <w:rPr>
                          <w:rFonts w:ascii="Cambria Math" w:hAnsi="Cambria Math"/>
                        </w:rPr>
                        <m:t>(4-i)</m:t>
                      </m:r>
                    </m:sub>
                  </m:sSub>
                </m:e>
              </m:nary>
            </m:num>
            <m:den>
              <m:r>
                <w:rPr>
                  <w:rFonts w:ascii="Cambria Math" w:hAnsi="Cambria Math"/>
                </w:rPr>
                <m:t>dt</m:t>
              </m:r>
            </m:den>
          </m:f>
          <m:r>
            <w:rPr>
              <w:rFonts w:ascii="Cambria Math" w:hAnsi="Cambria Math"/>
            </w:rPr>
            <m:t>+kF</m:t>
          </m:r>
        </m:oMath>
      </m:oMathPara>
    </w:p>
    <w:p w:rsidR="0054181C" w:rsidRPr="0054181C" w:rsidRDefault="002E6114" w:rsidP="0054181C">
      <m:oMathPara>
        <m:oMath>
          <m:f>
            <m:fPr>
              <m:ctrlPr>
                <w:rPr>
                  <w:rFonts w:ascii="Cambria Math" w:hAnsi="Cambria Math"/>
                  <w:i/>
                </w:rPr>
              </m:ctrlPr>
            </m:fPr>
            <m:num>
              <m:r>
                <w:rPr>
                  <w:rFonts w:ascii="Cambria Math" w:hAnsi="Cambria Math"/>
                </w:rPr>
                <m:t>dG</m:t>
              </m:r>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3</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(t-i))</m:t>
              </m:r>
            </m:e>
          </m:nary>
          <m:r>
            <w:rPr>
              <w:rFonts w:ascii="Cambria Math" w:hAnsi="Cambria Math"/>
            </w:rPr>
            <m:t>+kF</m:t>
          </m:r>
        </m:oMath>
      </m:oMathPara>
    </w:p>
    <w:p w:rsidR="00FE7369" w:rsidRDefault="00CA7410">
      <w:r>
        <w:t>Solving the first equation gives:</w:t>
      </w:r>
    </w:p>
    <w:p w:rsidR="00CA7410" w:rsidRDefault="00CA7410"/>
    <w:p w:rsidR="00197188" w:rsidRPr="00CA7410" w:rsidRDefault="002E6114">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t+s</m:t>
              </m:r>
            </m:e>
            <m:sub>
              <m:r>
                <w:rPr>
                  <w:rFonts w:ascii="Cambria Math" w:hAnsi="Cambria Math"/>
                </w:rPr>
                <m:t>2</m:t>
              </m:r>
            </m:sub>
          </m:sSub>
          <m:r>
            <w:rPr>
              <w:rFonts w:ascii="Cambria Math" w:hAnsi="Cambria Math"/>
            </w:rPr>
            <m:t>+tkF</m:t>
          </m:r>
        </m:oMath>
      </m:oMathPara>
    </w:p>
    <w:p w:rsidR="00CA7410" w:rsidRPr="00CA7410" w:rsidRDefault="00197188">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t+s+A</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-k</m:t>
                  </m:r>
                  <m:d>
                    <m:dPr>
                      <m:ctrlPr>
                        <w:rPr>
                          <w:rFonts w:ascii="Cambria Math" w:hAnsi="Cambria Math"/>
                          <w:i/>
                        </w:rPr>
                      </m:ctrlPr>
                    </m:dPr>
                    <m:e>
                      <m:r>
                        <w:rPr>
                          <w:rFonts w:ascii="Cambria Math" w:hAnsi="Cambria Math"/>
                        </w:rPr>
                        <m:t>i</m:t>
                      </m:r>
                    </m:e>
                  </m:d>
                </m:sup>
              </m:sSubSup>
              <m:r>
                <w:rPr>
                  <w:rFonts w:ascii="Cambria Math" w:hAnsi="Cambria Math"/>
                </w:rPr>
                <m:t>F</m:t>
              </m:r>
              <m:d>
                <m:dPr>
                  <m:ctrlPr>
                    <w:rPr>
                      <w:rFonts w:ascii="Cambria Math" w:hAnsi="Cambria Math"/>
                      <w:i/>
                    </w:rPr>
                  </m:ctrlPr>
                </m:dPr>
                <m:e>
                  <m:r>
                    <w:rPr>
                      <w:rFonts w:ascii="Cambria Math" w:hAnsi="Cambria Math"/>
                    </w:rPr>
                    <m:t>t-i</m:t>
                  </m:r>
                </m:e>
              </m:d>
            </m:e>
          </m:nary>
        </m:oMath>
      </m:oMathPara>
    </w:p>
    <w:p w:rsidR="00197188" w:rsidRDefault="00197188" w:rsidP="00CA7410">
      <w:r>
        <w:lastRenderedPageBreak/>
        <w:t xml:space="preserve">Final case: The last case considers performance as a general that the more money put in the better it will be.  The next thing we should do is go back to look at proficiency as percentage that it </w:t>
      </w:r>
      <w:r w:rsidR="0012043F">
        <w:t>actually</w:t>
      </w:r>
      <w:r>
        <w:t xml:space="preserve"> have a threshold value.</w:t>
      </w:r>
    </w:p>
    <w:p w:rsidR="00197188" w:rsidRPr="00197188" w:rsidRDefault="00197188" w:rsidP="00197188">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num>
            <m:den>
              <m:r>
                <w:rPr>
                  <w:rFonts w:ascii="Cambria Math" w:hAnsi="Cambria Math"/>
                </w:rPr>
                <m:t>dt</m:t>
              </m:r>
            </m:den>
          </m:f>
          <m:r>
            <w:rPr>
              <w:rFonts w:ascii="Cambria Math" w:hAnsi="Cambria Math"/>
            </w:rPr>
            <m:t>=s+</m:t>
          </m:r>
          <m:sSup>
            <m:sSupPr>
              <m:ctrlPr>
                <w:rPr>
                  <w:rFonts w:ascii="Cambria Math" w:hAnsi="Cambria Math"/>
                  <w:i/>
                </w:rPr>
              </m:ctrlPr>
            </m:sSupPr>
            <m:e>
              <m:r>
                <w:rPr>
                  <w:rFonts w:ascii="Cambria Math" w:hAnsi="Cambria Math"/>
                </w:rPr>
                <m:t>ke</m:t>
              </m:r>
            </m:e>
            <m:sup>
              <m:r>
                <w:rPr>
                  <w:rFonts w:ascii="Cambria Math" w:hAnsi="Cambria Math"/>
                </w:rPr>
                <m:t>-τF</m:t>
              </m:r>
            </m:sup>
          </m:sSup>
        </m:oMath>
      </m:oMathPara>
    </w:p>
    <w:p w:rsidR="00197188" w:rsidRDefault="00197188" w:rsidP="00197188">
      <w:r>
        <w:t xml:space="preserve">So that </w:t>
      </w:r>
    </w:p>
    <w:p w:rsidR="00197188" w:rsidRPr="00CA7410" w:rsidRDefault="002E6114" w:rsidP="00197188">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t+s</m:t>
              </m:r>
            </m:e>
            <m:sub>
              <m:r>
                <w:rPr>
                  <w:rFonts w:ascii="Cambria Math" w:hAnsi="Cambria Math"/>
                </w:rPr>
                <m:t>2</m:t>
              </m:r>
            </m:sub>
          </m:sSub>
          <m:r>
            <w:rPr>
              <w:rFonts w:ascii="Cambria Math" w:hAnsi="Cambria Math"/>
            </w:rPr>
            <m:t>-τk</m:t>
          </m:r>
          <m:sSup>
            <m:sSupPr>
              <m:ctrlPr>
                <w:rPr>
                  <w:rFonts w:ascii="Cambria Math" w:hAnsi="Cambria Math"/>
                  <w:i/>
                </w:rPr>
              </m:ctrlPr>
            </m:sSupPr>
            <m:e>
              <m:r>
                <w:rPr>
                  <w:rFonts w:ascii="Cambria Math" w:hAnsi="Cambria Math"/>
                </w:rPr>
                <m:t>e</m:t>
              </m:r>
            </m:e>
            <m:sup>
              <m:r>
                <w:rPr>
                  <w:rFonts w:ascii="Cambria Math" w:hAnsi="Cambria Math"/>
                </w:rPr>
                <m:t>-τF</m:t>
              </m:r>
            </m:sup>
          </m:sSup>
        </m:oMath>
      </m:oMathPara>
    </w:p>
    <w:p w:rsidR="00197188" w:rsidRPr="0054181C" w:rsidRDefault="008F7139" w:rsidP="00197188">
      <w:r>
        <w:t xml:space="preserve">Here we define </w:t>
      </w:r>
      <w:r w:rsidR="004B53CE">
        <w:t>1/</w:t>
      </w:r>
      <m:oMath>
        <m:r>
          <w:rPr>
            <w:rFonts w:ascii="Cambria Math" w:hAnsi="Cambria Math"/>
          </w:rPr>
          <m:t>τ</m:t>
        </m:r>
      </m:oMath>
      <w:r>
        <w:t xml:space="preserve"> as half-life of funding effect. </w:t>
      </w:r>
    </w:p>
    <w:p w:rsidR="00197188" w:rsidRDefault="008F7139" w:rsidP="00CA7410">
      <w:r>
        <w:t xml:space="preserve">With </w:t>
      </w:r>
    </w:p>
    <w:p w:rsidR="004C38EC" w:rsidRPr="00CA7410" w:rsidRDefault="004C38EC" w:rsidP="004C38EC">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t+s+A</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-k</m:t>
                  </m:r>
                  <m:d>
                    <m:dPr>
                      <m:ctrlPr>
                        <w:rPr>
                          <w:rFonts w:ascii="Cambria Math" w:hAnsi="Cambria Math"/>
                          <w:i/>
                        </w:rPr>
                      </m:ctrlPr>
                    </m:dPr>
                    <m:e>
                      <m:r>
                        <w:rPr>
                          <w:rFonts w:ascii="Cambria Math" w:hAnsi="Cambria Math"/>
                        </w:rPr>
                        <m:t>i</m:t>
                      </m:r>
                    </m:e>
                  </m:d>
                </m:sup>
              </m:sSubSup>
              <m:sSup>
                <m:sSupPr>
                  <m:ctrlPr>
                    <w:rPr>
                      <w:rFonts w:ascii="Cambria Math" w:hAnsi="Cambria Math"/>
                      <w:i/>
                    </w:rPr>
                  </m:ctrlPr>
                </m:sSupPr>
                <m:e>
                  <m:r>
                    <w:rPr>
                      <w:rFonts w:ascii="Cambria Math" w:hAnsi="Cambria Math"/>
                    </w:rPr>
                    <m:t>e</m:t>
                  </m:r>
                </m:e>
                <m:sup>
                  <m:r>
                    <w:rPr>
                      <w:rFonts w:ascii="Cambria Math" w:hAnsi="Cambria Math"/>
                    </w:rPr>
                    <m:t>-τF</m:t>
                  </m:r>
                </m:sup>
              </m:sSup>
            </m:e>
          </m:nary>
        </m:oMath>
      </m:oMathPara>
    </w:p>
    <w:p w:rsidR="0012043F" w:rsidRDefault="00F711F3" w:rsidP="00CA7410">
      <w:proofErr w:type="gramStart"/>
      <w:r>
        <w:t xml:space="preserve">Using our model: </w:t>
      </w:r>
      <w:r w:rsidR="004C38EC">
        <w:t>Due to time we only have time to look at national data</w:t>
      </w:r>
      <w:r w:rsidR="0012043F">
        <w:t>.</w:t>
      </w:r>
      <w:proofErr w:type="gramEnd"/>
      <w:r w:rsidR="0012043F">
        <w:t xml:space="preserve">  Let look at the following case </w:t>
      </w:r>
    </w:p>
    <w:p w:rsidR="0012043F" w:rsidRDefault="004B53CE" w:rsidP="004B53CE">
      <w:r>
        <w:t xml:space="preserve">Case: </w:t>
      </w:r>
      <w:r w:rsidR="0012043F">
        <w:t xml:space="preserve">Half life </w:t>
      </w:r>
      <m:oMath>
        <m:r>
          <w:rPr>
            <w:rFonts w:ascii="Cambria Math" w:hAnsi="Cambria Math"/>
          </w:rPr>
          <m:t>1/τ</m:t>
        </m:r>
      </m:oMath>
      <w:r w:rsidR="0012043F">
        <w:t xml:space="preserve"> big funding affect is long lasting:  </w:t>
      </w:r>
    </w:p>
    <w:p w:rsidR="0012043F" w:rsidRPr="0012043F" w:rsidRDefault="002E6114" w:rsidP="00CA7410">
      <m:oMathPara>
        <m:oMath>
          <m:sSub>
            <m:sSubPr>
              <m:ctrlPr>
                <w:rPr>
                  <w:rFonts w:ascii="Cambria Math" w:hAnsi="Cambria Math"/>
                  <w:i/>
                </w:rPr>
              </m:ctrlPr>
            </m:sSubPr>
            <m:e>
              <m:r>
                <w:rPr>
                  <w:rFonts w:ascii="Cambria Math" w:hAnsi="Cambria Math"/>
                </w:rPr>
                <m:t>F</m:t>
              </m:r>
            </m:e>
            <m:sub>
              <m:r>
                <w:rPr>
                  <w:rFonts w:ascii="Cambria Math" w:hAnsi="Cambria Math"/>
                </w:rPr>
                <m:t>eff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num>
            <m:den>
              <m:r>
                <w:rPr>
                  <w:rFonts w:ascii="Cambria Math" w:hAnsi="Cambria Math"/>
                </w:rPr>
                <m:t>4</m:t>
              </m:r>
            </m:den>
          </m:f>
        </m:oMath>
      </m:oMathPara>
    </w:p>
    <w:p w:rsidR="0012043F" w:rsidRDefault="0012043F" w:rsidP="00CA7410">
      <w:r>
        <w:t xml:space="preserve">The effecting funding to one class is the average funding of the past 4 years. </w:t>
      </w:r>
    </w:p>
    <w:p w:rsidR="0012043F" w:rsidRDefault="00F711F3" w:rsidP="00CA7410">
      <w:r>
        <w:t>With national average data we have</w:t>
      </w:r>
    </w:p>
    <w:p w:rsidR="00F711F3" w:rsidRDefault="00F711F3" w:rsidP="00CA7410">
      <w:r>
        <w:rPr>
          <w:noProof/>
        </w:rPr>
        <w:lastRenderedPageBreak/>
        <w:drawing>
          <wp:inline distT="0" distB="0" distL="0" distR="0">
            <wp:extent cx="5334000" cy="4000500"/>
            <wp:effectExtent l="0" t="0" r="0" b="0"/>
            <wp:docPr id="1" name="Picture 1" descr="D:\Hackerthon\P vs 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ckerthon\P vs F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F7139" w:rsidRDefault="00F711F3" w:rsidP="00CA7410">
      <w:r>
        <w:t xml:space="preserve">The blacking is the fitting line of </w:t>
      </w:r>
    </w:p>
    <w:p w:rsidR="00F711F3" w:rsidRPr="00F711F3" w:rsidRDefault="00F711F3" w:rsidP="00CA7410">
      <m:oMathPara>
        <m:oMath>
          <m:r>
            <w:rPr>
              <w:rFonts w:ascii="Cambria Math" w:hAnsi="Cambria Math"/>
            </w:rPr>
            <m:t>P=48+20*(1-</m:t>
          </m:r>
          <m:sSup>
            <m:sSupPr>
              <m:ctrlPr>
                <w:rPr>
                  <w:rFonts w:ascii="Cambria Math" w:hAnsi="Cambria Math"/>
                  <w:i/>
                </w:rPr>
              </m:ctrlPr>
            </m:sSupPr>
            <m:e>
              <m:r>
                <w:rPr>
                  <w:rFonts w:ascii="Cambria Math" w:hAnsi="Cambria Math"/>
                </w:rPr>
                <m:t>e</m:t>
              </m:r>
            </m:e>
            <m:sup>
              <m:r>
                <w:rPr>
                  <w:rFonts w:ascii="Cambria Math" w:hAnsi="Cambria Math"/>
                </w:rPr>
                <m:t>-0.1(F-140)</m:t>
              </m:r>
            </m:sup>
          </m:sSup>
          <m:r>
            <w:rPr>
              <w:rFonts w:ascii="Cambria Math" w:hAnsi="Cambria Math"/>
            </w:rPr>
            <m:t>)</m:t>
          </m:r>
        </m:oMath>
      </m:oMathPara>
    </w:p>
    <w:p w:rsidR="00F711F3" w:rsidRDefault="004B53CE" w:rsidP="00CA7410">
      <w:r>
        <w:t xml:space="preserve">The suggest the </w:t>
      </w:r>
      <w:proofErr w:type="spellStart"/>
      <w:r>
        <w:t>half life</w:t>
      </w:r>
      <w:proofErr w:type="spellEnd"/>
      <w:r>
        <w:t xml:space="preserve"> is 10 years meaning it takes 10 year for the funding effect to reduce to half. 48 is a combination of base prof and external effect. The base proficiency suggests that most state will reach this level no matter what. 140 is the base funding level most state get. Funding below that level will not be considered. </w:t>
      </w:r>
    </w:p>
    <w:p w:rsidR="00CA4AFE" w:rsidRDefault="00CA4AFE" w:rsidP="00CA7410"/>
    <w:p w:rsidR="00F711F3" w:rsidRDefault="00F711F3" w:rsidP="00CA7410"/>
    <w:p w:rsidR="008F7139" w:rsidRDefault="008F7139" w:rsidP="00CA7410"/>
    <w:p w:rsidR="0012043F" w:rsidRDefault="0012043F" w:rsidP="00CA7410"/>
    <w:p w:rsidR="0012043F" w:rsidRDefault="0012043F" w:rsidP="00CA7410"/>
    <w:p w:rsidR="00CA7410" w:rsidRDefault="0012043F">
      <w:r>
        <w:t>Selected data:</w:t>
      </w:r>
    </w:p>
    <w:p w:rsidR="0012043F" w:rsidRDefault="0012043F">
      <w:r>
        <w:t>P</w:t>
      </w:r>
      <w:proofErr w:type="gramStart"/>
      <w:r>
        <w:t>=[</w:t>
      </w:r>
      <w:proofErr w:type="gramEnd"/>
      <w:r>
        <w:t>64.5 55.6 48.4]; (12-15)</w:t>
      </w:r>
    </w:p>
    <w:p w:rsidR="0012043F" w:rsidRDefault="0012043F">
      <w:r>
        <w:t>G</w:t>
      </w:r>
      <w:proofErr w:type="gramStart"/>
      <w:r>
        <w:t>=[</w:t>
      </w:r>
      <w:proofErr w:type="gramEnd"/>
      <w:r>
        <w:t>84 75 76];(12-15)</w:t>
      </w:r>
    </w:p>
    <w:p w:rsidR="0012043F" w:rsidRDefault="0012043F">
      <w:r>
        <w:lastRenderedPageBreak/>
        <w:t>F</w:t>
      </w:r>
      <w:proofErr w:type="gramStart"/>
      <w:r>
        <w:t>=[</w:t>
      </w:r>
      <w:proofErr w:type="gramEnd"/>
      <w:r>
        <w:t>175 170 145 138 131 147]*</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w:t>
      </w:r>
      <w:r w:rsidR="00BB6651">
        <w:t>10-15</w:t>
      </w:r>
      <w:r>
        <w:t xml:space="preserve">) </w:t>
      </w:r>
    </w:p>
    <w:p w:rsidR="00094895" w:rsidRDefault="00094895"/>
    <w:p w:rsidR="00635D93" w:rsidRDefault="00635D93"/>
    <w:p w:rsidR="00635D93" w:rsidRDefault="00635D93"/>
    <w:sectPr w:rsidR="00635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33CFA"/>
    <w:multiLevelType w:val="hybridMultilevel"/>
    <w:tmpl w:val="4794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A9D"/>
    <w:rsid w:val="0006211E"/>
    <w:rsid w:val="00076135"/>
    <w:rsid w:val="00094895"/>
    <w:rsid w:val="0012043F"/>
    <w:rsid w:val="00125496"/>
    <w:rsid w:val="00142A9D"/>
    <w:rsid w:val="00197188"/>
    <w:rsid w:val="001F1014"/>
    <w:rsid w:val="002E6114"/>
    <w:rsid w:val="004B53CE"/>
    <w:rsid w:val="004C38EC"/>
    <w:rsid w:val="0054181C"/>
    <w:rsid w:val="00635D93"/>
    <w:rsid w:val="008F7139"/>
    <w:rsid w:val="009D07F7"/>
    <w:rsid w:val="00B25BC6"/>
    <w:rsid w:val="00BB6651"/>
    <w:rsid w:val="00BD020C"/>
    <w:rsid w:val="00CA4AFE"/>
    <w:rsid w:val="00CA7410"/>
    <w:rsid w:val="00E17E1D"/>
    <w:rsid w:val="00EB5616"/>
    <w:rsid w:val="00F711F3"/>
    <w:rsid w:val="00FE7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616"/>
    <w:rPr>
      <w:color w:val="808080"/>
    </w:rPr>
  </w:style>
  <w:style w:type="paragraph" w:styleId="BalloonText">
    <w:name w:val="Balloon Text"/>
    <w:basedOn w:val="Normal"/>
    <w:link w:val="BalloonTextChar"/>
    <w:uiPriority w:val="99"/>
    <w:semiHidden/>
    <w:unhideWhenUsed/>
    <w:rsid w:val="00EB5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616"/>
    <w:rPr>
      <w:rFonts w:ascii="Tahoma" w:hAnsi="Tahoma" w:cs="Tahoma"/>
      <w:sz w:val="16"/>
      <w:szCs w:val="16"/>
    </w:rPr>
  </w:style>
  <w:style w:type="paragraph" w:styleId="ListParagraph">
    <w:name w:val="List Paragraph"/>
    <w:basedOn w:val="Normal"/>
    <w:uiPriority w:val="34"/>
    <w:qFormat/>
    <w:rsid w:val="001204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616"/>
    <w:rPr>
      <w:color w:val="808080"/>
    </w:rPr>
  </w:style>
  <w:style w:type="paragraph" w:styleId="BalloonText">
    <w:name w:val="Balloon Text"/>
    <w:basedOn w:val="Normal"/>
    <w:link w:val="BalloonTextChar"/>
    <w:uiPriority w:val="99"/>
    <w:semiHidden/>
    <w:unhideWhenUsed/>
    <w:rsid w:val="00EB5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616"/>
    <w:rPr>
      <w:rFonts w:ascii="Tahoma" w:hAnsi="Tahoma" w:cs="Tahoma"/>
      <w:sz w:val="16"/>
      <w:szCs w:val="16"/>
    </w:rPr>
  </w:style>
  <w:style w:type="paragraph" w:styleId="ListParagraph">
    <w:name w:val="List Paragraph"/>
    <w:basedOn w:val="Normal"/>
    <w:uiPriority w:val="34"/>
    <w:qFormat/>
    <w:rsid w:val="0012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4</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ellaT430s</dc:creator>
  <cp:keywords/>
  <dc:description/>
  <cp:lastModifiedBy>ellaT430s</cp:lastModifiedBy>
  <cp:revision>6</cp:revision>
  <dcterms:created xsi:type="dcterms:W3CDTF">2017-04-08T03:26:00Z</dcterms:created>
  <dcterms:modified xsi:type="dcterms:W3CDTF">2017-04-11T23:09:00Z</dcterms:modified>
</cp:coreProperties>
</file>