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Microsoft YaHei" w:cs="Microsoft YaHei" w:eastAsia="Microsoft YaHei" w:hAnsi="Microsoft YaHei"/>
          <w:b/>
          <w:bCs/>
          <w:color w:val="808080"/>
          <w:sz w:val="28"/>
          <w:szCs w:val="28"/>
        </w:rPr>
        <w:t xml:space="preserve">Research Proposal</w:t>
      </w:r>
    </w:p>
    <w:p>
      <w:pPr>
        <w:spacing w:after="120" w:before="120"/>
        <w:jc w:val="center"/>
      </w:pPr>
      <w:r>
        <w:rPr>
          <w:rFonts w:ascii="Microsoft YaHei" w:cs="Microsoft YaHei" w:eastAsia="Microsoft YaHei" w:hAnsi="Microsoft YaHei"/>
          <w:b/>
          <w:bCs/>
          <w:color w:val="1F3864"/>
          <w:sz w:val="48"/>
          <w:szCs w:val="48"/>
        </w:rPr>
        <w:t xml:space="preserve">CoGen-Align</w:t>
      </w:r>
    </w:p>
    <w:p>
      <w:pPr>
        <w:spacing w:after="360" w:before="120"/>
        <w:jc w:val="center"/>
      </w:pPr>
      <w:r>
        <w:rPr>
          <w:rFonts w:ascii="Microsoft YaHei" w:cs="Microsoft YaHei" w:eastAsia="Microsoft YaHei" w:hAnsi="Microsoft YaHei"/>
          <w:b/>
          <w:bCs/>
          <w:color w:val="2E75B6"/>
          <w:sz w:val="28"/>
          <w:szCs w:val="28"/>
        </w:rPr>
        <w:t xml:space="preserve">Contrastive Warmup for Data-Efficient</w:t>
      </w:r>
    </w:p>
    <w:p>
      <w:pPr>
        <w:spacing w:after="1200" w:before="60"/>
        <w:jc w:val="center"/>
      </w:pPr>
      <w:r>
        <w:rPr>
          <w:rFonts w:ascii="Microsoft YaHei" w:cs="Microsoft YaHei" w:eastAsia="Microsoft YaHei" w:hAnsi="Microsoft YaHei"/>
          <w:i/>
          <w:iCs/>
          <w:color w:val="595959"/>
          <w:sz w:val="24"/>
          <w:szCs w:val="24"/>
        </w:rPr>
        <w:t xml:space="preserve">Speech-Text Alignment in Speech Language Models</w:t>
      </w:r>
    </w:p>
    <w:p>
      <w:pPr>
        <w:spacing w:after="60" w:before="120"/>
        <w:jc w:val="center"/>
      </w:pPr>
      <w:r>
        <w:rPr>
          <w:rFonts w:ascii="Microsoft YaHei" w:cs="Microsoft YaHei" w:eastAsia="Microsoft YaHei" w:hAnsi="Microsoft YaHei"/>
          <w:sz w:val="22"/>
          <w:szCs w:val="22"/>
        </w:rPr>
        <w:t xml:space="preserve">选题方向：Data-Efficient Modality Alignment for Speech LLMs</w:t>
      </w:r>
    </w:p>
    <w:p>
      <w:pPr>
        <w:spacing w:after="60" w:before="60"/>
        <w:jc w:val="center"/>
      </w:pPr>
      <w:r>
        <w:rPr>
          <w:rFonts w:ascii="Microsoft YaHei" w:cs="Microsoft YaHei" w:eastAsia="Microsoft YaHei" w:hAnsi="Microsoft YaHei"/>
          <w:sz w:val="22"/>
          <w:szCs w:val="22"/>
        </w:rPr>
        <w:t xml:space="preserve">目标会议：ICASSP 2026 / Interspeech 2026</w:t>
      </w:r>
    </w:p>
    <w:p>
      <w:pPr>
        <w:spacing w:after="60" w:before="60"/>
        <w:jc w:val="center"/>
      </w:pPr>
      <w:r>
        <w:rPr>
          <w:rFonts w:ascii="Microsoft YaHei" w:cs="Microsoft YaHei" w:eastAsia="Microsoft YaHei" w:hAnsi="Microsoft YaHei"/>
          <w:sz w:val="22"/>
          <w:szCs w:val="22"/>
        </w:rPr>
        <w:t xml:space="preserve">算力预算：8 × NVIDIA L20 (48GB)</w:t>
      </w:r>
    </w:p>
    <w:p>
      <w:pPr>
        <w:spacing w:after="60" w:before="60"/>
        <w:jc w:val="center"/>
      </w:pPr>
      <w:r>
        <w:rPr>
          <w:rFonts w:ascii="Microsoft YaHei" w:cs="Microsoft YaHei" w:eastAsia="Microsoft YaHei" w:hAnsi="Microsoft YaHei"/>
          <w:sz w:val="22"/>
          <w:szCs w:val="22"/>
        </w:rPr>
        <w:t xml:space="preserve">时间周期：3 个月</w:t>
      </w:r>
    </w:p>
    <w:p>
      <w:r>
        <w:br w:type="page"/>
      </w:r>
    </w:p>
    <w:p>
      <w:pPr>
        <w:pStyle w:val="Heading1"/>
        <w:spacing w:after="120" w:before="240"/>
      </w:pPr>
      <w:r>
        <w:rPr>
          <w:rFonts w:ascii="Microsoft YaHei" w:cs="Microsoft YaHei" w:eastAsia="Microsoft YaHei" w:hAnsi="Microsoft YaHei"/>
          <w:b/>
          <w:bCs/>
          <w:color w:val="1F3864"/>
          <w:sz w:val="32"/>
          <w:szCs w:val="32"/>
        </w:rPr>
        <w:t xml:space="preserve">1. 执行摘要 (Executive Summary)</w:t>
      </w:r>
    </w:p>
    <w:p>
      <w:pPr>
        <w:spacing w:after="60" w:before="60"/>
      </w:pPr>
      <w:r>
        <w:rPr>
          <w:rFonts w:ascii="Microsoft YaHei" w:cs="Microsoft YaHei" w:eastAsia="Microsoft YaHei" w:hAnsi="Microsoft YaHei"/>
          <w:b w:val="false"/>
          <w:bCs w:val="false"/>
          <w:i w:val="false"/>
          <w:iCs w:val="false"/>
          <w:sz w:val="22"/>
          <w:szCs w:val="22"/>
        </w:rPr>
        <w:t xml:space="preserve">现代语音大模型 (Speech Language Models, SpeechLMs) 的核心环节是将语音编码器与 LLM 对齐，使 LLM 能够理解语音输入。目前学术界存在两种对齐范式：对比学习 (contrastive alignment，如 CLAP) 数据效率高但信息保留少；生成式对齐 (generative alignment，如 ASR-loss finetuning) 效果好但需要海量配对数据。大厂用百万小时数据训练，学术界往往只有数千小时可用，导致方法难以复现。</w:t>
      </w:r>
    </w:p>
    <w:p>
      <w:pPr>
        <w:spacing w:after="60" w:before="60"/>
      </w:pPr>
      <w:r>
        <w:rPr>
          <w:rFonts w:ascii="Microsoft YaHei" w:cs="Microsoft YaHei" w:eastAsia="Microsoft YaHei" w:hAnsi="Microsoft YaHei"/>
          <w:b w:val="false"/>
          <w:bCs w:val="false"/>
          <w:i w:val="false"/>
          <w:iCs w:val="false"/>
          <w:sz w:val="22"/>
          <w:szCs w:val="22"/>
        </w:rPr>
        <w:t xml:space="preserve">本项目提出 CoGen-Align，一种将对比学习和生成式对齐以最优调度方式组合的两阶段训练方法。核心洞察是：对比学习可以先将 projector 拉到一个语义合理的初始位置，使得后续生成式对齐所需的数据量显著降低。</w:t>
      </w:r>
    </w:p>
    <w:p>
      <w:pPr>
        <w:spacing w:after="60" w:before="60"/>
      </w:pPr>
      <w:r>
        <w:rPr>
          <w:rFonts w:ascii="Microsoft YaHei" w:cs="Microsoft YaHei" w:eastAsia="Microsoft YaHei" w:hAnsi="Microsoft YaHei"/>
          <w:b/>
          <w:bCs/>
          <w:i w:val="false"/>
          <w:iCs w:val="false"/>
          <w:sz w:val="22"/>
          <w:szCs w:val="22"/>
        </w:rPr>
        <w:t xml:space="preserve">预期贡献：在 {10h, 50h, 100h, 500h, 1000h} 多个数据规模上系统验证，证明对比学习 warmup 能使生成式对齐达到同等性能所需数据减少 40-60%，收敛步数减少 30-50%。通过表征几何和 loss landscape 分析揭示机制。方法在 3 种 projector 架构 × 3 种 LLM 尺寸上具备一致性。</w:t>
      </w:r>
    </w:p>
    <w:p>
      <w:pPr>
        <w:pStyle w:val="Heading1"/>
        <w:spacing w:after="120" w:before="240"/>
      </w:pPr>
      <w:r>
        <w:rPr>
          <w:rFonts w:ascii="Microsoft YaHei" w:cs="Microsoft YaHei" w:eastAsia="Microsoft YaHei" w:hAnsi="Microsoft YaHei"/>
          <w:b/>
          <w:bCs/>
          <w:color w:val="1F3864"/>
          <w:sz w:val="32"/>
          <w:szCs w:val="32"/>
        </w:rPr>
        <w:t xml:space="preserve">2. 背景与研究动机</w:t>
      </w:r>
    </w:p>
    <w:p>
      <w:pPr>
        <w:pStyle w:val="Heading2"/>
        <w:spacing w:after="120" w:before="240"/>
      </w:pPr>
      <w:r>
        <w:rPr>
          <w:rFonts w:ascii="Microsoft YaHei" w:cs="Microsoft YaHei" w:eastAsia="Microsoft YaHei" w:hAnsi="Microsoft YaHei"/>
          <w:b/>
          <w:bCs/>
          <w:color w:val="2E75B6"/>
          <w:sz w:val="28"/>
          <w:szCs w:val="28"/>
        </w:rPr>
        <w:t xml:space="preserve">2.1 问题背景</w:t>
      </w:r>
    </w:p>
    <w:p>
      <w:pPr>
        <w:spacing w:after="60" w:before="60"/>
      </w:pPr>
      <w:r>
        <w:rPr>
          <w:rFonts w:ascii="Microsoft YaHei" w:cs="Microsoft YaHei" w:eastAsia="Microsoft YaHei" w:hAnsi="Microsoft YaHei"/>
          <w:b w:val="false"/>
          <w:bCs w:val="false"/>
          <w:i w:val="false"/>
          <w:iCs w:val="false"/>
          <w:sz w:val="22"/>
          <w:szCs w:val="22"/>
        </w:rPr>
        <w:t xml:space="preserve">SpeechLM 需要将 audio encoder 的输出对齐到 LLM 的语义空间。主流方案是在 &lt;speech, transcript&gt; 配对数据上做 ASR loss 微调 (generative alignment)，代表工作包括 Qwen2-Audio、SALMONN、LLaMA-Omni、SLAM-LLM。然而这类方法对数据量敏感——Qwen2-Audio 使用了 &gt;50 万小时，SALMONN 使用 &gt;3000 小时，而大多数学术团队可用的配对数据不超过 1000 小时。</w:t>
      </w:r>
    </w:p>
    <w:p>
      <w:pPr>
        <w:spacing w:after="60" w:before="60"/>
      </w:pPr>
      <w:r>
        <w:rPr>
          <w:rFonts w:ascii="Microsoft YaHei" w:cs="Microsoft YaHei" w:eastAsia="Microsoft YaHei" w:hAnsi="Microsoft YaHei"/>
          <w:b w:val="false"/>
          <w:bCs w:val="false"/>
          <w:i w:val="false"/>
          <w:iCs w:val="false"/>
          <w:sz w:val="22"/>
          <w:szCs w:val="22"/>
        </w:rPr>
        <w:t xml:space="preserve">另一条路线是对比学习 (CLAP、SpeechCLIP)，它只需要 &lt;audio, text&gt; 的粗粒度配对，数据易得，但产出的表征仅适合判别类任务（检索、分类），不适合生成式 SpeechLM。</w:t>
      </w:r>
    </w:p>
    <w:p>
      <w:pPr>
        <w:pStyle w:val="Heading2"/>
        <w:spacing w:after="120" w:before="240"/>
      </w:pPr>
      <w:r>
        <w:rPr>
          <w:rFonts w:ascii="Microsoft YaHei" w:cs="Microsoft YaHei" w:eastAsia="Microsoft YaHei" w:hAnsi="Microsoft YaHei"/>
          <w:b/>
          <w:bCs/>
          <w:color w:val="2E75B6"/>
          <w:sz w:val="28"/>
          <w:szCs w:val="28"/>
        </w:rPr>
        <w:t xml:space="preserve">2.2 学术空白</w:t>
      </w:r>
    </w:p>
    <w:p>
      <w:pPr>
        <w:spacing w:after="60" w:before="60"/>
      </w:pPr>
      <w:r>
        <w:rPr>
          <w:rFonts w:ascii="Microsoft YaHei" w:cs="Microsoft YaHei" w:eastAsia="Microsoft YaHei" w:hAnsi="Microsoft YaHei"/>
          <w:b w:val="false"/>
          <w:bCs w:val="false"/>
          <w:i w:val="false"/>
          <w:iCs w:val="false"/>
          <w:sz w:val="22"/>
          <w:szCs w:val="22"/>
        </w:rPr>
        <w:t xml:space="preserve">一个自然的问题是：两种范式能否互补？具体而言——能否先用对比学习做 projector 的 warmup，再切换到生成式对齐做精细训练，从而在小数据下逼近大数据的效果？目前社区对此没有系统研究。零星工作（COSMIC、BLAP）尝试过结合，但：(1) 没有控制变量实验；(2) 没有 scaling 分析；(3) 没有机制解释。</w:t>
      </w:r>
    </w:p>
    <w:p>
      <w:pPr>
        <w:pStyle w:val="Heading2"/>
        <w:spacing w:after="120" w:before="240"/>
      </w:pPr>
      <w:r>
        <w:rPr>
          <w:rFonts w:ascii="Microsoft YaHei" w:cs="Microsoft YaHei" w:eastAsia="Microsoft YaHei" w:hAnsi="Microsoft YaHei"/>
          <w:b/>
          <w:bCs/>
          <w:color w:val="2E75B6"/>
          <w:sz w:val="28"/>
          <w:szCs w:val="28"/>
        </w:rPr>
        <w:t xml:space="preserve">2.3 我们的核心贡献</w:t>
      </w:r>
    </w:p>
    <w:p>
      <w:pPr>
        <w:pStyle w:val="ListParagraph"/>
        <w:numPr>
          <w:ilvl w:val="0"/>
          <w:numId w:val="2"/>
        </w:numPr>
        <w:spacing w:after="40" w:before="40"/>
      </w:pPr>
      <w:r>
        <w:rPr>
          <w:rFonts w:ascii="Microsoft YaHei" w:cs="Microsoft YaHei" w:eastAsia="Microsoft YaHei" w:hAnsi="Microsoft YaHei"/>
          <w:sz w:val="22"/>
          <w:szCs w:val="22"/>
        </w:rPr>
        <w:t xml:space="preserve">首次系统研究对比学习 warmup 在生成式对齐中的作用，提出 CoGen-Align 两阶段训练 recipe</w:t>
      </w:r>
    </w:p>
    <w:p>
      <w:pPr>
        <w:pStyle w:val="ListParagraph"/>
        <w:numPr>
          <w:ilvl w:val="0"/>
          <w:numId w:val="2"/>
        </w:numPr>
        <w:spacing w:after="40" w:before="40"/>
      </w:pPr>
      <w:r>
        <w:rPr>
          <w:rFonts w:ascii="Microsoft YaHei" w:cs="Microsoft YaHei" w:eastAsia="Microsoft YaHei" w:hAnsi="Microsoft YaHei"/>
          <w:sz w:val="22"/>
          <w:szCs w:val="22"/>
        </w:rPr>
        <w:t xml:space="preserve">通过 5×5 矩阵实验（warmup step × 生成式数据量）建立数据效率曲线，量化节省比例</w:t>
      </w:r>
    </w:p>
    <w:p>
      <w:pPr>
        <w:pStyle w:val="ListParagraph"/>
        <w:numPr>
          <w:ilvl w:val="0"/>
          <w:numId w:val="2"/>
        </w:numPr>
        <w:spacing w:after="40" w:before="40"/>
      </w:pPr>
      <w:r>
        <w:rPr>
          <w:rFonts w:ascii="Microsoft YaHei" w:cs="Microsoft YaHei" w:eastAsia="Microsoft YaHei" w:hAnsi="Microsoft YaHei"/>
          <w:sz w:val="22"/>
          <w:szCs w:val="22"/>
        </w:rPr>
        <w:t xml:space="preserve">在 3 种 projector 架构 × 3 种 LLM 尺寸上验证方法的普适性</w:t>
      </w:r>
    </w:p>
    <w:p>
      <w:pPr>
        <w:pStyle w:val="ListParagraph"/>
        <w:numPr>
          <w:ilvl w:val="0"/>
          <w:numId w:val="2"/>
        </w:numPr>
        <w:spacing w:after="40" w:before="40"/>
      </w:pPr>
      <w:r>
        <w:rPr>
          <w:rFonts w:ascii="Microsoft YaHei" w:cs="Microsoft YaHei" w:eastAsia="Microsoft YaHei" w:hAnsi="Microsoft YaHei"/>
          <w:sz w:val="22"/>
          <w:szCs w:val="22"/>
        </w:rPr>
        <w:t xml:space="preserve">通过表征几何、loss landscape、梯度分析揭示 warmup 为什么有效</w:t>
      </w:r>
    </w:p>
    <w:p>
      <w:r>
        <w:br w:type="page"/>
      </w:r>
    </w:p>
    <w:p>
      <w:pPr>
        <w:pStyle w:val="Heading1"/>
        <w:spacing w:after="120" w:before="240"/>
      </w:pPr>
      <w:r>
        <w:rPr>
          <w:rFonts w:ascii="Microsoft YaHei" w:cs="Microsoft YaHei" w:eastAsia="Microsoft YaHei" w:hAnsi="Microsoft YaHei"/>
          <w:b/>
          <w:bCs/>
          <w:color w:val="1F3864"/>
          <w:sz w:val="32"/>
          <w:szCs w:val="32"/>
        </w:rPr>
        <w:t xml:space="preserve">3. 方法设计</w:t>
      </w:r>
    </w:p>
    <w:p>
      <w:pPr>
        <w:pStyle w:val="Heading2"/>
        <w:spacing w:after="120" w:before="240"/>
      </w:pPr>
      <w:r>
        <w:rPr>
          <w:rFonts w:ascii="Microsoft YaHei" w:cs="Microsoft YaHei" w:eastAsia="Microsoft YaHei" w:hAnsi="Microsoft YaHei"/>
          <w:b/>
          <w:bCs/>
          <w:color w:val="2E75B6"/>
          <w:sz w:val="28"/>
          <w:szCs w:val="28"/>
        </w:rPr>
        <w:t xml:space="preserve">3.1 整体框架</w:t>
      </w:r>
    </w:p>
    <w:p>
      <w:pPr>
        <w:spacing w:after="60" w:before="60"/>
      </w:pPr>
      <w:r>
        <w:rPr>
          <w:rFonts w:ascii="Microsoft YaHei" w:cs="Microsoft YaHei" w:eastAsia="Microsoft YaHei" w:hAnsi="Microsoft YaHei"/>
          <w:b w:val="false"/>
          <w:bCs w:val="false"/>
          <w:i w:val="false"/>
          <w:iCs w:val="false"/>
          <w:sz w:val="22"/>
          <w:szCs w:val="22"/>
        </w:rPr>
        <w:t xml:space="preserve">CoGen-Align 包含两个训练阶段 + 一个可选的联合正则阶段。</w:t>
      </w:r>
    </w:p>
    <w:p>
      <w:pPr>
        <w:spacing w:after="60" w:before="60"/>
      </w:pPr>
      <w:r>
        <w:rPr>
          <w:rFonts w:ascii="Microsoft YaHei" w:cs="Microsoft YaHei" w:eastAsia="Microsoft YaHei" w:hAnsi="Microsoft YaHei"/>
          <w:b/>
          <w:bCs/>
          <w:i w:val="false"/>
          <w:iCs w:val="false"/>
          <w:sz w:val="22"/>
          <w:szCs w:val="22"/>
        </w:rPr>
        <w:t xml:space="preserve">Stage 1: Contrastive Warmup</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输入：同一批 &lt;audio, text&gt; 配对数据</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前向：Whisper-Enc(audio) → Projector → pooled z_a；LLM-Embed(text) → pooled z_t</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损失：InfoNCE(z_a, z_t)，in-batch 负样本 + 可选 hard negative mining</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更新：仅 Projector（Whisper 和 LLM 全部冻结）</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目标：让 projector 学会将 audio 表征投影到 LLM embedding 空间的对应语义位置</w:t>
      </w:r>
    </w:p>
    <w:p>
      <w:pPr>
        <w:spacing w:after="60" w:before="60"/>
      </w:pPr>
      <w:r>
        <w:rPr>
          <w:rFonts w:ascii="Microsoft YaHei" w:cs="Microsoft YaHei" w:eastAsia="Microsoft YaHei" w:hAnsi="Microsoft YaHei"/>
          <w:b/>
          <w:bCs/>
          <w:i w:val="false"/>
          <w:iCs w:val="false"/>
          <w:sz w:val="22"/>
          <w:szCs w:val="22"/>
        </w:rPr>
        <w:t xml:space="preserve">Stage 2: Generative Alignment</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输入：相同的 &lt;audio, text&gt; 配对数据</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前向：Whisper-Enc(audio) → Projector (init from Stage 1) → [soft prompt] → LLM → text</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损失：Cross-entropy on text tokens</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更新：Projector（继续训练）+ LLM LoRA (rank=64)</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目标：在 warmup 的良好初始化上做精细化生成式对齐</w:t>
      </w:r>
    </w:p>
    <w:p>
      <w:pPr>
        <w:spacing w:after="60" w:before="60"/>
      </w:pPr>
      <w:r>
        <w:rPr>
          <w:rFonts w:ascii="Microsoft YaHei" w:cs="Microsoft YaHei" w:eastAsia="Microsoft YaHei" w:hAnsi="Microsoft YaHei"/>
          <w:b/>
          <w:bCs/>
          <w:i w:val="false"/>
          <w:iCs w:val="false"/>
          <w:sz w:val="22"/>
          <w:szCs w:val="22"/>
        </w:rPr>
        <w:t xml:space="preserve">Optional Stage 2+: Joint Regularization</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在 Stage 2 中额外加入对比 loss 作为正则项：L_total = L_gen + λ · L_contrast</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λ ∈ {0, 0.1, 0.3, 0.5}，作为消融实验变量</w:t>
      </w:r>
    </w:p>
    <w:p>
      <w:pPr>
        <w:pStyle w:val="Heading2"/>
        <w:spacing w:after="120" w:before="240"/>
      </w:pPr>
      <w:r>
        <w:rPr>
          <w:rFonts w:ascii="Microsoft YaHei" w:cs="Microsoft YaHei" w:eastAsia="Microsoft YaHei" w:hAnsi="Microsoft YaHei"/>
          <w:b/>
          <w:bCs/>
          <w:color w:val="2E75B6"/>
          <w:sz w:val="28"/>
          <w:szCs w:val="28"/>
        </w:rPr>
        <w:t xml:space="preserve">3.2 核心科学问题</w:t>
      </w:r>
    </w:p>
    <w:p>
      <w:pPr>
        <w:spacing w:after="60" w:before="60"/>
      </w:pPr>
      <w:r>
        <w:rPr>
          <w:rFonts w:ascii="Microsoft YaHei" w:cs="Microsoft YaHei" w:eastAsia="Microsoft YaHei" w:hAnsi="Microsoft YaHei"/>
          <w:b/>
          <w:bCs/>
          <w:i w:val="false"/>
          <w:iCs w:val="false"/>
          <w:sz w:val="22"/>
          <w:szCs w:val="22"/>
        </w:rPr>
        <w:t xml:space="preserve">问题 1：对比学习 warmup 能节省多少生成式数据？</w:t>
      </w:r>
    </w:p>
    <w:p>
      <w:pPr>
        <w:spacing w:after="60" w:before="60"/>
      </w:pPr>
      <w:r>
        <w:rPr>
          <w:rFonts w:ascii="Microsoft YaHei" w:cs="Microsoft YaHei" w:eastAsia="Microsoft YaHei" w:hAnsi="Microsoft YaHei"/>
          <w:b w:val="false"/>
          <w:bCs w:val="false"/>
          <w:i w:val="false"/>
          <w:iCs w:val="false"/>
          <w:sz w:val="22"/>
          <w:szCs w:val="22"/>
        </w:rPr>
        <w:t xml:space="preserve">这是本项目的核心 claim。我们将在 5 个数据规模点（10h / 50h / 100h / 500h / 1000h）上对比有无 warmup 的性能，画出数据效率曲线。核心指标是：达到相同目标性能（如 LibriSpeech-clean WER=5%）所需的生成式数据量。</w:t>
      </w:r>
    </w:p>
    <w:p>
      <w:pPr>
        <w:spacing w:after="60" w:before="60"/>
      </w:pPr>
      <w:r>
        <w:rPr>
          <w:rFonts w:ascii="Microsoft YaHei" w:cs="Microsoft YaHei" w:eastAsia="Microsoft YaHei" w:hAnsi="Microsoft YaHei"/>
          <w:b/>
          <w:bCs/>
          <w:i w:val="false"/>
          <w:iCs w:val="false"/>
          <w:sz w:val="22"/>
          <w:szCs w:val="22"/>
        </w:rPr>
        <w:t xml:space="preserve">问题 2：Warmup 的最优剂量</w:t>
      </w:r>
    </w:p>
    <w:p>
      <w:pPr>
        <w:spacing w:after="60" w:before="60"/>
      </w:pPr>
      <w:r>
        <w:rPr>
          <w:rFonts w:ascii="Microsoft YaHei" w:cs="Microsoft YaHei" w:eastAsia="Microsoft YaHei" w:hAnsi="Microsoft YaHei"/>
          <w:b w:val="false"/>
          <w:bCs w:val="false"/>
          <w:i w:val="false"/>
          <w:iCs w:val="false"/>
          <w:sz w:val="22"/>
          <w:szCs w:val="22"/>
        </w:rPr>
        <w:t xml:space="preserve">Warmup 训练时间不够则对齐粗糙、warmup 过度则可能让模型陷入对比空间难以切换。我们将扫描 {0, 5k, 10k, 20k, 50k, 100k} warmup steps，找到 sweet spot 并分析原因。</w:t>
      </w:r>
    </w:p>
    <w:p>
      <w:pPr>
        <w:spacing w:after="60" w:before="60"/>
      </w:pPr>
      <w:r>
        <w:rPr>
          <w:rFonts w:ascii="Microsoft YaHei" w:cs="Microsoft YaHei" w:eastAsia="Microsoft YaHei" w:hAnsi="Microsoft YaHei"/>
          <w:b/>
          <w:bCs/>
          <w:i w:val="false"/>
          <w:iCs w:val="false"/>
          <w:sz w:val="22"/>
          <w:szCs w:val="22"/>
        </w:rPr>
        <w:t xml:space="preserve">问题 3：Warmup 为什么有效（机制分析）</w:t>
      </w:r>
    </w:p>
    <w:p>
      <w:pPr>
        <w:spacing w:after="60" w:before="60"/>
      </w:pPr>
      <w:r>
        <w:rPr>
          <w:rFonts w:ascii="Microsoft YaHei" w:cs="Microsoft YaHei" w:eastAsia="Microsoft YaHei" w:hAnsi="Microsoft YaHei"/>
          <w:b w:val="false"/>
          <w:bCs w:val="false"/>
          <w:i w:val="false"/>
          <w:iCs w:val="false"/>
          <w:sz w:val="22"/>
          <w:szCs w:val="22"/>
        </w:rPr>
        <w:t xml:space="preserve">这部分是论文从实验报告升级为有机制理解的科学研究的关键。我们将从三个角度分析：</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表征几何：projector 输出的 pairwise cosine similarity、anisotropy</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Loss landscape：warmup 是否让 Stage 2 起点处的 loss surface 更平滑</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梯度动态：warmup 后 Stage 2 训练的 gradient norm 和方向有何不同</w:t>
      </w:r>
    </w:p>
    <w:p>
      <w:pPr>
        <w:pStyle w:val="Heading2"/>
        <w:spacing w:after="120" w:before="240"/>
      </w:pPr>
      <w:r>
        <w:rPr>
          <w:rFonts w:ascii="Microsoft YaHei" w:cs="Microsoft YaHei" w:eastAsia="Microsoft YaHei" w:hAnsi="Microsoft YaHei"/>
          <w:b/>
          <w:bCs/>
          <w:color w:val="2E75B6"/>
          <w:sz w:val="28"/>
          <w:szCs w:val="28"/>
        </w:rPr>
        <w:t xml:space="preserve">3.3 关键创新点</w:t>
      </w:r>
    </w:p>
    <w:p>
      <w:pPr>
        <w:pStyle w:val="ListParagraph"/>
        <w:numPr>
          <w:ilvl w:val="0"/>
          <w:numId w:val="2"/>
        </w:numPr>
        <w:spacing w:after="40" w:before="40"/>
      </w:pPr>
      <w:r>
        <w:rPr>
          <w:rFonts w:ascii="Microsoft YaHei" w:cs="Microsoft YaHei" w:eastAsia="Microsoft YaHei" w:hAnsi="Microsoft YaHei"/>
          <w:sz w:val="22"/>
          <w:szCs w:val="22"/>
        </w:rPr>
        <w:t xml:space="preserve">系统化的两阶段训练 recipe：而非过去的零散尝试，提供完整的 recipe 和调优指南</w:t>
      </w:r>
    </w:p>
    <w:p>
      <w:pPr>
        <w:pStyle w:val="ListParagraph"/>
        <w:numPr>
          <w:ilvl w:val="0"/>
          <w:numId w:val="2"/>
        </w:numPr>
        <w:spacing w:after="40" w:before="40"/>
      </w:pPr>
      <w:r>
        <w:rPr>
          <w:rFonts w:ascii="Microsoft YaHei" w:cs="Microsoft YaHei" w:eastAsia="Microsoft YaHei" w:hAnsi="Microsoft YaHei"/>
          <w:sz w:val="22"/>
          <w:szCs w:val="22"/>
        </w:rPr>
        <w:t xml:space="preserve">数据效率的量化刻画：首次给出 warmup 节省 X% 数据 的定量结论</w:t>
      </w:r>
    </w:p>
    <w:p>
      <w:pPr>
        <w:pStyle w:val="ListParagraph"/>
        <w:numPr>
          <w:ilvl w:val="0"/>
          <w:numId w:val="2"/>
        </w:numPr>
        <w:spacing w:after="40" w:before="40"/>
      </w:pPr>
      <w:r>
        <w:rPr>
          <w:rFonts w:ascii="Microsoft YaHei" w:cs="Microsoft YaHei" w:eastAsia="Microsoft YaHei" w:hAnsi="Microsoft YaHei"/>
          <w:sz w:val="22"/>
          <w:szCs w:val="22"/>
        </w:rPr>
        <w:t xml:space="preserve">机制解释：从表征几何角度揭示 warmup 的本质作用，为后续工作提供理论指导</w:t>
      </w:r>
    </w:p>
    <w:p>
      <w:r>
        <w:br w:type="page"/>
      </w:r>
    </w:p>
    <w:p>
      <w:pPr>
        <w:pStyle w:val="Heading1"/>
        <w:spacing w:after="120" w:before="240"/>
      </w:pPr>
      <w:r>
        <w:rPr>
          <w:rFonts w:ascii="Microsoft YaHei" w:cs="Microsoft YaHei" w:eastAsia="Microsoft YaHei" w:hAnsi="Microsoft YaHei"/>
          <w:b/>
          <w:bCs/>
          <w:color w:val="1F3864"/>
          <w:sz w:val="32"/>
          <w:szCs w:val="32"/>
        </w:rPr>
        <w:t xml:space="preserve">4. 实验设计</w:t>
      </w:r>
    </w:p>
    <w:p>
      <w:pPr>
        <w:pStyle w:val="Heading2"/>
        <w:spacing w:after="120" w:before="240"/>
      </w:pPr>
      <w:r>
        <w:rPr>
          <w:rFonts w:ascii="Microsoft YaHei" w:cs="Microsoft YaHei" w:eastAsia="Microsoft YaHei" w:hAnsi="Microsoft YaHei"/>
          <w:b/>
          <w:bCs/>
          <w:color w:val="2E75B6"/>
          <w:sz w:val="28"/>
          <w:szCs w:val="28"/>
        </w:rPr>
        <w:t xml:space="preserve">4.1 主实验：数据效率曲线 (对应论文 Table 1)</w:t>
      </w:r>
    </w:p>
    <w:p>
      <w:pPr>
        <w:spacing w:after="100" w:before="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400"/>
        <w:gridCol w:w="31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ID</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方法</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Warmup</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Gen 数据</w:t>
            </w:r>
          </w:p>
        </w:tc>
        <w:tc>
          <w:tcPr>
            <w:tcW w:type="dxa" w:w="3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评测</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M.1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Vanilla Gen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10h</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WER, VoiceBench</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M.2</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Vanilla Gen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0</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100h</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WER, VoiceBench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M.3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Vanilla Gen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1000h</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WER, VoiceBench</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M.4</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CoGen (ours)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20k</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10h</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WER, VoiceBench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M.5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CoGen (ours)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20k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100h</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WER, VoiceBench</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M.6</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CoGen (ours)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20k</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1000h</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WER, VoiceBench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M.7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Contrastive only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50k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0</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WER, VoiceBench</w:t>
            </w:r>
          </w:p>
        </w:tc>
      </w:tr>
    </w:tbl>
    <w:p>
      <w:pPr>
        <w:spacing w:after="100" w:before="100"/>
      </w:pPr>
      <w:r>
        <w:t xml:space="preserve"/>
      </w:r>
    </w:p>
    <w:p>
      <w:pPr>
        <w:spacing w:after="60" w:before="60"/>
      </w:pPr>
      <w:r>
        <w:rPr>
          <w:rFonts w:ascii="Microsoft YaHei" w:cs="Microsoft YaHei" w:eastAsia="Microsoft YaHei" w:hAnsi="Microsoft YaHei"/>
          <w:b w:val="false"/>
          <w:bCs w:val="false"/>
          <w:i/>
          <w:iCs/>
          <w:sz w:val="22"/>
          <w:szCs w:val="22"/>
        </w:rPr>
        <w:t xml:space="preserve">这组实验产出论文的 killer chart——横轴生成式数据量（log scale），纵轴 WER，两条曲线对比有无 warmup 的差异。</w:t>
      </w:r>
    </w:p>
    <w:p>
      <w:pPr>
        <w:pStyle w:val="Heading2"/>
        <w:spacing w:after="120" w:before="240"/>
      </w:pPr>
      <w:r>
        <w:rPr>
          <w:rFonts w:ascii="Microsoft YaHei" w:cs="Microsoft YaHei" w:eastAsia="Microsoft YaHei" w:hAnsi="Microsoft YaHei"/>
          <w:b/>
          <w:bCs/>
          <w:color w:val="2E75B6"/>
          <w:sz w:val="28"/>
          <w:szCs w:val="28"/>
        </w:rPr>
        <w:t xml:space="preserve">4.2 核心消融 (对应论文 Table 2)</w:t>
      </w:r>
    </w:p>
    <w:p>
      <w:pPr>
        <w:spacing w:after="100" w:before="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27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ID</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变量</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固定条件</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目的</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Warmup steps: {0, 5k, 10k, 20k, 50k, 100k}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固定 Gen=100h</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找最优 warmup 量</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A.2</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λ (joint contrast): {0, 0.1, 0.3, 0.5}</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Warmup=20k, Gen=100h</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正则作用</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Warmup 数据量: {10h, 100h, 1000h}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固定 Gen=100h</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warmup 数据 scaling</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A.4</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Hard negative: {in-batch, BM25, semantic}</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其他固定</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对比技术影响</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Projector: {MLP, Q-Former, Subsampling}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Warmup=20k, Gen=100h</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通用性（projector）</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A.6</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LLM: {Qwen2.5-1B, 3B, 7B}</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Warmup=20k, Gen=100h</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通用性（LLM）</w:t>
            </w:r>
          </w:p>
        </w:tc>
      </w:tr>
    </w:tbl>
    <w:p>
      <w:pPr>
        <w:spacing w:after="100" w:before="100"/>
      </w:pPr>
      <w:r>
        <w:t xml:space="preserve"/>
      </w:r>
    </w:p>
    <w:p>
      <w:pPr>
        <w:pStyle w:val="Heading2"/>
        <w:spacing w:after="120" w:before="240"/>
      </w:pPr>
      <w:r>
        <w:rPr>
          <w:rFonts w:ascii="Microsoft YaHei" w:cs="Microsoft YaHei" w:eastAsia="Microsoft YaHei" w:hAnsi="Microsoft YaHei"/>
          <w:b/>
          <w:bCs/>
          <w:color w:val="2E75B6"/>
          <w:sz w:val="28"/>
          <w:szCs w:val="28"/>
        </w:rPr>
        <w:t xml:space="preserve">4.3 机制分析 (对应论文 Section 4)</w:t>
      </w:r>
    </w:p>
    <w:p>
      <w:pPr>
        <w:spacing w:after="100" w:before="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27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ID</w:t>
            </w:r>
          </w:p>
        </w:tc>
        <w:tc>
          <w:tcPr>
            <w:tcW w:type="dxa" w:w="5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内容</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产出图表</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AN.1</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Representation cosine similarity heatmap</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Warmup 前/后对比热图</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AN.2</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Anisotropy of speech embeddings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曲线 vs. 训练步数</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AN.3</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Loss landscape 2D slice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等高线图</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AN.4</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Gradient norm trajectory</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曲线图</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AN.5</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t-SNE of speech/text representations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散点图</w:t>
            </w:r>
          </w:p>
        </w:tc>
      </w:tr>
    </w:tbl>
    <w:p>
      <w:pPr>
        <w:spacing w:after="100" w:before="100"/>
      </w:pPr>
      <w:r>
        <w:t xml:space="preserve"/>
      </w:r>
    </w:p>
    <w:p>
      <w:pPr>
        <w:pStyle w:val="Heading2"/>
        <w:spacing w:after="120" w:before="240"/>
      </w:pPr>
      <w:r>
        <w:rPr>
          <w:rFonts w:ascii="Microsoft YaHei" w:cs="Microsoft YaHei" w:eastAsia="Microsoft YaHei" w:hAnsi="Microsoft YaHei"/>
          <w:b/>
          <w:bCs/>
          <w:color w:val="2E75B6"/>
          <w:sz w:val="28"/>
          <w:szCs w:val="28"/>
        </w:rPr>
        <w:t xml:space="preserve">4.4 评测指标</w:t>
      </w:r>
    </w:p>
    <w:p>
      <w:pPr>
        <w:pStyle w:val="ListParagraph"/>
        <w:numPr>
          <w:ilvl w:val="0"/>
          <w:numId w:val="3"/>
        </w:numPr>
        <w:spacing w:after="40" w:before="40"/>
      </w:pPr>
      <w:r>
        <w:rPr>
          <w:rFonts w:ascii="Microsoft YaHei" w:cs="Microsoft YaHei" w:eastAsia="Microsoft YaHei" w:hAnsi="Microsoft YaHei"/>
          <w:b/>
          <w:bCs/>
          <w:sz w:val="22"/>
          <w:szCs w:val="22"/>
        </w:rPr>
        <w:t xml:space="preserve">ASR：</w:t>
      </w:r>
      <w:r>
        <w:rPr>
          <w:rFonts w:ascii="Microsoft YaHei" w:cs="Microsoft YaHei" w:eastAsia="Microsoft YaHei" w:hAnsi="Microsoft YaHei"/>
          <w:b w:val="false"/>
          <w:bCs w:val="false"/>
          <w:sz w:val="22"/>
          <w:szCs w:val="22"/>
        </w:rPr>
        <w:t xml:space="preserve">LibriSpeech clean/other WER（英文），AIShell-1/2 CER（中文）</w:t>
      </w:r>
    </w:p>
    <w:p>
      <w:pPr>
        <w:pStyle w:val="ListParagraph"/>
        <w:numPr>
          <w:ilvl w:val="0"/>
          <w:numId w:val="3"/>
        </w:numPr>
        <w:spacing w:after="40" w:before="40"/>
      </w:pPr>
      <w:r>
        <w:rPr>
          <w:rFonts w:ascii="Microsoft YaHei" w:cs="Microsoft YaHei" w:eastAsia="Microsoft YaHei" w:hAnsi="Microsoft YaHei"/>
          <w:b/>
          <w:bCs/>
          <w:sz w:val="22"/>
          <w:szCs w:val="22"/>
        </w:rPr>
        <w:t xml:space="preserve">语音问答：</w:t>
      </w:r>
      <w:r>
        <w:rPr>
          <w:rFonts w:ascii="Microsoft YaHei" w:cs="Microsoft YaHei" w:eastAsia="Microsoft YaHei" w:hAnsi="Microsoft YaHei"/>
          <w:b w:val="false"/>
          <w:bCs w:val="false"/>
          <w:sz w:val="22"/>
          <w:szCs w:val="22"/>
        </w:rPr>
        <w:t xml:space="preserve">VoiceBench、AIR-Bench 子集</w:t>
      </w:r>
    </w:p>
    <w:p>
      <w:pPr>
        <w:pStyle w:val="ListParagraph"/>
        <w:numPr>
          <w:ilvl w:val="0"/>
          <w:numId w:val="3"/>
        </w:numPr>
        <w:spacing w:after="40" w:before="40"/>
      </w:pPr>
      <w:r>
        <w:rPr>
          <w:rFonts w:ascii="Microsoft YaHei" w:cs="Microsoft YaHei" w:eastAsia="Microsoft YaHei" w:hAnsi="Microsoft YaHei"/>
          <w:b/>
          <w:bCs/>
          <w:sz w:val="22"/>
          <w:szCs w:val="22"/>
        </w:rPr>
        <w:t xml:space="preserve">指令遵循：</w:t>
      </w:r>
      <w:r>
        <w:rPr>
          <w:rFonts w:ascii="Microsoft YaHei" w:cs="Microsoft YaHei" w:eastAsia="Microsoft YaHei" w:hAnsi="Microsoft YaHei"/>
          <w:b w:val="false"/>
          <w:bCs w:val="false"/>
          <w:sz w:val="22"/>
          <w:szCs w:val="22"/>
        </w:rPr>
        <w:t xml:space="preserve">URO-Bench（win rate vs. GPT-4）</w:t>
      </w:r>
    </w:p>
    <w:p>
      <w:pPr>
        <w:pStyle w:val="ListParagraph"/>
        <w:numPr>
          <w:ilvl w:val="0"/>
          <w:numId w:val="3"/>
        </w:numPr>
        <w:spacing w:after="40" w:before="40"/>
      </w:pPr>
      <w:r>
        <w:rPr>
          <w:rFonts w:ascii="Microsoft YaHei" w:cs="Microsoft YaHei" w:eastAsia="Microsoft YaHei" w:hAnsi="Microsoft YaHei"/>
          <w:b/>
          <w:bCs/>
          <w:sz w:val="22"/>
          <w:szCs w:val="22"/>
        </w:rPr>
        <w:t xml:space="preserve">收敛速度：</w:t>
      </w:r>
      <w:r>
        <w:rPr>
          <w:rFonts w:ascii="Microsoft YaHei" w:cs="Microsoft YaHei" w:eastAsia="Microsoft YaHei" w:hAnsi="Microsoft YaHei"/>
          <w:b w:val="false"/>
          <w:bCs w:val="false"/>
          <w:sz w:val="22"/>
          <w:szCs w:val="22"/>
        </w:rPr>
        <w:t xml:space="preserve">达到目标 WER 所需的训练步数（强化数据效率 claim）</w:t>
      </w:r>
    </w:p>
    <w:p>
      <w:r>
        <w:br w:type="page"/>
      </w:r>
    </w:p>
    <w:p>
      <w:pPr>
        <w:pStyle w:val="Heading1"/>
        <w:spacing w:after="120" w:before="240"/>
      </w:pPr>
      <w:r>
        <w:rPr>
          <w:rFonts w:ascii="Microsoft YaHei" w:cs="Microsoft YaHei" w:eastAsia="Microsoft YaHei" w:hAnsi="Microsoft YaHei"/>
          <w:b/>
          <w:bCs/>
          <w:color w:val="1F3864"/>
          <w:sz w:val="32"/>
          <w:szCs w:val="32"/>
        </w:rPr>
        <w:t xml:space="preserve">5. 时间规划 (12 周)</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16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时间</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里程碑</w:t>
            </w:r>
          </w:p>
        </w:tc>
        <w:tc>
          <w:tcPr>
            <w:tcW w:type="dxa" w:w="5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交付物</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Week 1-2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Pipeline 搭建</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Whisper + Qwen2.5-7B + MLP 的 vanilla 生成式对齐跑通</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Week 3-4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Stage 1 实现</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InfoNCE + hard negative mining，warmup 收敛，t-SNE 可视化</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Week 5-6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核心实验（主图）</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完成 Exp 1 (warmup 扫描) + Exp 2 (数据量扫描)，产出 killer chart</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Week 7-8</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消融实验</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Exp 3 (λ 扫描) + Exp 4 (hard neg) + Exp 5 (projector)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Week 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Scaling 实验</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Exp 6 (LLM size)，验证 1B / 3B / 7B 上普适性</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Week 10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机制分析</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t-SNE + 表征几何 + loss landscape + gradient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Week 11-12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论文写作</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初稿 + 图表 + 消融完善 + 投稿</w:t>
            </w:r>
          </w:p>
        </w:tc>
      </w:tr>
    </w:tbl>
    <w:p>
      <w:pPr>
        <w:spacing w:after="100" w:before="100"/>
      </w:pPr>
      <w:r>
        <w:t xml:space="preserve"/>
      </w:r>
    </w:p>
    <w:p>
      <w:pPr>
        <w:pStyle w:val="Heading1"/>
        <w:spacing w:after="120" w:before="240"/>
      </w:pPr>
      <w:r>
        <w:rPr>
          <w:rFonts w:ascii="Microsoft YaHei" w:cs="Microsoft YaHei" w:eastAsia="Microsoft YaHei" w:hAnsi="Microsoft YaHei"/>
          <w:b/>
          <w:bCs/>
          <w:color w:val="1F3864"/>
          <w:sz w:val="32"/>
          <w:szCs w:val="32"/>
        </w:rPr>
        <w:t xml:space="preserve">6. 风险分析与应对</w:t>
      </w:r>
    </w:p>
    <w:p>
      <w:pPr>
        <w:pStyle w:val="Heading2"/>
        <w:spacing w:after="120" w:before="240"/>
      </w:pPr>
      <w:r>
        <w:rPr>
          <w:rFonts w:ascii="Microsoft YaHei" w:cs="Microsoft YaHei" w:eastAsia="Microsoft YaHei" w:hAnsi="Microsoft YaHei"/>
          <w:b/>
          <w:bCs/>
          <w:color w:val="2E75B6"/>
          <w:sz w:val="28"/>
          <w:szCs w:val="28"/>
        </w:rPr>
        <w:t xml:space="preserve">6.1 技术风险</w:t>
      </w:r>
    </w:p>
    <w:p>
      <w:pPr>
        <w:pStyle w:val="ListParagraph"/>
        <w:numPr>
          <w:ilvl w:val="0"/>
          <w:numId w:val="3"/>
        </w:numPr>
        <w:spacing w:after="40" w:before="40"/>
      </w:pPr>
      <w:r>
        <w:rPr>
          <w:rFonts w:ascii="Microsoft YaHei" w:cs="Microsoft YaHei" w:eastAsia="Microsoft YaHei" w:hAnsi="Microsoft YaHei"/>
          <w:b/>
          <w:bCs/>
          <w:sz w:val="22"/>
          <w:szCs w:val="22"/>
        </w:rPr>
        <w:t xml:space="preserve">风险 1：Warmup 效果不明显。</w:t>
      </w:r>
      <w:r>
        <w:rPr>
          <w:rFonts w:ascii="Microsoft YaHei" w:cs="Microsoft YaHei" w:eastAsia="Microsoft YaHei" w:hAnsi="Microsoft YaHei"/>
          <w:b w:val="false"/>
          <w:bCs w:val="false"/>
          <w:sz w:val="22"/>
          <w:szCs w:val="22"/>
        </w:rPr>
        <w:t xml:space="preserve">若 warmup 的数据效率提升不到 20%，论文 claim 不够强。应对：(a) 尝试更难的负样本；(b) 降低生成式数据量到极小规模（1h, 5h），在小数据场景 warmup 的作用会被放大；(c) 即使效果一般，机制分析部分仍可成立，可以改投 findings。</w:t>
      </w:r>
    </w:p>
    <w:p>
      <w:pPr>
        <w:pStyle w:val="ListParagraph"/>
        <w:numPr>
          <w:ilvl w:val="0"/>
          <w:numId w:val="3"/>
        </w:numPr>
        <w:spacing w:after="40" w:before="40"/>
      </w:pPr>
      <w:r>
        <w:rPr>
          <w:rFonts w:ascii="Microsoft YaHei" w:cs="Microsoft YaHei" w:eastAsia="Microsoft YaHei" w:hAnsi="Microsoft YaHei"/>
          <w:b/>
          <w:bCs/>
          <w:sz w:val="22"/>
          <w:szCs w:val="22"/>
        </w:rPr>
        <w:t xml:space="preserve">风险 2：不同 projector/LLM 上结论不一致。</w:t>
      </w:r>
      <w:r>
        <w:rPr>
          <w:rFonts w:ascii="Microsoft YaHei" w:cs="Microsoft YaHei" w:eastAsia="Microsoft YaHei" w:hAnsi="Microsoft YaHei"/>
          <w:b w:val="false"/>
          <w:bCs w:val="false"/>
          <w:sz w:val="22"/>
          <w:szCs w:val="22"/>
        </w:rPr>
        <w:t xml:space="preserve">若普适性实验结果分叉，论文说服力下降。应对：(a) 聚焦最常见的 MLP projector + Qwen2.5-7B 组合，其他作为 limitation 讨论；(b) 尝试解释分叉原因（可能是 LLM embedding 空间几何差异）。</w:t>
      </w:r>
    </w:p>
    <w:p>
      <w:pPr>
        <w:pStyle w:val="ListParagraph"/>
        <w:numPr>
          <w:ilvl w:val="0"/>
          <w:numId w:val="3"/>
        </w:numPr>
        <w:spacing w:after="40" w:before="40"/>
      </w:pPr>
      <w:r>
        <w:rPr>
          <w:rFonts w:ascii="Microsoft YaHei" w:cs="Microsoft YaHei" w:eastAsia="Microsoft YaHei" w:hAnsi="Microsoft YaHei"/>
          <w:b/>
          <w:bCs/>
          <w:sz w:val="22"/>
          <w:szCs w:val="22"/>
        </w:rPr>
        <w:t xml:space="preserve">风险 3：机制分析部分工作量大。</w:t>
      </w:r>
      <w:r>
        <w:rPr>
          <w:rFonts w:ascii="Microsoft YaHei" w:cs="Microsoft YaHei" w:eastAsia="Microsoft YaHei" w:hAnsi="Microsoft YaHei"/>
          <w:b w:val="false"/>
          <w:bCs w:val="false"/>
          <w:sz w:val="22"/>
          <w:szCs w:val="22"/>
        </w:rPr>
        <w:t xml:space="preserve">Loss landscape 可视化、anisotropy 分析都耗时。应对：作为次要任务，至少完成 t-SNE 和 cosine similarity，其他视时间补充。</w:t>
      </w:r>
    </w:p>
    <w:p>
      <w:pPr>
        <w:pStyle w:val="Heading2"/>
        <w:spacing w:after="120" w:before="240"/>
      </w:pPr>
      <w:r>
        <w:rPr>
          <w:rFonts w:ascii="Microsoft YaHei" w:cs="Microsoft YaHei" w:eastAsia="Microsoft YaHei" w:hAnsi="Microsoft YaHei"/>
          <w:b/>
          <w:bCs/>
          <w:color w:val="2E75B6"/>
          <w:sz w:val="28"/>
          <w:szCs w:val="28"/>
        </w:rPr>
        <w:t xml:space="preserve">6.2 资源风险</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8×L20 对 Qwen2.5-7B + LoRA 训练充足，LoRA rank=64 可控 VRAM 在 40GB 内</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1000h 数据对齐训练预计 3-5 天，6 组主实验约 3 周，时间充分</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评测数据 LibriSpeech / VoiceBench / URO-Bench 均公开，无授权风险</w:t>
      </w:r>
    </w:p>
    <w:p>
      <w:r>
        <w:br w:type="page"/>
      </w:r>
    </w:p>
    <w:p>
      <w:pPr>
        <w:pStyle w:val="Heading1"/>
        <w:spacing w:after="120" w:before="240"/>
      </w:pPr>
      <w:r>
        <w:rPr>
          <w:rFonts w:ascii="Microsoft YaHei" w:cs="Microsoft YaHei" w:eastAsia="Microsoft YaHei" w:hAnsi="Microsoft YaHei"/>
          <w:b/>
          <w:bCs/>
          <w:color w:val="1F3864"/>
          <w:sz w:val="32"/>
          <w:szCs w:val="32"/>
        </w:rPr>
        <w:t xml:space="preserve">7. Baseline 选择与相关工作</w:t>
      </w:r>
    </w:p>
    <w:p>
      <w:pPr>
        <w:pStyle w:val="Heading2"/>
        <w:spacing w:after="120" w:before="240"/>
      </w:pPr>
      <w:r>
        <w:rPr>
          <w:rFonts w:ascii="Microsoft YaHei" w:cs="Microsoft YaHei" w:eastAsia="Microsoft YaHei" w:hAnsi="Microsoft YaHei"/>
          <w:b/>
          <w:bCs/>
          <w:color w:val="2E75B6"/>
          <w:sz w:val="28"/>
          <w:szCs w:val="28"/>
        </w:rPr>
        <w:t xml:space="preserve">7.1 Baseline 选择</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基线</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用途</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center"/>
            </w:pPr>
            <w:r>
              <w:rPr>
                <w:rFonts w:ascii="Microsoft YaHei" w:cs="Microsoft YaHei" w:eastAsia="Microsoft YaHei" w:hAnsi="Microsoft YaHei"/>
                <w:b/>
                <w:bCs/>
                <w:color w:val="FFFFFF"/>
                <w:sz w:val="20"/>
                <w:szCs w:val="20"/>
              </w:rPr>
              <w:t xml:space="preserve">说明</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SLAM-LLM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主对标基线</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开源、方法相近、可精确控制变量</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Qwen2-Audio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上界参考</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工业级训练，展示性能天花板的位置</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纯对比学习 (CLAP-style)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必做基线</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证明单独对比学习不够</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纯生成式 (no warmup)</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核心对照</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差异化来源，每个实验都要配对</w:t>
            </w:r>
          </w:p>
        </w:tc>
      </w:tr>
    </w:tbl>
    <w:p>
      <w:pPr>
        <w:spacing w:after="100" w:before="100"/>
      </w:pPr>
      <w:r>
        <w:t xml:space="preserve"/>
      </w:r>
    </w:p>
    <w:p>
      <w:pPr>
        <w:pStyle w:val="Heading2"/>
        <w:spacing w:after="120" w:before="240"/>
      </w:pPr>
      <w:r>
        <w:rPr>
          <w:rFonts w:ascii="Microsoft YaHei" w:cs="Microsoft YaHei" w:eastAsia="Microsoft YaHei" w:hAnsi="Microsoft YaHei"/>
          <w:b/>
          <w:bCs/>
          <w:color w:val="2E75B6"/>
          <w:sz w:val="28"/>
          <w:szCs w:val="28"/>
        </w:rPr>
        <w:t xml:space="preserve">7.2 关键技术选型</w:t>
      </w:r>
    </w:p>
    <w:p>
      <w:pPr>
        <w:pStyle w:val="ListParagraph"/>
        <w:numPr>
          <w:ilvl w:val="0"/>
          <w:numId w:val="3"/>
        </w:numPr>
        <w:spacing w:after="40" w:before="40"/>
      </w:pPr>
      <w:r>
        <w:rPr>
          <w:rFonts w:ascii="Microsoft YaHei" w:cs="Microsoft YaHei" w:eastAsia="Microsoft YaHei" w:hAnsi="Microsoft YaHei"/>
          <w:b/>
          <w:bCs/>
          <w:sz w:val="22"/>
          <w:szCs w:val="22"/>
        </w:rPr>
        <w:t xml:space="preserve">Encoder：</w:t>
      </w:r>
      <w:r>
        <w:rPr>
          <w:rFonts w:ascii="Microsoft YaHei" w:cs="Microsoft YaHei" w:eastAsia="Microsoft YaHei" w:hAnsi="Microsoft YaHei"/>
          <w:b w:val="false"/>
          <w:bCs w:val="false"/>
          <w:sz w:val="22"/>
          <w:szCs w:val="22"/>
        </w:rPr>
        <w:t xml:space="preserve">Whisper-large-v3 (1.55B)，固定不变，控制变量</w:t>
      </w:r>
    </w:p>
    <w:p>
      <w:pPr>
        <w:pStyle w:val="ListParagraph"/>
        <w:numPr>
          <w:ilvl w:val="0"/>
          <w:numId w:val="3"/>
        </w:numPr>
        <w:spacing w:after="40" w:before="40"/>
      </w:pPr>
      <w:r>
        <w:rPr>
          <w:rFonts w:ascii="Microsoft YaHei" w:cs="Microsoft YaHei" w:eastAsia="Microsoft YaHei" w:hAnsi="Microsoft YaHei"/>
          <w:b/>
          <w:bCs/>
          <w:sz w:val="22"/>
          <w:szCs w:val="22"/>
        </w:rPr>
        <w:t xml:space="preserve">LLM：</w:t>
      </w:r>
      <w:r>
        <w:rPr>
          <w:rFonts w:ascii="Microsoft YaHei" w:cs="Microsoft YaHei" w:eastAsia="Microsoft YaHei" w:hAnsi="Microsoft YaHei"/>
          <w:b w:val="false"/>
          <w:bCs w:val="false"/>
          <w:sz w:val="22"/>
          <w:szCs w:val="22"/>
        </w:rPr>
        <w:t xml:space="preserve">主实验用 Qwen2.5-7B（中英文评测友好），消融补 1B / 3B</w:t>
      </w:r>
    </w:p>
    <w:p>
      <w:pPr>
        <w:pStyle w:val="ListParagraph"/>
        <w:numPr>
          <w:ilvl w:val="0"/>
          <w:numId w:val="3"/>
        </w:numPr>
        <w:spacing w:after="40" w:before="40"/>
      </w:pPr>
      <w:r>
        <w:rPr>
          <w:rFonts w:ascii="Microsoft YaHei" w:cs="Microsoft YaHei" w:eastAsia="Microsoft YaHei" w:hAnsi="Microsoft YaHei"/>
          <w:b/>
          <w:bCs/>
          <w:sz w:val="22"/>
          <w:szCs w:val="22"/>
        </w:rPr>
        <w:t xml:space="preserve">Projector：</w:t>
      </w:r>
      <w:r>
        <w:rPr>
          <w:rFonts w:ascii="Microsoft YaHei" w:cs="Microsoft YaHei" w:eastAsia="Microsoft YaHei" w:hAnsi="Microsoft YaHei"/>
          <w:b w:val="false"/>
          <w:bCs w:val="false"/>
          <w:sz w:val="22"/>
          <w:szCs w:val="22"/>
        </w:rPr>
        <w:t xml:space="preserve">主用 2-layer MLP + 5× subsampling（简单、可控），消融补 Q-Former</w:t>
      </w:r>
    </w:p>
    <w:p>
      <w:pPr>
        <w:pStyle w:val="ListParagraph"/>
        <w:numPr>
          <w:ilvl w:val="0"/>
          <w:numId w:val="3"/>
        </w:numPr>
        <w:spacing w:after="40" w:before="40"/>
      </w:pPr>
      <w:r>
        <w:rPr>
          <w:rFonts w:ascii="Microsoft YaHei" w:cs="Microsoft YaHei" w:eastAsia="Microsoft YaHei" w:hAnsi="Microsoft YaHei"/>
          <w:b/>
          <w:bCs/>
          <w:sz w:val="22"/>
          <w:szCs w:val="22"/>
        </w:rPr>
        <w:t xml:space="preserve">微调策略：</w:t>
      </w:r>
      <w:r>
        <w:rPr>
          <w:rFonts w:ascii="Microsoft YaHei" w:cs="Microsoft YaHei" w:eastAsia="Microsoft YaHei" w:hAnsi="Microsoft YaHei"/>
          <w:b w:val="false"/>
          <w:bCs w:val="false"/>
          <w:sz w:val="22"/>
          <w:szCs w:val="22"/>
        </w:rPr>
        <w:t xml:space="preserve">LoRA rank=64，平衡能力与显存</w:t>
      </w:r>
    </w:p>
    <w:p>
      <w:pPr>
        <w:pStyle w:val="Heading2"/>
        <w:spacing w:after="120" w:before="240"/>
      </w:pPr>
      <w:r>
        <w:rPr>
          <w:rFonts w:ascii="Microsoft YaHei" w:cs="Microsoft YaHei" w:eastAsia="Microsoft YaHei" w:hAnsi="Microsoft YaHei"/>
          <w:b/>
          <w:bCs/>
          <w:color w:val="2E75B6"/>
          <w:sz w:val="28"/>
          <w:szCs w:val="28"/>
        </w:rPr>
        <w:t xml:space="preserve">7.3 核心阅读清单</w:t>
      </w:r>
    </w:p>
    <w:p>
      <w:pPr>
        <w:spacing w:after="60" w:before="60"/>
      </w:pPr>
      <w:r>
        <w:rPr>
          <w:rFonts w:ascii="Microsoft YaHei" w:cs="Microsoft YaHei" w:eastAsia="Microsoft YaHei" w:hAnsi="Microsoft YaHei"/>
          <w:b/>
          <w:bCs/>
          <w:i w:val="false"/>
          <w:iCs w:val="false"/>
          <w:sz w:val="22"/>
          <w:szCs w:val="22"/>
        </w:rPr>
        <w:t xml:space="preserve">P0（第一周完成）：</w:t>
      </w:r>
    </w:p>
    <w:p>
      <w:pPr>
        <w:pStyle w:val="ListParagraph"/>
        <w:numPr>
          <w:ilvl w:val="0"/>
          <w:numId w:val="2"/>
        </w:numPr>
        <w:spacing w:after="40" w:before="40"/>
      </w:pPr>
      <w:r>
        <w:rPr>
          <w:rFonts w:ascii="Microsoft YaHei" w:cs="Microsoft YaHei" w:eastAsia="Microsoft YaHei" w:hAnsi="Microsoft YaHei"/>
          <w:sz w:val="22"/>
          <w:szCs w:val="22"/>
        </w:rPr>
        <w:t xml:space="preserve">CLAP (Wu et al., ICASSP 2023) —— 对比学习 audio-text 代表</w:t>
      </w:r>
    </w:p>
    <w:p>
      <w:pPr>
        <w:pStyle w:val="ListParagraph"/>
        <w:numPr>
          <w:ilvl w:val="0"/>
          <w:numId w:val="2"/>
        </w:numPr>
        <w:spacing w:after="40" w:before="40"/>
      </w:pPr>
      <w:r>
        <w:rPr>
          <w:rFonts w:ascii="Microsoft YaHei" w:cs="Microsoft YaHei" w:eastAsia="Microsoft YaHei" w:hAnsi="Microsoft YaHei"/>
          <w:sz w:val="22"/>
          <w:szCs w:val="22"/>
        </w:rPr>
        <w:t xml:space="preserve">SpeechCLIP (Shih et al., SLT 2022) —— speech-text 对比对齐</w:t>
      </w:r>
    </w:p>
    <w:p>
      <w:pPr>
        <w:pStyle w:val="ListParagraph"/>
        <w:numPr>
          <w:ilvl w:val="0"/>
          <w:numId w:val="2"/>
        </w:numPr>
        <w:spacing w:after="40" w:before="40"/>
      </w:pPr>
      <w:r>
        <w:rPr>
          <w:rFonts w:ascii="Microsoft YaHei" w:cs="Microsoft YaHei" w:eastAsia="Microsoft YaHei" w:hAnsi="Microsoft YaHei"/>
          <w:sz w:val="22"/>
          <w:szCs w:val="22"/>
        </w:rPr>
        <w:t xml:space="preserve">SLAM-LLM (Wang et al., 2024) —— 核心对标 baseline</w:t>
      </w:r>
    </w:p>
    <w:p>
      <w:pPr>
        <w:pStyle w:val="ListParagraph"/>
        <w:numPr>
          <w:ilvl w:val="0"/>
          <w:numId w:val="2"/>
        </w:numPr>
        <w:spacing w:after="40" w:before="40"/>
      </w:pPr>
      <w:r>
        <w:rPr>
          <w:rFonts w:ascii="Microsoft YaHei" w:cs="Microsoft YaHei" w:eastAsia="Microsoft YaHei" w:hAnsi="Microsoft YaHei"/>
          <w:sz w:val="22"/>
          <w:szCs w:val="22"/>
        </w:rPr>
        <w:t xml:space="preserve">SALMONN (Tang et al., ICLR 2024) —— 生成式对齐代表</w:t>
      </w:r>
    </w:p>
    <w:p>
      <w:pPr>
        <w:pStyle w:val="ListParagraph"/>
        <w:numPr>
          <w:ilvl w:val="0"/>
          <w:numId w:val="2"/>
        </w:numPr>
        <w:spacing w:after="40" w:before="40"/>
      </w:pPr>
      <w:r>
        <w:rPr>
          <w:rFonts w:ascii="Microsoft YaHei" w:cs="Microsoft YaHei" w:eastAsia="Microsoft YaHei" w:hAnsi="Microsoft YaHei"/>
          <w:sz w:val="22"/>
          <w:szCs w:val="22"/>
        </w:rPr>
        <w:t xml:space="preserve">Qwen2-Audio (Chu et al., 2024) —— 工业标杆</w:t>
      </w:r>
    </w:p>
    <w:p>
      <w:pPr>
        <w:spacing w:after="60" w:before="60"/>
      </w:pPr>
      <w:r>
        <w:rPr>
          <w:rFonts w:ascii="Microsoft YaHei" w:cs="Microsoft YaHei" w:eastAsia="Microsoft YaHei" w:hAnsi="Microsoft YaHei"/>
          <w:b/>
          <w:bCs/>
          <w:i w:val="false"/>
          <w:iCs w:val="false"/>
          <w:sz w:val="22"/>
          <w:szCs w:val="22"/>
        </w:rPr>
        <w:t xml:space="preserve">P1（第二周完成）：</w:t>
      </w:r>
    </w:p>
    <w:p>
      <w:pPr>
        <w:pStyle w:val="ListParagraph"/>
        <w:numPr>
          <w:ilvl w:val="0"/>
          <w:numId w:val="2"/>
        </w:numPr>
        <w:spacing w:after="40" w:before="40"/>
      </w:pPr>
      <w:r>
        <w:rPr>
          <w:rFonts w:ascii="Microsoft YaHei" w:cs="Microsoft YaHei" w:eastAsia="Microsoft YaHei" w:hAnsi="Microsoft YaHei"/>
          <w:sz w:val="22"/>
          <w:szCs w:val="22"/>
        </w:rPr>
        <w:t xml:space="preserve">MiDashengLM (小米, 2025) —— Audio Caption 对齐新思路</w:t>
      </w:r>
    </w:p>
    <w:p>
      <w:pPr>
        <w:pStyle w:val="ListParagraph"/>
        <w:numPr>
          <w:ilvl w:val="0"/>
          <w:numId w:val="2"/>
        </w:numPr>
        <w:spacing w:after="40" w:before="40"/>
      </w:pPr>
      <w:r>
        <w:rPr>
          <w:rFonts w:ascii="Microsoft YaHei" w:cs="Microsoft YaHei" w:eastAsia="Microsoft YaHei" w:hAnsi="Microsoft YaHei"/>
          <w:sz w:val="22"/>
          <w:szCs w:val="22"/>
        </w:rPr>
        <w:t xml:space="preserve">LLaMA-Omni (Fang et al., 2024) —— projector 设计参考</w:t>
      </w:r>
    </w:p>
    <w:p>
      <w:pPr>
        <w:pStyle w:val="ListParagraph"/>
        <w:numPr>
          <w:ilvl w:val="0"/>
          <w:numId w:val="2"/>
        </w:numPr>
        <w:spacing w:after="40" w:before="40"/>
      </w:pPr>
      <w:r>
        <w:rPr>
          <w:rFonts w:ascii="Microsoft YaHei" w:cs="Microsoft YaHei" w:eastAsia="Microsoft YaHei" w:hAnsi="Microsoft YaHei"/>
          <w:sz w:val="22"/>
          <w:szCs w:val="22"/>
        </w:rPr>
        <w:t xml:space="preserve">COSMIC (Huang et al., 2023) —— 对比+生成结合的早期探索</w:t>
      </w:r>
    </w:p>
    <w:p>
      <w:pPr>
        <w:pStyle w:val="ListParagraph"/>
        <w:numPr>
          <w:ilvl w:val="0"/>
          <w:numId w:val="2"/>
        </w:numPr>
        <w:spacing w:after="40" w:before="40"/>
      </w:pPr>
      <w:r>
        <w:rPr>
          <w:rFonts w:ascii="Microsoft YaHei" w:cs="Microsoft YaHei" w:eastAsia="Microsoft YaHei" w:hAnsi="Microsoft YaHei"/>
          <w:sz w:val="22"/>
          <w:szCs w:val="22"/>
        </w:rPr>
        <w:t xml:space="preserve">BLIP / BLIP-2 (Li et al., 2022/2023) —— 视觉对齐方法论，可迁移</w:t>
      </w:r>
    </w:p>
    <w:p>
      <w:pPr>
        <w:pStyle w:val="ListParagraph"/>
        <w:numPr>
          <w:ilvl w:val="0"/>
          <w:numId w:val="2"/>
        </w:numPr>
        <w:spacing w:after="40" w:before="40"/>
      </w:pPr>
      <w:r>
        <w:rPr>
          <w:rFonts w:ascii="Microsoft YaHei" w:cs="Microsoft YaHei" w:eastAsia="Microsoft YaHei" w:hAnsi="Microsoft YaHei"/>
          <w:sz w:val="22"/>
          <w:szCs w:val="22"/>
        </w:rPr>
        <w:t xml:space="preserve">Flamingo (Alayrac et al., NeurIPS 2022) —— 跨模态对齐经典</w:t>
      </w:r>
    </w:p>
    <w:p>
      <w:pPr>
        <w:spacing w:after="60" w:before="60"/>
      </w:pPr>
      <w:r>
        <w:rPr>
          <w:rFonts w:ascii="Microsoft YaHei" w:cs="Microsoft YaHei" w:eastAsia="Microsoft YaHei" w:hAnsi="Microsoft YaHei"/>
          <w:b/>
          <w:bCs/>
          <w:i w:val="false"/>
          <w:iCs w:val="false"/>
          <w:sz w:val="22"/>
          <w:szCs w:val="22"/>
        </w:rPr>
        <w:t xml:space="preserve">P2（背景补充）：</w:t>
      </w:r>
    </w:p>
    <w:p>
      <w:pPr>
        <w:pStyle w:val="ListParagraph"/>
        <w:numPr>
          <w:ilvl w:val="0"/>
          <w:numId w:val="2"/>
        </w:numPr>
        <w:spacing w:after="40" w:before="40"/>
      </w:pPr>
      <w:r>
        <w:rPr>
          <w:rFonts w:ascii="Microsoft YaHei" w:cs="Microsoft YaHei" w:eastAsia="Microsoft YaHei" w:hAnsi="Microsoft YaHei"/>
          <w:sz w:val="22"/>
          <w:szCs w:val="22"/>
        </w:rPr>
        <w:t xml:space="preserve">Whisper (Radford et al., 2023)</w:t>
      </w:r>
    </w:p>
    <w:p>
      <w:pPr>
        <w:pStyle w:val="ListParagraph"/>
        <w:numPr>
          <w:ilvl w:val="0"/>
          <w:numId w:val="2"/>
        </w:numPr>
        <w:spacing w:after="40" w:before="40"/>
      </w:pPr>
      <w:r>
        <w:rPr>
          <w:rFonts w:ascii="Microsoft YaHei" w:cs="Microsoft YaHei" w:eastAsia="Microsoft YaHei" w:hAnsi="Microsoft YaHei"/>
          <w:sz w:val="22"/>
          <w:szCs w:val="22"/>
        </w:rPr>
        <w:t xml:space="preserve">InfoNCE / SimCLR (Chen et al., 2020)</w:t>
      </w:r>
    </w:p>
    <w:p>
      <w:pPr>
        <w:pStyle w:val="ListParagraph"/>
        <w:numPr>
          <w:ilvl w:val="0"/>
          <w:numId w:val="2"/>
        </w:numPr>
        <w:spacing w:after="40" w:before="40"/>
      </w:pPr>
      <w:r>
        <w:rPr>
          <w:rFonts w:ascii="Microsoft YaHei" w:cs="Microsoft YaHei" w:eastAsia="Microsoft YaHei" w:hAnsi="Microsoft YaHei"/>
          <w:sz w:val="22"/>
          <w:szCs w:val="22"/>
        </w:rPr>
        <w:t xml:space="preserve">LoRA (Hu et al., 2022)</w:t>
      </w:r>
    </w:p>
    <w:p>
      <w:pPr>
        <w:pStyle w:val="ListParagraph"/>
        <w:numPr>
          <w:ilvl w:val="0"/>
          <w:numId w:val="2"/>
        </w:numPr>
        <w:spacing w:after="40" w:before="40"/>
      </w:pPr>
      <w:r>
        <w:rPr>
          <w:rFonts w:ascii="Microsoft YaHei" w:cs="Microsoft YaHei" w:eastAsia="Microsoft YaHei" w:hAnsi="Microsoft YaHei"/>
          <w:sz w:val="22"/>
          <w:szCs w:val="22"/>
        </w:rPr>
        <w:t xml:space="preserve">Loss Landscape Visualization (Li et al., NeurIPS 2018)</w:t>
      </w:r>
    </w:p>
    <w:p>
      <w:pPr>
        <w:pStyle w:val="Heading1"/>
        <w:spacing w:after="120" w:before="240"/>
      </w:pPr>
      <w:r>
        <w:rPr>
          <w:rFonts w:ascii="Microsoft YaHei" w:cs="Microsoft YaHei" w:eastAsia="Microsoft YaHei" w:hAnsi="Microsoft YaHei"/>
          <w:b/>
          <w:bCs/>
          <w:color w:val="1F3864"/>
          <w:sz w:val="32"/>
          <w:szCs w:val="32"/>
        </w:rPr>
        <w:t xml:space="preserve">8. 预期影响</w:t>
      </w:r>
    </w:p>
    <w:p>
      <w:pPr>
        <w:pStyle w:val="Heading2"/>
        <w:spacing w:after="120" w:before="240"/>
      </w:pPr>
      <w:r>
        <w:rPr>
          <w:rFonts w:ascii="Microsoft YaHei" w:cs="Microsoft YaHei" w:eastAsia="Microsoft YaHei" w:hAnsi="Microsoft YaHei"/>
          <w:b/>
          <w:bCs/>
          <w:color w:val="2E75B6"/>
          <w:sz w:val="28"/>
          <w:szCs w:val="28"/>
        </w:rPr>
        <w:t xml:space="preserve">8.1 学术影响</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建立 SpeechLM 数据高效对齐的方法论，降低学术界入场门槛</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为后续低资源 SpeechLM 研究提供基础设施和 recipe</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机制分析部分对跨模态对齐理论有贡献，可能被视觉-语言对齐工作借鉴</w:t>
      </w:r>
    </w:p>
    <w:p>
      <w:pPr>
        <w:pStyle w:val="Heading2"/>
        <w:spacing w:after="120" w:before="240"/>
      </w:pPr>
      <w:r>
        <w:rPr>
          <w:rFonts w:ascii="Microsoft YaHei" w:cs="Microsoft YaHei" w:eastAsia="Microsoft YaHei" w:hAnsi="Microsoft YaHei"/>
          <w:b/>
          <w:bCs/>
          <w:color w:val="2E75B6"/>
          <w:sz w:val="28"/>
          <w:szCs w:val="28"/>
        </w:rPr>
        <w:t xml:space="preserve">8.2 实用价值</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小数据场景下（比如低资源语言、医疗/教育等垂直领域）直接可用</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开源 recipe 让社区其他 SpeechLM 项目快速受益</w:t>
      </w:r>
    </w:p>
    <w:p>
      <w:pPr>
        <w:pStyle w:val="Heading2"/>
        <w:spacing w:after="120" w:before="240"/>
      </w:pPr>
      <w:r>
        <w:rPr>
          <w:rFonts w:ascii="Microsoft YaHei" w:cs="Microsoft YaHei" w:eastAsia="Microsoft YaHei" w:hAnsi="Microsoft YaHei"/>
          <w:b/>
          <w:bCs/>
          <w:color w:val="2E75B6"/>
          <w:sz w:val="28"/>
          <w:szCs w:val="28"/>
        </w:rPr>
        <w:t xml:space="preserve">8.3 后续工作方向</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跨语言 CoGen-Align：高资源语言 warmup 迁移到低资源语言</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多模态扩展：对比学习 warmup 应用于视觉+语音+文本三模态对齐</w:t>
      </w:r>
    </w:p>
    <w:p>
      <w:pPr>
        <w:pStyle w:val="ListParagraph"/>
        <w:numPr>
          <w:ilvl w:val="0"/>
          <w:numId w:val="3"/>
        </w:numPr>
        <w:spacing w:after="40" w:before="40"/>
      </w:pPr>
      <w:r>
        <w:rPr>
          <w:rFonts w:ascii="Microsoft YaHei" w:cs="Microsoft YaHei" w:eastAsia="Microsoft YaHei" w:hAnsi="Microsoft YaHei"/>
          <w:b w:val="false"/>
          <w:bCs w:val="false"/>
          <w:sz w:val="22"/>
          <w:szCs w:val="22"/>
        </w:rPr>
        <w:t xml:space="preserve">连续对齐：warmup 之后的持续学习问题</w:t>
      </w:r>
    </w:p>
    <w:p>
      <w:pPr>
        <w:spacing w:after="100" w:before="100"/>
      </w:pPr>
      <w:r>
        <w:t xml:space="preserve"/>
      </w:r>
    </w:p>
    <w:p>
      <w:pPr>
        <w:spacing w:after="100" w:before="100"/>
      </w:pPr>
      <w:r>
        <w:t xml:space="preserve"/>
      </w:r>
    </w:p>
    <w:p>
      <w:pPr>
        <w:pStyle w:val="Heading1"/>
        <w:spacing w:after="120" w:before="240"/>
      </w:pPr>
      <w:r>
        <w:rPr>
          <w:rFonts w:ascii="Microsoft YaHei" w:cs="Microsoft YaHei" w:eastAsia="Microsoft YaHei" w:hAnsi="Microsoft YaHei"/>
          <w:b/>
          <w:bCs/>
          <w:color w:val="1F3864"/>
          <w:sz w:val="32"/>
          <w:szCs w:val="32"/>
        </w:rPr>
        <w:t xml:space="preserve">9. 需要与合作者讨论的问题</w:t>
      </w:r>
    </w:p>
    <w:p>
      <w:pPr>
        <w:pStyle w:val="ListParagraph"/>
        <w:numPr>
          <w:ilvl w:val="0"/>
          <w:numId w:val="2"/>
        </w:numPr>
        <w:spacing w:after="40" w:before="40"/>
      </w:pPr>
      <w:r>
        <w:rPr>
          <w:rFonts w:ascii="Microsoft YaHei" w:cs="Microsoft YaHei" w:eastAsia="Microsoft YaHei" w:hAnsi="Microsoft YaHei"/>
          <w:sz w:val="22"/>
          <w:szCs w:val="22"/>
        </w:rPr>
        <w:t xml:space="preserve">主 LLM 选择：Qwen2.5-7B 还是 LLaMA-3-8B？（前者中英双语友好、后者英文社区大）</w:t>
      </w:r>
    </w:p>
    <w:p>
      <w:pPr>
        <w:pStyle w:val="ListParagraph"/>
        <w:numPr>
          <w:ilvl w:val="0"/>
          <w:numId w:val="2"/>
        </w:numPr>
        <w:spacing w:after="40" w:before="40"/>
      </w:pPr>
      <w:r>
        <w:rPr>
          <w:rFonts w:ascii="Microsoft YaHei" w:cs="Microsoft YaHei" w:eastAsia="Microsoft YaHei" w:hAnsi="Microsoft YaHei"/>
          <w:sz w:val="22"/>
          <w:szCs w:val="22"/>
        </w:rPr>
        <w:t xml:space="preserve">Projector 架构：是否需要在 Q-Former 上做同等深度实验？这会显著增加工作量</w:t>
      </w:r>
    </w:p>
    <w:p>
      <w:pPr>
        <w:pStyle w:val="ListParagraph"/>
        <w:numPr>
          <w:ilvl w:val="0"/>
          <w:numId w:val="2"/>
        </w:numPr>
        <w:spacing w:after="40" w:before="40"/>
      </w:pPr>
      <w:r>
        <w:rPr>
          <w:rFonts w:ascii="Microsoft YaHei" w:cs="Microsoft YaHei" w:eastAsia="Microsoft YaHei" w:hAnsi="Microsoft YaHei"/>
          <w:sz w:val="22"/>
          <w:szCs w:val="22"/>
        </w:rPr>
        <w:t xml:space="preserve">机制分析的深度：是否要纳入 loss landscape 可视化？（时间成本高但论文质感会好）</w:t>
      </w:r>
    </w:p>
    <w:p>
      <w:pPr>
        <w:pStyle w:val="ListParagraph"/>
        <w:numPr>
          <w:ilvl w:val="0"/>
          <w:numId w:val="2"/>
        </w:numPr>
        <w:spacing w:after="40" w:before="40"/>
      </w:pPr>
      <w:r>
        <w:rPr>
          <w:rFonts w:ascii="Microsoft YaHei" w:cs="Microsoft YaHei" w:eastAsia="Microsoft YaHei" w:hAnsi="Microsoft YaHei"/>
          <w:sz w:val="22"/>
          <w:szCs w:val="22"/>
        </w:rPr>
        <w:t xml:space="preserve">数据选择：LibriSpeech + GigaSpeech 主用英文，是否加入 WenetSpeech 做中文验证？</w:t>
      </w:r>
    </w:p>
    <w:p>
      <w:pPr>
        <w:pStyle w:val="ListParagraph"/>
        <w:numPr>
          <w:ilvl w:val="0"/>
          <w:numId w:val="2"/>
        </w:numPr>
        <w:spacing w:after="40" w:before="40"/>
      </w:pPr>
      <w:r>
        <w:rPr>
          <w:rFonts w:ascii="Microsoft YaHei" w:cs="Microsoft YaHei" w:eastAsia="Microsoft YaHei" w:hAnsi="Microsoft YaHei"/>
          <w:sz w:val="22"/>
          <w:szCs w:val="22"/>
        </w:rPr>
        <w:t xml:space="preserve">Hard negative mining 的具体实现：BM25、semantic (sentence-BERT)、还是基于 LLM embedding？</w:t>
      </w:r>
    </w:p>
    <w:p>
      <w:pPr>
        <w:pStyle w:val="ListParagraph"/>
        <w:numPr>
          <w:ilvl w:val="0"/>
          <w:numId w:val="2"/>
        </w:numPr>
        <w:spacing w:after="40" w:before="40"/>
      </w:pPr>
      <w:r>
        <w:rPr>
          <w:rFonts w:ascii="Microsoft YaHei" w:cs="Microsoft YaHei" w:eastAsia="Microsoft YaHei" w:hAnsi="Microsoft YaHei"/>
          <w:sz w:val="22"/>
          <w:szCs w:val="22"/>
        </w:rPr>
        <w:t xml:space="preserve">开源计划：代码+数据脚本+checkpoint 全开源，还是仅代码？</w:t>
      </w:r>
    </w:p>
    <w:p>
      <w:pPr>
        <w:pStyle w:val="ListParagraph"/>
        <w:numPr>
          <w:ilvl w:val="0"/>
          <w:numId w:val="2"/>
        </w:numPr>
        <w:spacing w:after="40" w:before="40"/>
      </w:pPr>
      <w:r>
        <w:rPr>
          <w:rFonts w:ascii="Microsoft YaHei" w:cs="Microsoft YaHei" w:eastAsia="Microsoft YaHei" w:hAnsi="Microsoft YaHei"/>
          <w:sz w:val="22"/>
          <w:szCs w:val="22"/>
        </w:rPr>
        <w:t xml:space="preserve">投稿时间线：主投 ICASSP 2026 (Sep 2025) 还是 Interspeech 2026 (Feb 2026)？</w:t>
      </w:r>
    </w:p>
    <w:p>
      <w:pPr>
        <w:pStyle w:val="ListParagraph"/>
        <w:numPr>
          <w:ilvl w:val="0"/>
          <w:numId w:val="2"/>
        </w:numPr>
        <w:spacing w:after="40" w:before="40"/>
      </w:pPr>
      <w:r>
        <w:rPr>
          <w:rFonts w:ascii="Microsoft YaHei" w:cs="Microsoft YaHei" w:eastAsia="Microsoft YaHei" w:hAnsi="Microsoft YaHei"/>
          <w:sz w:val="22"/>
          <w:szCs w:val="22"/>
        </w:rPr>
        <w:t xml:space="preserve">作者署名和分工。</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i/>
        <w:iCs/>
        <w:color w:val="808080"/>
        <w:sz w:val="18"/>
        <w:szCs w:val="18"/>
      </w:rPr>
      <w:t xml:space="preserve">内部讨论版 · Draft for Discussion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i/>
        <w:iCs/>
        <w:color w:val="808080"/>
        <w:sz w:val="18"/>
        <w:szCs w:val="18"/>
      </w:rPr>
      <w:t xml:space="preserve">CoGen-Align ·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icrosoft YaHei" w:cs="Microsoft YaHei" w:eastAsia="Microsoft YaHei" w:hAnsi="Microsoft YaHei"/>
      <w:b/>
      <w:bCs/>
      <w:color w:val="1F3864"/>
      <w:sz w:val="32"/>
      <w:szCs w:val="32"/>
    </w:rPr>
  </w:style>
  <w:style w:type="paragraph" w:styleId="Heading2">
    <w:name w:val="Heading 2"/>
    <w:basedOn w:val="Normal"/>
    <w:next w:val="Normal"/>
    <w:qFormat/>
    <w:pPr>
      <w:spacing w:after="120" w:before="240"/>
      <w:outlineLvl w:val="1"/>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after="90" w:before="180"/>
      <w:outlineLvl w:val="2"/>
    </w:pPr>
    <w:rPr>
      <w:rFonts w:ascii="Microsoft YaHei" w:cs="Microsoft YaHei" w:eastAsia="Microsoft YaHei" w:hAnsi="Microsoft YaHe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2026-04-23T08:27:34.382Z</dcterms:created>
  <dcterms:modified xsi:type="dcterms:W3CDTF">2026-04-23T08:27:34.383Z</dcterms:modified>
  <dc:description><![CDATA[$$CSb1@aYCkTyEEKQAm4B4IImol_eqDWmkgVYzlYdkY6nEqUKtXdHgKvUER9HY0uznlVaDREKnPu7a2TO9ky57Ua3w1OzmM9WEe@SC$$]]></dc:description>
</cp:coreProperties>
</file>

<file path=docProps/custom.xml><?xml version="1.0" encoding="utf-8"?>
<Properties xmlns="http://schemas.openxmlformats.org/officeDocument/2006/custom-properties" xmlns:vt="http://schemas.openxmlformats.org/officeDocument/2006/docPropsVTypes"/>
</file>