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8F8" w:rsidRDefault="003C6CA8">
      <w:pPr>
        <w:pStyle w:val="Title"/>
      </w:pPr>
      <w:r>
        <w:t xml:space="preserve">Simple Sales Dashboard </w:t>
      </w:r>
      <w:bookmarkStart w:id="0" w:name="_GoBack"/>
      <w:bookmarkEnd w:id="0"/>
      <w:r>
        <w:t>Insights</w:t>
      </w:r>
    </w:p>
    <w:p w:rsidR="006C08F8" w:rsidRDefault="003C6CA8">
      <w:pPr>
        <w:pStyle w:val="Heading1"/>
      </w:pPr>
      <w:r>
        <w:t>1. Introduction</w:t>
      </w:r>
    </w:p>
    <w:p w:rsidR="006C08F8" w:rsidRDefault="003C6CA8">
      <w:r>
        <w:t xml:space="preserve">The following insights are derived from the Simple Sales Dashboard, which visualizes sales performance across time, regions, and product categories. The dataset used is the Superstore dataset, which contains </w:t>
      </w:r>
      <w:r>
        <w:t>transactional sales data from 2014 to 2017.</w:t>
      </w:r>
    </w:p>
    <w:p w:rsidR="006C08F8" w:rsidRDefault="003C6CA8">
      <w:pPr>
        <w:pStyle w:val="Heading1"/>
      </w:pPr>
      <w:r>
        <w:t>2. Monthly Sales Trends</w:t>
      </w:r>
    </w:p>
    <w:p w:rsidR="006C08F8" w:rsidRDefault="003C6CA8">
      <w:r>
        <w:t>Sales exhibit seasonal fluctuations with noticeable peaks around November and December each year. These peaks may correspond to holiday shopping seasons, indicating potential opportunities</w:t>
      </w:r>
      <w:r>
        <w:t xml:space="preserve"> for targeted promotions.</w:t>
      </w:r>
    </w:p>
    <w:p w:rsidR="006C08F8" w:rsidRDefault="003C6CA8">
      <w:pPr>
        <w:pStyle w:val="Heading1"/>
      </w:pPr>
      <w:r>
        <w:t>3. Regional Sales Performance</w:t>
      </w:r>
    </w:p>
    <w:p w:rsidR="006C08F8" w:rsidRDefault="003C6CA8">
      <w:r>
        <w:t>The West region leads in total sales with approximately ₹725K, followed closely by the East region at ₹678K. The South region has the lowest sales at around ₹392K, suggesting a potential area for mark</w:t>
      </w:r>
      <w:r>
        <w:t>et expansion efforts.</w:t>
      </w:r>
    </w:p>
    <w:p w:rsidR="006C08F8" w:rsidRDefault="003C6CA8">
      <w:pPr>
        <w:pStyle w:val="Heading1"/>
      </w:pPr>
      <w:r>
        <w:t>4. Sales by Product Category</w:t>
      </w:r>
    </w:p>
    <w:p w:rsidR="006C08F8" w:rsidRDefault="003C6CA8">
      <w:r>
        <w:t>Technology products generate the highest sales (₹836K), followed by Furniture (₹742K) and Office Supplies (₹719K). This indicates a strong demand for technology items and the need to maintain competitive o</w:t>
      </w:r>
      <w:r>
        <w:t>fferings in this category.</w:t>
      </w:r>
    </w:p>
    <w:p w:rsidR="006C08F8" w:rsidRDefault="003C6CA8">
      <w:pPr>
        <w:pStyle w:val="Heading1"/>
      </w:pPr>
      <w:r>
        <w:t>5. Strategic Implications</w:t>
      </w:r>
    </w:p>
    <w:p w:rsidR="006C08F8" w:rsidRDefault="003C6CA8">
      <w:r>
        <w:t xml:space="preserve">Given the strong performance in the Technology category and the West region, strategic focus could be placed on leveraging these strengths while exploring growth opportunities in the South region and in </w:t>
      </w:r>
      <w:r>
        <w:t>the Office Supplies category.</w:t>
      </w:r>
    </w:p>
    <w:sectPr w:rsidR="006C0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C6CA8"/>
    <w:rsid w:val="006C08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23BD4-0260-4DC2-81AF-2A993961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WELCOME</cp:lastModifiedBy>
  <cp:revision>2</cp:revision>
  <dcterms:created xsi:type="dcterms:W3CDTF">2013-12-23T23:15:00Z</dcterms:created>
  <dcterms:modified xsi:type="dcterms:W3CDTF">2025-08-15T11:18:00Z</dcterms:modified>
  <cp:category/>
</cp:coreProperties>
</file>