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ptos" w:hAnsi="Aptos"/>
          <w:b/>
          <w:i w:val="0"/>
          <w:color w:val="1F7A8C"/>
          <w:sz w:val="20"/>
        </w:rPr>
        <w:t>SIG FINAL REPORT</w:t>
      </w:r>
    </w:p>
    <w:p>
      <w:pPr>
        <w:spacing w:after="40"/>
      </w:pPr>
      <w:r>
        <w:rPr>
          <w:rFonts w:ascii="Aptos" w:hAnsi="Aptos"/>
          <w:b/>
          <w:i w:val="0"/>
          <w:color w:val="17365D"/>
          <w:sz w:val="50"/>
        </w:rPr>
        <w:t>Technical Addendum</w:t>
      </w:r>
    </w:p>
    <w:p>
      <w:pPr>
        <w:spacing w:after="240"/>
      </w:pPr>
      <w:r>
        <w:rPr>
          <w:rFonts w:ascii="Aptos" w:hAnsi="Aptos"/>
          <w:b w:val="0"/>
          <w:i w:val="0"/>
          <w:color w:val="667085"/>
          <w:sz w:val="21"/>
        </w:rPr>
        <w:t>Paste-ready wording for Draft v0.9  |  Project SIG-05-2025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61"/>
            <w:shd w:fill="1F7A8C"/>
            <w:tcBorders>
              <w:top w:val="single" w:sz="2" w:color="1F7A8C"/>
              <w:left w:val="single" w:sz="2" w:color="1F7A8C"/>
              <w:bottom w:val="single" w:sz="2" w:color="1F7A8C"/>
              <w:right w:val="single" w:sz="2" w:color="1F7A8C"/>
              <w:insideH w:val="single" w:sz="2" w:color="1F7A8C"/>
              <w:insideV w:val="single" w:sz="2" w:color="1F7A8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8F4F4"/>
            <w:tcBorders>
              <w:top w:val="single" w:sz="2" w:color="E8F4F4"/>
              <w:left w:val="single" w:sz="2" w:color="E8F4F4"/>
              <w:bottom w:val="single" w:sz="2" w:color="E8F4F4"/>
              <w:right w:val="single" w:sz="2" w:color="E8F4F4"/>
              <w:insideH w:val="single" w:sz="2" w:color="E8F4F4"/>
              <w:insideV w:val="single" w:sz="2" w:color="E8F4F4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F7A8C"/>
                <w:sz w:val="20"/>
              </w:rPr>
              <w:t>Bottom line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Use HIVE—not CHROMA—as the actual training environment in this final report. The frozen models have now been evaluated once on the prespecified locked cohorts. Whole-gland mean Dice was 0.95539 (n=264); lesion sensitivity was 66.38% with 0.167 false-positive lesions per case (n=209).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  Model development and architecture</w:t>
      </w:r>
    </w:p>
    <w:p>
      <w:pPr>
        <w:keepNext/>
        <w:spacing w:before="20" w:after="80"/>
      </w:pPr>
      <w:r>
        <w:rPr>
          <w:rFonts w:ascii="Aptos" w:hAnsi="Aptos"/>
          <w:b/>
          <w:i w:val="0"/>
          <w:color w:val="1F7A8C"/>
          <w:sz w:val="17"/>
        </w:rPr>
        <w:t>RECOMMENDED REPLACEMENT PARAGRAPH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3F5F7"/>
            <w:tcBorders>
              <w:top w:val="single" w:sz="8" w:color="B8C4CE"/>
              <w:left w:val="single" w:sz="8" w:color="B8C4CE"/>
              <w:bottom w:val="single" w:sz="8" w:color="B8C4CE"/>
              <w:right w:val="single" w:sz="8" w:color="B8C4CE"/>
              <w:insideH w:val="single" w:sz="8" w:color="B8C4CE"/>
              <w:insideV w:val="single" w:sz="8" w:color="B8C4CE"/>
            </w:tcBorders>
            <w:tcMar>
              <w:top w:w="190" w:type="dxa"/>
              <w:start w:w="210" w:type="dxa"/>
              <w:bottom w:w="190" w:type="dxa"/>
              <w:end w:w="210" w:type="dxa"/>
            </w:tcMar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Model development. After radiologist review and technical quality control, we trained the whole-gland and lesion segmentation models in SGH’s HIVE high-performance computing environment using the curated SGH cohort and the public PROSTATEx dataset (Table 1). The gland model is a three-dimensional MONAI residual U-Net using T2-weighted MRI as a single input channel and producing a two-class output (background/prostate). The lesion model is a five-fold ensemble of three-dimensional RRUNet3D networks configured with residual encoder–decoder blocks; each network uses T2-weighted, ADC and high-b-value DWI as three input channels and produces a two-class output (background/lesion). Training used AdamW optimisation and mixed precision, and each fold was selected independently on its development-validation split.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Architecture 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Inputs → output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Architecture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Inference contract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Whole gland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T2W (1 channel) → background/prostate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3D MONAI U-Net; residual units; channels 16/32/64/128/256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1.0-mm preprocessing; 128×128×16 sliding window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Lesion</w:t>
            </w:r>
          </w:p>
        </w:tc>
        <w:tc>
          <w:tcPr>
            <w:tcW w:type="dxa" w:w="238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T2W + ADC + high-b DWI (3 channels) → background/lesion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Five RRUNet3D folds; residual blocks; initial width 32</w:t>
            </w:r>
          </w:p>
        </w:tc>
        <w:tc>
          <w:tcPr>
            <w:tcW w:type="dxa" w:w="272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0.5-mm prostate-centred ROI; five probability maps averaged; threshold 0.63</w:t>
            </w:r>
          </w:p>
        </w:tc>
      </w:tr>
    </w:tbl>
    <w:p>
      <w:pPr>
        <w:spacing w:before="100" w:after="0"/>
      </w:pPr>
      <w:r>
        <w:rPr>
          <w:rFonts w:ascii="Aptos" w:hAnsi="Aptos"/>
          <w:b/>
          <w:i w:val="0"/>
          <w:color w:val="1F7A8C"/>
          <w:sz w:val="17"/>
        </w:rPr>
        <w:t xml:space="preserve">Audit note. </w:t>
      </w:r>
      <w:r>
        <w:rPr>
          <w:rFonts w:ascii="Aptos" w:hAnsi="Aptos"/>
          <w:b w:val="0"/>
          <w:i/>
          <w:color w:val="667085"/>
          <w:sz w:val="17"/>
        </w:rPr>
        <w:t>The original proposal named CHROMA, but the completed training runs, HIVE notebooks and HIVE preflight record identify HIVE as the execution environment.</w:t>
      </w:r>
    </w:p>
    <w:p>
      <w:r>
        <w:br w:type="page"/>
      </w:r>
    </w:p>
    <w:p>
      <w:pPr>
        <w:pStyle w:val="Heading1"/>
        <w:keepNext/>
      </w:pPr>
      <w:r>
        <w:t>2  Results and locked-test status</w:t>
      </w:r>
    </w:p>
    <w:p>
      <w:pPr>
        <w:keepNext/>
        <w:spacing w:before="20" w:after="80"/>
      </w:pPr>
      <w:r>
        <w:rPr>
          <w:rFonts w:ascii="Aptos" w:hAnsi="Aptos"/>
          <w:b/>
          <w:i w:val="0"/>
          <w:color w:val="1F7A8C"/>
          <w:sz w:val="17"/>
        </w:rPr>
        <w:t>RECOMMENDED REPLACEMENT FOR THE HIGHLIGHTED RESULTS PARAGRAPH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3F5F7"/>
            <w:tcBorders>
              <w:top w:val="single" w:sz="8" w:color="B8C4CE"/>
              <w:left w:val="single" w:sz="8" w:color="B8C4CE"/>
              <w:bottom w:val="single" w:sz="8" w:color="B8C4CE"/>
              <w:right w:val="single" w:sz="8" w:color="B8C4CE"/>
              <w:insideH w:val="single" w:sz="8" w:color="B8C4CE"/>
              <w:insideV w:val="single" w:sz="8" w:color="B8C4CE"/>
            </w:tcBorders>
            <w:tcMar>
              <w:top w:w="190" w:type="dxa"/>
              <w:start w:w="210" w:type="dxa"/>
              <w:bottom w:w="190" w:type="dxa"/>
              <w:end w:w="210" w:type="dxa"/>
            </w:tcMar>
          </w:tcPr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On the prespecified locked test sets, the frozen whole-gland model achieved a mean Dice of 0.95539 across 264 cases. The frozen five-model lesion ensemble achieved lesion-detection sensitivity of 66.38% (156 of 235 reference lesions) with 0.167 false-positive lesions per case (35 false-positive components across 209 cases). Mean lesion Dice was 0.51300. These are retrospective held-out test results, not prospective live-clinical performance.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Evidence-status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 w:val="true"/>
        </w:trPr>
        <w:tc>
          <w:tcPr>
            <w:tcW w:type="dxa" w:w="25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Component / dataset</w:t>
            </w:r>
          </w:p>
        </w:tc>
        <w:tc>
          <w:tcPr>
            <w:tcW w:type="dxa" w:w="7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</w:t>
            </w:r>
          </w:p>
        </w:tc>
        <w:tc>
          <w:tcPr>
            <w:tcW w:type="dxa" w:w="9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Dice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Lesion sensitivity</w:t>
            </w:r>
          </w:p>
        </w:tc>
        <w:tc>
          <w:tcPr>
            <w:tcW w:type="dxa" w:w="138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FP lesions / case</w:t>
            </w:r>
          </w:p>
        </w:tc>
        <w:tc>
          <w:tcPr>
            <w:tcW w:type="dxa" w:w="178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Organ development validation</w:t>
            </w:r>
          </w:p>
        </w:tc>
        <w:tc>
          <w:tcPr>
            <w:tcW w:type="dxa" w:w="7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264</w:t>
            </w:r>
          </w:p>
        </w:tc>
        <w:tc>
          <w:tcPr>
            <w:tcW w:type="dxa" w:w="9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0.95447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—</w:t>
            </w:r>
          </w:p>
        </w:tc>
        <w:tc>
          <w:tcPr>
            <w:tcW w:type="dxa" w:w="138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—</w:t>
            </w:r>
          </w:p>
        </w:tc>
        <w:tc>
          <w:tcPr>
            <w:tcW w:type="dxa" w:w="178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Available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Lesion out-of-fold development validation</w:t>
            </w:r>
          </w:p>
        </w:tc>
        <w:tc>
          <w:tcPr>
            <w:tcW w:type="dxa" w:w="7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1,189</w:t>
            </w:r>
          </w:p>
        </w:tc>
        <w:tc>
          <w:tcPr>
            <w:tcW w:type="dxa" w:w="9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0.47891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73.62%</w:t>
              <w:br/>
              <w:t>(773/1,050)</w:t>
            </w:r>
          </w:p>
        </w:tc>
        <w:tc>
          <w:tcPr>
            <w:tcW w:type="dxa" w:w="138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0.743</w:t>
            </w:r>
          </w:p>
        </w:tc>
        <w:tc>
          <w:tcPr>
            <w:tcW w:type="dxa" w:w="178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Available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Organ locked test</w:t>
            </w:r>
          </w:p>
        </w:tc>
        <w:tc>
          <w:tcPr>
            <w:tcW w:type="dxa" w:w="7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264</w:t>
            </w:r>
          </w:p>
        </w:tc>
        <w:tc>
          <w:tcPr>
            <w:tcW w:type="dxa" w:w="9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0.95539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—</w:t>
            </w:r>
          </w:p>
        </w:tc>
        <w:tc>
          <w:tcPr>
            <w:tcW w:type="dxa" w:w="138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—</w:t>
            </w:r>
          </w:p>
        </w:tc>
        <w:tc>
          <w:tcPr>
            <w:tcW w:type="dxa" w:w="178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E8F4F4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F7A8C"/>
                <w:sz w:val="15"/>
              </w:rPr>
              <w:t>Completed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Lesion locked test</w:t>
            </w:r>
          </w:p>
        </w:tc>
        <w:tc>
          <w:tcPr>
            <w:tcW w:type="dxa" w:w="76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209</w:t>
            </w:r>
          </w:p>
        </w:tc>
        <w:tc>
          <w:tcPr>
            <w:tcW w:type="dxa" w:w="9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0.51300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66.38%</w:t>
              <w:br/>
              <w:t>(156/235)</w:t>
            </w:r>
          </w:p>
        </w:tc>
        <w:tc>
          <w:tcPr>
            <w:tcW w:type="dxa" w:w="1389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5"/>
              </w:rPr>
              <w:t>0.167</w:t>
            </w:r>
          </w:p>
        </w:tc>
        <w:tc>
          <w:tcPr>
            <w:tcW w:type="dxa" w:w="178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E8F4F4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F7A8C"/>
                <w:sz w:val="15"/>
              </w:rPr>
              <w:t>Completed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61"/>
            <w:shd w:fill="1F7A8C"/>
            <w:tcBorders>
              <w:top w:val="single" w:sz="2" w:color="1F7A8C"/>
              <w:left w:val="single" w:sz="2" w:color="1F7A8C"/>
              <w:bottom w:val="single" w:sz="2" w:color="1F7A8C"/>
              <w:right w:val="single" w:sz="2" w:color="1F7A8C"/>
              <w:insideH w:val="single" w:sz="2" w:color="1F7A8C"/>
              <w:insideV w:val="single" w:sz="2" w:color="1F7A8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8F4F4"/>
            <w:tcBorders>
              <w:top w:val="single" w:sz="2" w:color="E8F4F4"/>
              <w:left w:val="single" w:sz="2" w:color="E8F4F4"/>
              <w:bottom w:val="single" w:sz="2" w:color="E8F4F4"/>
              <w:right w:val="single" w:sz="2" w:color="E8F4F4"/>
              <w:insideH w:val="single" w:sz="2" w:color="E8F4F4"/>
              <w:insideV w:val="single" w:sz="2" w:color="E8F4F4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F7A8C"/>
                <w:sz w:val="20"/>
              </w:rPr>
              <w:t>Locked-test interpretation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The locked lesion result used the frozen five-model probability average and the prespecified 0.63 threshold. It was evaluated once after model selection; no checkpoint or threshold was changed after viewing the result. Development cross-validation figures remain separate and should not be substituted for the locked-test values.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Metric definitions used in the evidence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F2937"/>
          <w:sz w:val="18"/>
        </w:rPr>
        <w:t xml:space="preserve">Dice: </w:t>
      </w:r>
      <w:r>
        <w:rPr>
          <w:rFonts w:ascii="Aptos" w:hAnsi="Aptos"/>
          <w:b w:val="0"/>
          <w:i w:val="0"/>
          <w:color w:val="1F2937"/>
          <w:sz w:val="18"/>
        </w:rPr>
        <w:t>case-level binary spatial overlap, averaged across cases.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F2937"/>
          <w:sz w:val="18"/>
        </w:rPr>
        <w:t xml:space="preserve">Lesion sensitivity: </w:t>
      </w:r>
      <w:r>
        <w:rPr>
          <w:rFonts w:ascii="Aptos" w:hAnsi="Aptos"/>
          <w:b w:val="0"/>
          <w:i w:val="0"/>
          <w:color w:val="1F2937"/>
          <w:sz w:val="18"/>
        </w:rPr>
        <w:t>proportion of reference connected lesions with any voxel overlap from a predicted component.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F2937"/>
          <w:sz w:val="18"/>
        </w:rPr>
        <w:t xml:space="preserve">False-positive lesions per case: </w:t>
      </w:r>
      <w:r>
        <w:rPr>
          <w:rFonts w:ascii="Aptos" w:hAnsi="Aptos"/>
          <w:b w:val="0"/>
          <w:i w:val="0"/>
          <w:color w:val="1F2937"/>
          <w:sz w:val="18"/>
        </w:rPr>
        <w:t>predicted connected components with no reference-mask overlap, divided by the number of cases.</w:t>
      </w:r>
    </w:p>
    <w:p>
      <w:pPr>
        <w:pStyle w:val="Heading2"/>
        <w:keepNext/>
      </w:pPr>
      <w:r>
        <w:t>CARPL / deployment scope</w:t>
      </w:r>
    </w:p>
    <w:p>
      <w:pPr>
        <w:spacing w:after="0"/>
      </w:pPr>
      <w:r>
        <w:rPr>
          <w:rFonts w:ascii="Aptos" w:hAnsi="Aptos"/>
          <w:b w:val="0"/>
          <w:i w:val="0"/>
          <w:color w:val="B3261E"/>
          <w:sz w:val="18"/>
        </w:rPr>
        <w:t>Not completed in this addendum, per instruction. Do not add a CARPL screenshot caption or state that the final model was run on CARPL unless direct run evidence and display review are available.</w:t>
      </w:r>
    </w:p>
    <w:p>
      <w:r>
        <w:br w:type="page"/>
      </w:r>
    </w:p>
    <w:p>
      <w:pPr>
        <w:pStyle w:val="Heading1"/>
        <w:keepNext/>
      </w:pPr>
      <w:r>
        <w:t>3  Development and evaluation flow</w:t>
      </w:r>
    </w:p>
    <w:p>
      <w:pPr>
        <w:spacing w:after="160"/>
      </w:pPr>
      <w:r>
        <w:rPr>
          <w:rFonts w:ascii="Aptos" w:hAnsi="Aptos"/>
          <w:b w:val="0"/>
          <w:i/>
          <w:color w:val="667085"/>
          <w:sz w:val="18"/>
        </w:rPr>
        <w:t>Editable figure for optional insertion. It separates model development from the completed one-time locked-test evaluation.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961"/>
            <w:shd w:fill="EAF2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F75B5"/>
                <w:sz w:val="32"/>
              </w:rPr>
              <w:t>1</w:t>
            </w:r>
          </w:p>
        </w:tc>
        <w:tc>
          <w:tcPr>
            <w:tcW w:type="dxa" w:w="4961"/>
            <w:shd w:fill="EAF2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2F75B5"/>
                <w:sz w:val="20"/>
              </w:rPr>
              <w:t>Source data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3,477 retrospective, de-identified SGH prostate MRI studies assigned for review, plus public PROSTATEx data.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1F7A8C"/>
          <w:sz w:val="24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961"/>
            <w:shd w:fill="E8F4F4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  <w:insideH w:val="single" w:sz="8" w:color="1F7A8C"/>
              <w:insideV w:val="single" w:sz="8" w:color="1F7A8C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7A8C"/>
                <w:sz w:val="32"/>
              </w:rPr>
              <w:t>2</w:t>
            </w:r>
          </w:p>
        </w:tc>
        <w:tc>
          <w:tcPr>
            <w:tcW w:type="dxa" w:w="4961"/>
            <w:shd w:fill="E8F4F4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  <w:insideH w:val="single" w:sz="8" w:color="1F7A8C"/>
              <w:insideV w:val="single" w:sz="8" w:color="1F7A8C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F7A8C"/>
                <w:sz w:val="20"/>
              </w:rPr>
              <w:t>Clinical review and technical quality control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Ten SGH radiologists fully reviewed 2,550 studies. Eligibility rules and image/mask checks defined the model cohorts.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1F7A8C"/>
          <w:sz w:val="24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961"/>
            <w:shd w:fill="EAF2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F75B5"/>
                <w:sz w:val="32"/>
              </w:rPr>
              <w:t>3</w:t>
            </w:r>
          </w:p>
        </w:tc>
        <w:tc>
          <w:tcPr>
            <w:tcW w:type="dxa" w:w="4961"/>
            <w:shd w:fill="EAF2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2F75B5"/>
                <w:sz w:val="20"/>
              </w:rPr>
              <w:t>Eligible cohorts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Organ: 1,751 cases (1,547 SGH + 204 PROSTATEx). Lesion: 1,398 cases (1,198 SGH + 200 PROSTATEx).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1F7A8C"/>
          <w:sz w:val="24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961"/>
            <w:shd w:fill="E8F4F4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  <w:insideH w:val="single" w:sz="8" w:color="1F7A8C"/>
              <w:insideV w:val="single" w:sz="8" w:color="1F7A8C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7A8C"/>
                <w:sz w:val="32"/>
              </w:rPr>
              <w:t>4</w:t>
            </w:r>
          </w:p>
        </w:tc>
        <w:tc>
          <w:tcPr>
            <w:tcW w:type="dxa" w:w="4961"/>
            <w:shd w:fill="E8F4F4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  <w:insideH w:val="single" w:sz="8" w:color="1F7A8C"/>
              <w:insideV w:val="single" w:sz="8" w:color="1F7A8C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F7A8C"/>
                <w:sz w:val="20"/>
              </w:rPr>
              <w:t>HIVE model development and selection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Organ: 1,223 training + 264 validation. Lesion: 1,189 development cases in five-fold cross-validation; each case validated once.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1F7A8C"/>
          <w:sz w:val="24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961"/>
            <w:shd w:fill="EAF2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F75B5"/>
                <w:sz w:val="32"/>
              </w:rPr>
              <w:t>5</w:t>
            </w:r>
          </w:p>
        </w:tc>
        <w:tc>
          <w:tcPr>
            <w:tcW w:type="dxa" w:w="4961"/>
            <w:shd w:fill="EAF2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2F75B5"/>
                <w:sz w:val="20"/>
              </w:rPr>
              <w:t>Frozen candidate models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One whole-gland 3D residual U-Net and five RRUNet3D lesion folds packaged with recorded hashes.</w:t>
            </w:r>
          </w:p>
        </w:tc>
      </w:tr>
    </w:tbl>
    <w:p>
      <w:pPr>
        <w:spacing w:before="0" w:after="0"/>
        <w:jc w:val="center"/>
      </w:pPr>
      <w:r>
        <w:rPr>
          <w:rFonts w:ascii="Aptos" w:hAnsi="Aptos"/>
          <w:b/>
          <w:i w:val="0"/>
          <w:color w:val="1F7A8C"/>
          <w:sz w:val="24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961"/>
            <w:shd w:fill="E8F4F4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  <w:insideH w:val="single" w:sz="8" w:color="1F7A8C"/>
              <w:insideV w:val="single" w:sz="8" w:color="1F7A8C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7A8C"/>
                <w:sz w:val="32"/>
              </w:rPr>
              <w:t>6</w:t>
            </w:r>
          </w:p>
        </w:tc>
        <w:tc>
          <w:tcPr>
            <w:tcW w:type="dxa" w:w="4961"/>
            <w:shd w:fill="E8F4F4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  <w:insideH w:val="single" w:sz="8" w:color="1F7A8C"/>
              <w:insideV w:val="single" w:sz="8" w:color="1F7A8C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1F7A8C"/>
                <w:sz w:val="20"/>
              </w:rPr>
              <w:t>Locked-test evaluation — completed once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Organ: 264 cases, mean Dice 0.95539. Lesion: 209 cases, sensitivity 66.38%, 0.167 false-positive lesions/case.</w:t>
            </w:r>
          </w:p>
        </w:tc>
      </w:tr>
    </w:tbl>
    <w:p>
      <w:pPr>
        <w:spacing w:before="120" w:after="140"/>
        <w:jc w:val="center"/>
      </w:pPr>
      <w:r>
        <w:rPr>
          <w:rFonts w:ascii="Aptos" w:hAnsi="Aptos"/>
          <w:b w:val="0"/>
          <w:i/>
          <w:color w:val="667085"/>
          <w:sz w:val="17"/>
        </w:rPr>
        <w:t>Figure A. Evidence-gated model-development and evaluation workflow.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61"/>
            <w:shd w:fill="D6A419"/>
            <w:tcBorders>
              <w:top w:val="single" w:sz="2" w:color="D6A419"/>
              <w:left w:val="single" w:sz="2" w:color="D6A419"/>
              <w:bottom w:val="single" w:sz="2" w:color="D6A419"/>
              <w:right w:val="single" w:sz="2" w:color="D6A419"/>
              <w:insideH w:val="single" w:sz="2" w:color="D6A419"/>
              <w:insideV w:val="single" w:sz="2" w:color="D6A419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FFF3CD"/>
            <w:tcBorders>
              <w:top w:val="single" w:sz="2" w:color="FFF3CD"/>
              <w:left w:val="single" w:sz="2" w:color="FFF3CD"/>
              <w:bottom w:val="single" w:sz="2" w:color="FFF3CD"/>
              <w:right w:val="single" w:sz="2" w:color="FFF3CD"/>
              <w:insideH w:val="single" w:sz="2" w:color="FFF3CD"/>
              <w:insideV w:val="single" w:sz="2" w:color="FFF3CD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D6A419"/>
                <w:sz w:val="20"/>
              </w:rPr>
              <w:t>Reporting guardrail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Use the verified locked-test report and provenance files as the authoritative source. Do not tune this model bundle against the locked results; any subsequent model change requires a new untouched external test cohort for an unbiased estimate.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  Verification trail</w:t>
      </w:r>
    </w:p>
    <w:p>
      <w:pPr>
        <w:spacing w:after="140"/>
      </w:pPr>
      <w:r>
        <w:rPr>
          <w:rFonts w:ascii="Aptos" w:hAnsi="Aptos"/>
          <w:b w:val="0"/>
          <w:i w:val="0"/>
          <w:color w:val="667085"/>
          <w:sz w:val="18"/>
        </w:rPr>
        <w:t>The statements above were checked against the following project artifacts. Paths are relative to the project root.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Claim checked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Primary evidence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Architectures and preprocessing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configs/organ.yaml; configs/lesion.yaml; training/engine.py; training/rrunet.py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HIVE execution environment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hive_train_organ.ipynb; hive_train_lesion.ipynb; artifacts/training/LESION_PREFLIGHT_VALIDATION.md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Cohort sizes and locked splits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artifacts/training/organ_splits.csv; artifacts/training/lesion_splits.csv; artifacts/training/model_approval_evidence/cohort_summary.csv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Organ validation result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artifacts/training/model_approval_evidence/organ_performance.csv; training_exports/organ_candidate_epoch0626_dice0.95447/CANDIDATE_VALIDATION.md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Lesion validation results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artifacts/training/model_approval_evidence/lesion_aggregate_performance.csv; artifacts/training/model_approval_evidence/lesion_fold_performance.csv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Locked-test results and independent check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artifacts/locked_test_evaluation/frozen_bundle_2026-08-20/verified_locked_test_report.json; organ/ and lesion/ summary, provenance, per-case and subgroup files; output_manifest.json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Reproducible execution record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locked_test_evaluation.ipynb; locked_test_evaluation_executed_2026-10-05.ipynb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Model-package integrity</w:t>
            </w:r>
          </w:p>
        </w:tc>
        <w:tc>
          <w:tcPr>
            <w:tcW w:type="dxa" w:w="65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shd w:fill="F3F5F7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training_exports/HIVE_TRAINED_MODELS_ORGAN_AND_LESION_2026-08-20/deployment_manifest.json; artifacts/training/model_approval_evidence/integrity_checks.csv</w:t>
            </w:r>
          </w:p>
        </w:tc>
      </w:tr>
    </w:tbl>
    <w:p>
      <w:pPr>
        <w:pStyle w:val="Heading2"/>
        <w:keepNext/>
      </w:pPr>
      <w:r>
        <w:t>Final editorial checks before submission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F2937"/>
          <w:sz w:val="18"/>
        </w:rPr>
        <w:t xml:space="preserve">Environment: </w:t>
      </w:r>
      <w:r>
        <w:rPr>
          <w:rFonts w:ascii="Aptos" w:hAnsi="Aptos"/>
          <w:b w:val="0"/>
          <w:i w:val="0"/>
          <w:color w:val="1F2937"/>
          <w:sz w:val="18"/>
        </w:rPr>
        <w:t>replace “CHROMA” with “HIVE” for the completed training work.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F2937"/>
          <w:sz w:val="18"/>
        </w:rPr>
        <w:t xml:space="preserve">Locked test: </w:t>
      </w:r>
      <w:r>
        <w:rPr>
          <w:rFonts w:ascii="Aptos" w:hAnsi="Aptos"/>
          <w:b w:val="0"/>
          <w:i w:val="0"/>
          <w:color w:val="1F2937"/>
          <w:sz w:val="18"/>
        </w:rPr>
        <w:t>report organ Dice 0.95539; lesion sensitivity 66.38%; and 0.167 false-positive lesions per case.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F2937"/>
          <w:sz w:val="18"/>
        </w:rPr>
        <w:t xml:space="preserve">Development validation: </w:t>
      </w:r>
      <w:r>
        <w:rPr>
          <w:rFonts w:ascii="Aptos" w:hAnsi="Aptos"/>
          <w:b w:val="0"/>
          <w:i w:val="0"/>
          <w:color w:val="1F2937"/>
          <w:sz w:val="18"/>
        </w:rPr>
        <w:t>keep 0.95447, 73.62% and 0.743 clearly labelled as development-validation results if they are retained.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F2937"/>
          <w:sz w:val="18"/>
        </w:rPr>
        <w:t xml:space="preserve">Target wording: </w:t>
      </w:r>
      <w:r>
        <w:rPr>
          <w:rFonts w:ascii="Aptos" w:hAnsi="Aptos"/>
          <w:b w:val="0"/>
          <w:i w:val="0"/>
          <w:color w:val="1F2937"/>
          <w:sz w:val="18"/>
        </w:rPr>
        <w:t>use “0.90 Dice target” if the project’s 90% requirement refers to Dice; avoid the generic term “accuracy.”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F2937"/>
          <w:sz w:val="18"/>
        </w:rPr>
        <w:t xml:space="preserve">Clinical interpretation: </w:t>
      </w:r>
      <w:r>
        <w:rPr>
          <w:rFonts w:ascii="Aptos" w:hAnsi="Aptos"/>
          <w:b w:val="0"/>
          <w:i w:val="0"/>
          <w:color w:val="1F2937"/>
          <w:sz w:val="18"/>
        </w:rPr>
        <w:t>describe the locked results as retrospective held-out performance, not prospective clinical validation.</w:t>
      </w:r>
    </w:p>
    <w:p>
      <w:pPr>
        <w:pStyle w:val="ListBullet"/>
        <w:spacing w:after="60"/>
      </w:pPr>
      <w:r>
        <w:rPr>
          <w:rFonts w:ascii="Aptos" w:hAnsi="Aptos"/>
          <w:b/>
          <w:i w:val="0"/>
          <w:color w:val="1F2937"/>
          <w:sz w:val="18"/>
        </w:rPr>
        <w:t xml:space="preserve">Deployment: </w:t>
      </w:r>
      <w:r>
        <w:rPr>
          <w:rFonts w:ascii="Aptos" w:hAnsi="Aptos"/>
          <w:b w:val="0"/>
          <w:i w:val="0"/>
          <w:color w:val="1F2937"/>
          <w:sz w:val="18"/>
        </w:rPr>
        <w:t>remove or qualify unsupported CARPL run/display claims until verified on the final packaged models.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298"/>
      </w:tblGrid>
      <w:tr>
        <w:tc>
          <w:tcPr>
            <w:tcW w:type="dxa" w:w="4961"/>
            <w:shd w:fill="1F7A8C"/>
            <w:tcBorders>
              <w:top w:val="single" w:sz="2" w:color="1F7A8C"/>
              <w:left w:val="single" w:sz="2" w:color="1F7A8C"/>
              <w:bottom w:val="single" w:sz="2" w:color="1F7A8C"/>
              <w:right w:val="single" w:sz="2" w:color="1F7A8C"/>
              <w:insideH w:val="single" w:sz="2" w:color="1F7A8C"/>
              <w:insideV w:val="single" w:sz="2" w:color="1F7A8C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1"/>
            <w:shd w:fill="E8F4F4"/>
            <w:tcBorders>
              <w:top w:val="single" w:sz="2" w:color="E8F4F4"/>
              <w:left w:val="single" w:sz="2" w:color="E8F4F4"/>
              <w:bottom w:val="single" w:sz="2" w:color="E8F4F4"/>
              <w:right w:val="single" w:sz="2" w:color="E8F4F4"/>
              <w:insideH w:val="single" w:sz="2" w:color="E8F4F4"/>
              <w:insideV w:val="single" w:sz="2" w:color="E8F4F4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F7A8C"/>
                <w:sz w:val="20"/>
              </w:rPr>
              <w:t>Evidence status as at 5 October 2026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9"/>
              </w:rPr>
              <w:t>Architecture, cohorts, development validation, model-package hashes and the one-time locked-test evaluation are supported by reproducible artifacts. Final CARPL execution/display evidence is not available in the reviewed project artifacts.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22" w:left="992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085"/>
        <w:sz w:val="16"/>
      </w:rPr>
      <w:t xml:space="preserve">SIG-05-2025  •  Technical addendum  •  </w:t>
    </w:r>
    <w:r>
      <w:rPr>
        <w:rFonts w:ascii="Aptos" w:hAnsi="Aptos"/>
        <w:color w:val="66708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tcMar>
            <w:top w:w="0" w:type="dxa"/>
            <w:start w:w="0" w:type="dxa"/>
            <w:bottom w:w="30" w:type="dxa"/>
            <w:end w:w="0" w:type="dxa"/>
          </w:tcMar>
        </w:tcPr>
        <w:p>
          <w:r>
            <w:rPr>
              <w:rFonts w:ascii="Aptos" w:hAnsi="Aptos"/>
              <w:b/>
              <w:i w:val="0"/>
              <w:color w:val="17365D"/>
              <w:sz w:val="16"/>
            </w:rPr>
            <w:t>MRI PROSTATE SEGMENTATION ASSISTANT</w:t>
          </w:r>
        </w:p>
      </w:tc>
      <w:tc>
        <w:tcPr>
          <w:tcW w:type="dxa" w:w="4824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F7A8C"/>
              <w:sz w:val="16"/>
            </w:rPr>
            <w:t>TECHNICAL ADDENDUM</w:t>
          </w:r>
        </w:p>
      </w:tc>
    </w:tr>
  </w:tbl>
  <w:p>
    <w:pPr>
      <w:spacing w:before="0" w:after="0"/>
      <w:pBdr>
        <w:bottom w:val="single" w:sz="8" w:color="1F7A8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7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 Final Report Technical Addendum</dc:title>
  <dc:subject>Paste-ready technical wording for MRI PSA Draft v0.9</dc:subject>
  <dc:creator>MRI PSA project technical review</dc:creator>
  <cp:keywords>prostate MRI, segmentation, HIVE, U-Net, RRUNet3D, validation</cp:keywords>
  <dc:description>Prepared from repository training and model-approval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