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ptos Display" w:hAnsi="Aptos Display"/>
          <w:b/>
          <w:color w:val="1C4358"/>
          <w:sz w:val="44"/>
        </w:rPr>
        <w:t>MRI Prostate Segmentation Assistant (MRI PSA)</w:t>
      </w:r>
    </w:p>
    <w:p>
      <w:pPr>
        <w:jc w:val="center"/>
      </w:pPr>
      <w:r>
        <w:rPr>
          <w:b/>
          <w:color w:val="245B78"/>
          <w:sz w:val="30"/>
        </w:rPr>
        <w:t>Technical text and diagrams for the SIG Final Report</w:t>
      </w:r>
    </w:p>
    <w:p>
      <w:pPr>
        <w:jc w:val="center"/>
      </w:pPr>
      <w:r>
        <w:rPr>
          <w:i/>
          <w:color w:val="5F696E"/>
          <w:sz w:val="19"/>
        </w:rPr>
        <w:t>Prepared against “SIG Final Report – DRAFT v0.9”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  <w:insideH w:val="single" w:sz="6" w:color="1F4E79"/>
              <w:insideV w:val="single" w:sz="6" w:color="1F4E7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 xml:space="preserve">How to use this document: </w:t>
            </w:r>
            <w:r>
              <w:rPr>
                <w:sz w:val="18"/>
              </w:rPr>
              <w:t>The pale-blue boxes contain final prose intended for direct copying into the SIG report. The yellow boxes are author-only cautions and should not be pasted as project results. The source draft was not modified.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6" w:color="7F6000"/>
              <w:left w:val="single" w:sz="6" w:color="7F6000"/>
              <w:bottom w:val="single" w:sz="6" w:color="7F6000"/>
              <w:right w:val="single" w:sz="6" w:color="7F6000"/>
              <w:insideH w:val="single" w:sz="6" w:color="7F6000"/>
              <w:insideV w:val="single" w:sz="6" w:color="7F6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7F6000"/>
                <w:sz w:val="18"/>
              </w:rPr>
              <w:t xml:space="preserve">Scope decision: </w:t>
            </w:r>
            <w:r>
              <w:rPr>
                <w:sz w:val="18"/>
              </w:rPr>
              <w:t>The CARPL screenshot and Figure 3 caption are deliberately deferred because MRI PSA has not yet been viewed end-to-end on the CARPL platform.</w:t>
            </w:r>
          </w:p>
        </w:tc>
      </w:tr>
    </w:tbl>
    <w:p>
      <w:pPr>
        <w:spacing w:after="0"/>
      </w:pPr>
    </w:p>
    <w:p>
      <w:pPr>
        <w:pStyle w:val="Heading1"/>
      </w:pPr>
      <w:r>
        <w:t>1. Copy-ready replacement text</w:t>
      </w:r>
    </w:p>
    <w:p>
      <w:pPr>
        <w:pStyle w:val="Heading2"/>
      </w:pPr>
      <w:r>
        <w:t>A. Replace the highlighted architecture placeholder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AFC"/>
            <w:tcBorders>
              <w:top w:val="single" w:sz="6" w:color="93B6C8"/>
              <w:left w:val="single" w:sz="6" w:color="93B6C8"/>
              <w:bottom w:val="single" w:sz="6" w:color="93B6C8"/>
              <w:right w:val="single" w:sz="6" w:color="93B6C8"/>
              <w:insideH w:val="single" w:sz="6" w:color="93B6C8"/>
              <w:insideV w:val="single" w:sz="6" w:color="93B6C8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sz w:val="19"/>
              </w:rPr>
              <w:t>Model development. After radiologist review, the whole-gland and lesion segmentation models were trained on CHROMA using the curated SGH cohort and the public PROSTATEx dataset (Table 1). The whole-gland model is a three-dimensional U-Net implemented in MONAI. It receives axial T2-weighted MRI as a single input channel and produces a two-class background/prostate probability map. The lesion model is an ensemble of five three-dimensional residual RR-UNets. Each fold receives co-registered T2-weighted, apparent diffusion coefficient (ADC) and highest-b-value diffusion images and produces a two-class background/lesion probability map. During inference, T2-weighted images are resampled to 1.0-mm isotropic spacing for whole-gland segmentation, while the three lesion channels are aligned and resampled to 0.5-mm isotropic spacing. Lesion inference is restricted to a prostate-centred region of interest. The five fold probabilities are averaged, constrained by the cleaned whole-gland mask and thresholded at 0.63 to generate the final lesion mask. A separate three-dimensional ResNet assigns an AI PI-RADS category from 2 to 5 to each detected lesion component. Training was completed on 31 August 2026. The planned deployment uses the binary whole-gland model; the separately trained transition-zone/peripheral-zone model is not included.</w:t>
            </w:r>
          </w:p>
        </w:tc>
      </w:tr>
    </w:tbl>
    <w:p>
      <w:pPr>
        <w:spacing w:after="0"/>
      </w:pPr>
    </w:p>
    <w:p>
      <w:pPr>
        <w:pStyle w:val="Heading2"/>
      </w:pPr>
      <w:r>
        <w:t>B. Replace the highlighted results sentence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AFC"/>
            <w:tcBorders>
              <w:top w:val="single" w:sz="6" w:color="93B6C8"/>
              <w:left w:val="single" w:sz="6" w:color="93B6C8"/>
              <w:bottom w:val="single" w:sz="6" w:color="93B6C8"/>
              <w:right w:val="single" w:sz="6" w:color="93B6C8"/>
              <w:insideH w:val="single" w:sz="6" w:color="93B6C8"/>
              <w:insideV w:val="single" w:sz="6" w:color="93B6C8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sz w:val="19"/>
              </w:rPr>
              <w:t>The whole-gland model exceeded the prespecified 90% Dice target. On the 264-case development-validation cohort, it achieved a Dice score of 0.95447, precision of 0.95228 and recall of 0.95781. For lesion segmentation, five-fold out-of-fold evaluation across 1,189 unique cases produced a Dice score of 0.47891, lesion sensitivity of 73.62% (773 of 1,050 reference lesions detected) and 0.743 false-positive lesions per case. These are development-validation results used to characterise model performance; they are not results from the separate locked test cohorts.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6" w:color="7F6000"/>
              <w:left w:val="single" w:sz="6" w:color="7F6000"/>
              <w:bottom w:val="single" w:sz="6" w:color="7F6000"/>
              <w:right w:val="single" w:sz="6" w:color="7F6000"/>
              <w:insideH w:val="single" w:sz="6" w:color="7F6000"/>
              <w:insideV w:val="single" w:sz="6" w:color="7F6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7F6000"/>
                <w:sz w:val="18"/>
              </w:rPr>
              <w:t xml:space="preserve">Locked-test boundary: </w:t>
            </w:r>
            <w:r>
              <w:rPr>
                <w:sz w:val="18"/>
              </w:rPr>
              <w:t>The project documents define separate locked test cohorts of 264 whole-gland cases and 209 lesion cases. No completed locked-test metrics were found in the reviewed report, approval form, repository evaluation outputs or training artefacts. Do not relabel the 0.95447 and 73.62% results as locked-test performance.</w:t>
            </w:r>
          </w:p>
        </w:tc>
      </w:tr>
    </w:tbl>
    <w:p>
      <w:pPr>
        <w:spacing w:after="0"/>
      </w:pPr>
    </w:p>
    <w:p>
      <w:pPr>
        <w:pStyle w:val="Heading2"/>
      </w:pPr>
      <w:r>
        <w:t>C. Optional sentence immediately after the results paragraph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AFC"/>
            <w:tcBorders>
              <w:top w:val="single" w:sz="6" w:color="93B6C8"/>
              <w:left w:val="single" w:sz="6" w:color="93B6C8"/>
              <w:bottom w:val="single" w:sz="6" w:color="93B6C8"/>
              <w:right w:val="single" w:sz="6" w:color="93B6C8"/>
              <w:insideH w:val="single" w:sz="6" w:color="93B6C8"/>
              <w:insideV w:val="single" w:sz="6" w:color="93B6C8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sz w:val="19"/>
              </w:rPr>
              <w:t>The predefined locked test cohorts comprised 264 whole-gland cases and 209 lesion cases and were kept separate from model selection. Final locked-test evaluation remains to be completed or documented before those results are reported.</w:t>
            </w:r>
          </w:p>
        </w:tc>
      </w:tr>
    </w:tbl>
    <w:p>
      <w:pPr>
        <w:spacing w:after="0"/>
      </w:pPr>
    </w:p>
    <w:p>
      <w:pPr>
        <w:pStyle w:val="Heading2"/>
      </w:pPr>
      <w:r>
        <w:t>D. Replace the first two sentences under “Integration and deployment”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AFC"/>
            <w:tcBorders>
              <w:top w:val="single" w:sz="6" w:color="93B6C8"/>
              <w:left w:val="single" w:sz="6" w:color="93B6C8"/>
              <w:bottom w:val="single" w:sz="6" w:color="93B6C8"/>
              <w:right w:val="single" w:sz="6" w:color="93B6C8"/>
              <w:insideH w:val="single" w:sz="6" w:color="93B6C8"/>
              <w:insideV w:val="single" w:sz="6" w:color="93B6C8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sz w:val="19"/>
              </w:rPr>
              <w:t>The inference workflow is packaged as a Dockerised MONAI Deploy application for planned onboarding to CARPL. It generates a cleaned whole-gland mask, lesion mask, per-lesion AI PI-RADS output, DICOM Structured Report and a combined DICOM RT Structure Set referenced to the selected T2-weighted series. The combined RTSTRUCT has been tested with Biobot’s updated Urofusion and was successfully loaded with separate prostate and lesion structures. At the reporting cut-off, end-to-end CARPL deployment and prospective clinical validation had not yet been completed and remained dependent on AI Office approval and the relevant platform and cyber-security clearances.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6" w:color="7F6000"/>
              <w:left w:val="single" w:sz="6" w:color="7F6000"/>
              <w:bottom w:val="single" w:sz="6" w:color="7F6000"/>
              <w:right w:val="single" w:sz="6" w:color="7F6000"/>
              <w:insideH w:val="single" w:sz="6" w:color="7F6000"/>
              <w:insideV w:val="single" w:sz="6" w:color="7F6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7F6000"/>
                <w:sz w:val="18"/>
              </w:rPr>
              <w:t xml:space="preserve">Why this wording matters: </w:t>
            </w:r>
            <w:r>
              <w:rPr>
                <w:sz w:val="18"/>
              </w:rPr>
              <w:t>The draft currently states that the model “runs on CARPL”. The repository and the draft’s own problem/milestone sections instead support “packaged/prepared for CARPL onboarding”; live end-to-end CARPL use remains pending.</w:t>
            </w:r>
          </w:p>
        </w:tc>
      </w:tr>
    </w:tbl>
    <w:p>
      <w:pPr>
        <w:spacing w:after="0"/>
      </w:pPr>
    </w:p>
    <w:p>
      <w:pPr>
        <w:pStyle w:val="Heading1"/>
      </w:pPr>
      <w:r>
        <w:t>2. Technical model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Verified implementation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Inference processing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Whole-gland segmentation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3D MONAI U-Net; 1 T2 input channel; 2 output channels (background/prostate); feature channels 16–32–64–128–256; four downsampling stages; two residual units per stage.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RAS orientation; 1.0-mm isotropic resampling; channel-wise z-score normalisation; 128×128×16 sliding window, 50% overlap, batch size 4; softmax and argmax in original image space.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Binary whole-gland mask; disconnected islands removed and internal holes filled for downstream use.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Lesion segmentation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Five-model ensemble of 3D residual RR-UNets; 3 inputs (T2, ADC, highest-b DWI); 2 outputs (background/lesion); 32 initial filters; encoder blocks 1–2–3–4; decoder blocks 3–2–1; residual connections; no recurrent, attention or squeeze-and-excitation blocks in the deployed configuration.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ADC and high-b volumes aligned to T2; all channels resampled to 0.5 mm; prostate-centred crop with 32-voxel margin; per-channel z-score normalisation; five probability maps averaged; cleaned-gland constraint; threshold 0.63.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Binary lesion mask plus five fold probability maps and a merged probability map.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Lesion classification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3D ResNet with BasicBlock stages [1,1,1,1], channels 32–64–128–256 and four output classes. This classifier is downstream of segmentation and was not part of the segmentation performance table.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64×64×64 crop around each 3D lesion component; class index mapped to PI-RADS 2–5; a documented size rule can promote PI-RADS 4 to 5.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Per-lesion AI PI-RADS category, lesion volume and major-axis length.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Clinical-format export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Canonical combined DICOM RTSTRUCT plus DICOM TID 1500 measurement SR, generated from the masks and selected source images.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Every contour is referenced to the actual selected T2 SOP instance and checked for source membership, physical plane agreement and mask round trip before publication.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Prostate ROI first, followed by separate lesion ROIs; AI-generated output remains UNAPPROVED/UNVERIFIED pending radiologist review.</w:t>
            </w:r>
          </w:p>
        </w:tc>
      </w:tr>
    </w:tbl>
    <w:p>
      <w:pPr>
        <w:pStyle w:val="Heading1"/>
      </w:pPr>
      <w:r>
        <w:t>3. Copyable architecture diagram</w:t>
      </w:r>
    </w:p>
    <w:p>
      <w:pPr>
        <w:jc w:val="center"/>
      </w:pPr>
      <w:r>
        <w:rPr>
          <w:b/>
          <w:color w:val="245B78"/>
          <w:sz w:val="21"/>
        </w:rPr>
        <w:t>Figure X. MRI PSA inference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DICOM study</w:t>
              <w:br/>
              <w:t>T2W + ADC + DWI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Series selection</w:t>
              <w:br/>
              <w:t>+ highest-b filtering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45B78"/>
                <w:sz w:val="17"/>
              </w:rPr>
              <w:t>WHOLE-GLAND BRANCH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T2W</w:t>
              <w:br/>
              <w:t>1.0-mm isotropic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BDD7E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3D MONAI U-Net</w:t>
              <w:br/>
              <w:t>sliding window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Cleaned</w:t>
              <w:br/>
              <w:t>whole-gland mask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45B78"/>
                <w:sz w:val="17"/>
              </w:rPr>
              <w:t>LESION BRANCH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T2W + ADC + high-b</w:t>
              <w:br/>
              <w:t>0.5-mm; gland ROI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8CBA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5 × 3D residual</w:t>
              <w:br/>
              <w:t>RR-UNet folds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FE69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Mean probability</w:t>
              <w:br/>
              <w:t>× gland; threshold 0.63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45B78"/>
                <w:sz w:val="17"/>
              </w:rPr>
              <w:t>CHARACTERISATION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E4DFE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3D ResNet</w:t>
              <w:br/>
              <w:t>lesion crop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D9EAD3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AI PI-RADS 2–5</w:t>
              <w:br/>
              <w:t>per lesion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Masks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Measurements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BDD7E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DICOM RTSTRUCT</w:t>
              <w:br/>
              <w:t>+ DICOM SR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Radiologist review</w:t>
              <w:br/>
              <w:t>in Urofusion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AFC"/>
            <w:tcBorders>
              <w:top w:val="single" w:sz="6" w:color="93B6C8"/>
              <w:left w:val="single" w:sz="6" w:color="93B6C8"/>
              <w:bottom w:val="single" w:sz="6" w:color="93B6C8"/>
              <w:right w:val="single" w:sz="6" w:color="93B6C8"/>
              <w:insideH w:val="single" w:sz="6" w:color="93B6C8"/>
              <w:insideV w:val="single" w:sz="6" w:color="93B6C8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sz w:val="19"/>
              </w:rPr>
              <w:t>Figure X. MRI PSA inference workflow. T2-weighted MRI drives whole-gland segmentation by a 3D U-Net. Co-registered T2-weighted, ADC and highest-b-value diffusion images, together with the cleaned whole-gland mask, drive a five-fold 3D residual RR-UNet lesion ensemble. The fold probabilities are averaged, constrained to the gland and thresholded to form the lesion mask. A downstream 3D ResNet assigns an AI PI-RADS category to each detected lesion. The masks and measurements are exported as DICOM RTSTRUCT and DICOM SR for radiologist review.</w:t>
            </w:r>
          </w:p>
        </w:tc>
      </w:tr>
    </w:tbl>
    <w:p>
      <w:pPr>
        <w:spacing w:after="0"/>
      </w:pPr>
    </w:p>
    <w:p>
      <w:pPr>
        <w:pStyle w:val="Heading1"/>
      </w:pPr>
      <w:r>
        <w:t>4. Results and validation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Evaluation set actually reported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Dice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Additional reported metrics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Safe label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Whole gland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264 development-validation cases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0.95447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Precision 0.95228; recall 0.95781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Development-validation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Lesion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Five-fold out-of-fold evaluation; 1,189 unique cases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0.47891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Sensitivity 73.62% (773/1,050 lesions); 0.743 false positives/case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Out-of-fold development validation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Whole gland — locked test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264 reserved cases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Not located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Not located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 not report until verified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Lesion — locked test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209 reserved cases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Not located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Sensitivity and FP/case not located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 not report until verified</w:t>
            </w:r>
          </w:p>
        </w:tc>
      </w:tr>
    </w:tbl>
    <w:p>
      <w:pPr>
        <w:pStyle w:val="Heading3"/>
      </w:pPr>
      <w:r>
        <w:t>Locked-test insertion template (complete only from the evaluation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AFC"/>
            <w:tcBorders>
              <w:top w:val="single" w:sz="6" w:color="93B6C8"/>
              <w:left w:val="single" w:sz="6" w:color="93B6C8"/>
              <w:bottom w:val="single" w:sz="6" w:color="93B6C8"/>
              <w:right w:val="single" w:sz="6" w:color="93B6C8"/>
              <w:insideH w:val="single" w:sz="6" w:color="93B6C8"/>
              <w:insideV w:val="single" w:sz="6" w:color="93B6C8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sz w:val="19"/>
              </w:rPr>
              <w:t>On the locked test cohorts, the whole-gland model achieved a Dice score of [INSERT VERIFIED VALUE] across 264 cases. Across the 209-case lesion locked test cohort, the ensemble achieved lesion sensitivity of [INSERT VERIFIED VALUE] ([DETECTED]/[REFERENCE] lesions), [INSERT VERIFIED VALUE] false-positive lesions per case and a Dice score of [INSERT VERIFIED VALUE]. The locked test cohorts were not used for model or threshold selection.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245B78"/>
          <w:sz w:val="21"/>
        </w:rPr>
        <w:t>Figure Y. Evaluation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DDEB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Model training</w:t>
              <w:br/>
              <w:t>SGH + PROSTATEx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93746"/>
                <w:sz w:val="16"/>
              </w:rPr>
              <w:t>Validation / OOF</w:t>
              <w:br/>
              <w:t>reported metrics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7F6000"/>
                <w:sz w:val="16"/>
              </w:rPr>
              <w:t>Locked test</w:t>
              <w:br/>
              <w:t>reserved; metrics not located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5B78"/>
                <w:sz w:val="32"/>
              </w:rPr>
              <w:t>→</w:t>
            </w:r>
          </w:p>
        </w:tc>
        <w:tc>
          <w:tcPr>
            <w:tcW w:type="dxa" w:w="14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843C0C"/>
                <w:sz w:val="16"/>
              </w:rPr>
              <w:t>Prospective CARPL trial</w:t>
              <w:br/>
              <w:t>not yet completed</w:t>
            </w:r>
          </w:p>
        </w:tc>
      </w:tr>
    </w:tbl>
    <w:p>
      <w:pPr>
        <w:pStyle w:val="Heading1"/>
      </w:pPr>
      <w:r>
        <w:t>5. Figure 3 / CARPL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6" w:color="7F6000"/>
              <w:left w:val="single" w:sz="6" w:color="7F6000"/>
              <w:bottom w:val="single" w:sz="6" w:color="7F6000"/>
              <w:right w:val="single" w:sz="6" w:color="7F6000"/>
              <w:insideH w:val="single" w:sz="6" w:color="7F6000"/>
              <w:insideV w:val="single" w:sz="6" w:color="7F6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7F6000"/>
                <w:sz w:val="18"/>
              </w:rPr>
              <w:t xml:space="preserve">KIV as requested: </w:t>
            </w:r>
            <w:r>
              <w:rPr>
                <w:sz w:val="18"/>
              </w:rPr>
              <w:t>Do not insert an MRI PSA-on-CARPL screenshot or caption yet. A valid figure should be captured only after an actual end-to-end CARPL run has received a study, executed inference, returned the RTSTRUCT/SR and displayed the result against the correct study.</w:t>
            </w:r>
          </w:p>
        </w:tc>
      </w:tr>
    </w:tbl>
    <w:p>
      <w:pPr>
        <w:spacing w:after="0"/>
      </w:pPr>
    </w:p>
    <w:p>
      <w:pPr>
        <w:pStyle w:val="Heading2"/>
      </w:pPr>
      <w:r>
        <w:t>Caption to use later, once directly evidenced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AFC"/>
            <w:tcBorders>
              <w:top w:val="single" w:sz="6" w:color="93B6C8"/>
              <w:left w:val="single" w:sz="6" w:color="93B6C8"/>
              <w:bottom w:val="single" w:sz="6" w:color="93B6C8"/>
              <w:right w:val="single" w:sz="6" w:color="93B6C8"/>
              <w:insideH w:val="single" w:sz="6" w:color="93B6C8"/>
              <w:insideV w:val="single" w:sz="6" w:color="93B6C8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sz w:val="19"/>
              </w:rPr>
              <w:t>Figure 3. MRI PSA output displayed after end-to-end processing on the CARPL platform. The combined DICOM RTSTRUCT contains the whole-gland contour and separate lesion structures; the radiologist reviews and edits these structures in Urofusion before biopsy planning.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— Evidence map for final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Claim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245B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evidence reviewed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Whole-gland architecture and inference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configs/organ.yaml; training/engine.py; prostate_mri_lesion_seg_app/organ_seg_operator.py; deployed models/organ/model.ts parameter shapes.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Lesion architecture and inference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configs/lesion.yaml; prostate_mri_lesion_seg_app/custom_lesion_seg_operator.py; prostate_mri_lesion_seg_app/rrunet3D.py.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Development-validation metrics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Approval Form for Artificial Intelligence Product – filled.docx, Section 5, item 4; same values reproduced in SIG draft Table 2.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Cohort and locked-test sizes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SIG draft Table 1 and AI Approval Form cohort table: 264 whole-gland and 209 lesion locked-test cases.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Locked-test result status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 evaluation/organ or evaluation/lesion summary artefact located; HIVE notebooks and README state locked testing should occur once after model choices are frozen.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Urofusion compatibility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  <w:shd w:fill="F3F7F9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docs/UROFUSION_RTSTRUCT_ACCEPTANCE_2026-09-27.md and associated RTSTRUCT validation record.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CARPL status</w:t>
            </w:r>
          </w:p>
        </w:tc>
        <w:tc>
          <w:tcPr>
            <w:tcW w:type="dxa" w:w="76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color="B7C9D3"/>
              <w:left w:val="single" w:sz="6" w:color="B7C9D3"/>
              <w:bottom w:val="single" w:sz="6" w:color="B7C9D3"/>
              <w:right w:val="single" w:sz="6" w:color="B7C9D3"/>
              <w:insideH w:val="single" w:sz="6" w:color="B7C9D3"/>
              <w:insideV w:val="single" w:sz="6" w:color="B7C9D3"/>
            </w:tcBorders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SIG draft Problems 4–6 and milestones; current integration material is preparatory/local rather than evidence of completed live CARPL deployment.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8"/>
        <w:sz w:val="16"/>
      </w:rPr>
      <w:t xml:space="preserve">Copy-ready technical text • Evidence reviewed 5 October 2026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78"/>
        <w:sz w:val="16"/>
      </w:rPr>
      <w:t>SIG-05-2025  |  MRI PSA TECHNICAL INSERT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3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43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MRI PSA technical text and diagrams for SIG Final Report</dc:title>
  <dc:subject>Copy-ready factual architecture, inference and validation wording</dc:subject>
  <dc:creator>Prepared from project source evidence for SIG-05-2025</dc:creator>
  <cp:keywords>MRI PSA, prostate MRI, MONAI U-Net, RR-UNet, locked test, SIG final report</cp:keywords>
  <dc:description>Source draft unchanged. CARPL screenshot deferred. Locked-test metrics not located.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