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22EC5" w14:textId="77777777" w:rsidR="001E144E" w:rsidRDefault="001E144E">
      <w:pPr>
        <w:pBdr>
          <w:bottom w:val="single" w:sz="8" w:space="0" w:color="2E75B6"/>
        </w:pBdr>
        <w:shd w:val="clear" w:color="auto" w:fill="1B3A5C"/>
        <w:jc w:val="center"/>
      </w:pPr>
    </w:p>
    <w:p w14:paraId="40494A9B" w14:textId="77777777" w:rsidR="001E144E" w:rsidRDefault="00000000">
      <w:pPr>
        <w:spacing w:before="280" w:after="60"/>
        <w:jc w:val="center"/>
      </w:pPr>
      <w:r>
        <w:rPr>
          <w:b/>
          <w:bCs/>
          <w:color w:val="1B3A5C"/>
          <w:sz w:val="36"/>
          <w:szCs w:val="36"/>
        </w:rPr>
        <w:t>BUSINESS INSIGHTS SUMMARY</w:t>
      </w:r>
    </w:p>
    <w:p w14:paraId="56BFECB5" w14:textId="77777777" w:rsidR="001E144E" w:rsidRDefault="00000000">
      <w:pPr>
        <w:spacing w:after="60"/>
        <w:jc w:val="center"/>
      </w:pPr>
      <w:r>
        <w:rPr>
          <w:color w:val="2E75B6"/>
          <w:sz w:val="28"/>
          <w:szCs w:val="28"/>
        </w:rPr>
        <w:t>Supermarket Sales Performance Analysis</w:t>
      </w:r>
    </w:p>
    <w:p w14:paraId="1BE8B1C6" w14:textId="77777777" w:rsidR="001E144E" w:rsidRDefault="00000000">
      <w:pPr>
        <w:spacing w:after="60"/>
        <w:jc w:val="center"/>
      </w:pPr>
      <w:r>
        <w:rPr>
          <w:color w:val="595959"/>
          <w:sz w:val="18"/>
          <w:szCs w:val="18"/>
        </w:rPr>
        <w:t>Prepared for: Data Analyst Portfolio  |  Dataset: Kaggle Supermarket Sales  |  Period: Q1 2019 – Q1 2020</w:t>
      </w:r>
    </w:p>
    <w:p w14:paraId="48F8C07C" w14:textId="77777777" w:rsidR="001E144E" w:rsidRDefault="001E144E">
      <w:pPr>
        <w:pBdr>
          <w:bottom w:val="single" w:sz="6" w:space="1" w:color="2E75B6"/>
        </w:pBdr>
        <w:spacing w:after="80"/>
      </w:pPr>
    </w:p>
    <w:p w14:paraId="09FD40CC" w14:textId="77777777" w:rsidR="001E144E" w:rsidRDefault="001E144E">
      <w:pPr>
        <w:spacing w:after="200"/>
      </w:pPr>
    </w:p>
    <w:p w14:paraId="53AB8D3A" w14:textId="77777777" w:rsidR="001E144E" w:rsidRDefault="00000000">
      <w:pPr>
        <w:pStyle w:val="Heading1"/>
      </w:pPr>
      <w:r>
        <w:t>1. Executive Summary</w:t>
      </w:r>
    </w:p>
    <w:p w14:paraId="7755CFF8" w14:textId="77777777" w:rsidR="001E144E" w:rsidRDefault="00000000">
      <w:pPr>
        <w:spacing w:before="60" w:after="60"/>
        <w:jc w:val="both"/>
      </w:pPr>
      <w:r>
        <w:rPr>
          <w:color w:val="595959"/>
        </w:rPr>
        <w:t>This report presents a comprehensive analysis of sales transaction data from a supermarket chain operating across three cities in Myanmar: Naypyitaw, Yangon, and Mandalay. The analysis covers product category performance, regional revenue distribution, customer payment patterns, and profitability by branch.</w:t>
      </w:r>
    </w:p>
    <w:p w14:paraId="32185E7F" w14:textId="77777777" w:rsidR="001E144E" w:rsidRDefault="001E144E">
      <w:pPr>
        <w:spacing w:after="80"/>
      </w:pPr>
    </w:p>
    <w:p w14:paraId="6BEDFC49" w14:textId="77777777" w:rsidR="001E144E" w:rsidRDefault="00000000">
      <w:pPr>
        <w:spacing w:before="60" w:after="60"/>
        <w:jc w:val="both"/>
      </w:pPr>
      <w:r>
        <w:rPr>
          <w:color w:val="595959"/>
        </w:rPr>
        <w:t>The primary objective is to translate raw transactional data into prioritized business recommendations that can be acted upon by both sales management and the data team. Findings are grounded in exploratory data analysis (EDA), Pareto segmentation, and time-series trend review performed in Python (pandas) with a supporting Power BI dashboard.</w:t>
      </w:r>
    </w:p>
    <w:p w14:paraId="23F467AB" w14:textId="77777777" w:rsidR="001E144E" w:rsidRDefault="001E144E">
      <w:pPr>
        <w:spacing w:after="200"/>
      </w:pPr>
    </w:p>
    <w:p w14:paraId="7239DB5E" w14:textId="77777777" w:rsidR="001E144E" w:rsidRDefault="00000000">
      <w:pPr>
        <w:pStyle w:val="Heading1"/>
      </w:pPr>
      <w:r>
        <w:t>2.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E144E" w14:paraId="20476393"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160" w:type="dxa"/>
              <w:left w:w="160" w:type="dxa"/>
              <w:bottom w:w="160" w:type="dxa"/>
              <w:right w:w="160" w:type="dxa"/>
            </w:tcMar>
            <w:vAlign w:val="center"/>
          </w:tcPr>
          <w:p w14:paraId="30A19398" w14:textId="77777777" w:rsidR="001E144E" w:rsidRDefault="00000000">
            <w:pPr>
              <w:spacing w:after="40"/>
              <w:jc w:val="center"/>
            </w:pPr>
            <w:r>
              <w:rPr>
                <w:b/>
                <w:bCs/>
                <w:color w:val="2E75B6"/>
                <w:sz w:val="40"/>
                <w:szCs w:val="40"/>
              </w:rPr>
              <w:t>$322,966</w:t>
            </w:r>
          </w:p>
          <w:p w14:paraId="41A7FE2B" w14:textId="77777777" w:rsidR="001E144E" w:rsidRDefault="00000000">
            <w:pPr>
              <w:spacing w:after="20"/>
              <w:jc w:val="center"/>
            </w:pPr>
            <w:r>
              <w:rPr>
                <w:b/>
                <w:bCs/>
                <w:color w:val="1B3A5C"/>
                <w:sz w:val="18"/>
                <w:szCs w:val="18"/>
              </w:rPr>
              <w:t>Total Revenue</w:t>
            </w:r>
          </w:p>
          <w:p w14:paraId="64CE8A31" w14:textId="77777777" w:rsidR="001E144E" w:rsidRDefault="00000000">
            <w:pPr>
              <w:jc w:val="center"/>
            </w:pPr>
            <w:r>
              <w:rPr>
                <w:color w:val="595959"/>
                <w:sz w:val="16"/>
                <w:szCs w:val="16"/>
              </w:rPr>
              <w:t>Across all branches</w:t>
            </w:r>
          </w:p>
        </w:tc>
        <w:tc>
          <w:tcPr>
            <w:tcW w:w="2340" w:type="dxa"/>
            <w:tcBorders>
              <w:top w:val="single" w:sz="1" w:space="0" w:color="375623"/>
              <w:left w:val="single" w:sz="1" w:space="0" w:color="375623"/>
              <w:bottom w:val="single" w:sz="1" w:space="0" w:color="375623"/>
              <w:right w:val="single" w:sz="1" w:space="0" w:color="375623"/>
            </w:tcBorders>
            <w:shd w:val="clear" w:color="auto" w:fill="E2EFDA"/>
            <w:tcMar>
              <w:top w:w="160" w:type="dxa"/>
              <w:left w:w="160" w:type="dxa"/>
              <w:bottom w:w="160" w:type="dxa"/>
              <w:right w:w="160" w:type="dxa"/>
            </w:tcMar>
            <w:vAlign w:val="center"/>
          </w:tcPr>
          <w:p w14:paraId="62985A15" w14:textId="77777777" w:rsidR="001E144E" w:rsidRDefault="00000000">
            <w:pPr>
              <w:spacing w:after="40"/>
              <w:jc w:val="center"/>
            </w:pPr>
            <w:r>
              <w:rPr>
                <w:b/>
                <w:bCs/>
                <w:color w:val="375623"/>
                <w:sz w:val="40"/>
                <w:szCs w:val="40"/>
              </w:rPr>
              <w:t>1,000</w:t>
            </w:r>
          </w:p>
          <w:p w14:paraId="09C4C122" w14:textId="77777777" w:rsidR="001E144E" w:rsidRDefault="00000000">
            <w:pPr>
              <w:spacing w:after="20"/>
              <w:jc w:val="center"/>
            </w:pPr>
            <w:r>
              <w:rPr>
                <w:b/>
                <w:bCs/>
                <w:color w:val="1B3A5C"/>
                <w:sz w:val="18"/>
                <w:szCs w:val="18"/>
              </w:rPr>
              <w:t>Total Transactions</w:t>
            </w:r>
          </w:p>
          <w:p w14:paraId="5C31DF3C" w14:textId="77777777" w:rsidR="001E144E" w:rsidRDefault="00000000">
            <w:pPr>
              <w:jc w:val="center"/>
            </w:pPr>
            <w:r>
              <w:rPr>
                <w:color w:val="595959"/>
                <w:sz w:val="16"/>
                <w:szCs w:val="16"/>
              </w:rPr>
              <w:t>Unique orders</w:t>
            </w:r>
          </w:p>
        </w:tc>
        <w:tc>
          <w:tcPr>
            <w:tcW w:w="2340" w:type="dxa"/>
            <w:tcBorders>
              <w:top w:val="single" w:sz="1" w:space="0" w:color="7F6000"/>
              <w:left w:val="single" w:sz="1" w:space="0" w:color="7F6000"/>
              <w:bottom w:val="single" w:sz="1" w:space="0" w:color="7F6000"/>
              <w:right w:val="single" w:sz="1" w:space="0" w:color="7F6000"/>
            </w:tcBorders>
            <w:shd w:val="clear" w:color="auto" w:fill="FFF2CC"/>
            <w:tcMar>
              <w:top w:w="160" w:type="dxa"/>
              <w:left w:w="160" w:type="dxa"/>
              <w:bottom w:w="160" w:type="dxa"/>
              <w:right w:w="160" w:type="dxa"/>
            </w:tcMar>
            <w:vAlign w:val="center"/>
          </w:tcPr>
          <w:p w14:paraId="004DEF3F" w14:textId="77777777" w:rsidR="001E144E" w:rsidRDefault="00000000">
            <w:pPr>
              <w:spacing w:after="40"/>
              <w:jc w:val="center"/>
            </w:pPr>
            <w:r>
              <w:rPr>
                <w:b/>
                <w:bCs/>
                <w:color w:val="7F6000"/>
                <w:sz w:val="40"/>
                <w:szCs w:val="40"/>
              </w:rPr>
              <w:t>$323</w:t>
            </w:r>
          </w:p>
          <w:p w14:paraId="48DFED52" w14:textId="77777777" w:rsidR="001E144E" w:rsidRDefault="00000000">
            <w:pPr>
              <w:spacing w:after="20"/>
              <w:jc w:val="center"/>
            </w:pPr>
            <w:r>
              <w:rPr>
                <w:b/>
                <w:bCs/>
                <w:color w:val="1B3A5C"/>
                <w:sz w:val="18"/>
                <w:szCs w:val="18"/>
              </w:rPr>
              <w:t>Avg Order Value</w:t>
            </w:r>
          </w:p>
          <w:p w14:paraId="51A04DCA" w14:textId="77777777" w:rsidR="001E144E" w:rsidRDefault="00000000">
            <w:pPr>
              <w:jc w:val="center"/>
            </w:pPr>
            <w:r>
              <w:rPr>
                <w:color w:val="595959"/>
                <w:sz w:val="16"/>
                <w:szCs w:val="16"/>
              </w:rPr>
              <w:t>Per transaction</w:t>
            </w:r>
          </w:p>
        </w:tc>
        <w:tc>
          <w:tcPr>
            <w:tcW w:w="2340" w:type="dxa"/>
            <w:tcBorders>
              <w:top w:val="single" w:sz="1" w:space="0" w:color="1B3A5C"/>
              <w:left w:val="single" w:sz="1" w:space="0" w:color="1B3A5C"/>
              <w:bottom w:val="single" w:sz="1" w:space="0" w:color="1B3A5C"/>
              <w:right w:val="single" w:sz="1" w:space="0" w:color="1B3A5C"/>
            </w:tcBorders>
            <w:shd w:val="clear" w:color="auto" w:fill="E8F4FB"/>
            <w:tcMar>
              <w:top w:w="160" w:type="dxa"/>
              <w:left w:w="160" w:type="dxa"/>
              <w:bottom w:w="160" w:type="dxa"/>
              <w:right w:w="160" w:type="dxa"/>
            </w:tcMar>
            <w:vAlign w:val="center"/>
          </w:tcPr>
          <w:p w14:paraId="0DD50EEF" w14:textId="77777777" w:rsidR="001E144E" w:rsidRDefault="00000000">
            <w:pPr>
              <w:spacing w:after="40"/>
              <w:jc w:val="center"/>
            </w:pPr>
            <w:r>
              <w:rPr>
                <w:b/>
                <w:bCs/>
                <w:color w:val="1B3A5C"/>
                <w:sz w:val="40"/>
                <w:szCs w:val="40"/>
              </w:rPr>
              <w:t>Naypyitaw</w:t>
            </w:r>
          </w:p>
          <w:p w14:paraId="41AAA46A" w14:textId="77777777" w:rsidR="001E144E" w:rsidRDefault="00000000">
            <w:pPr>
              <w:spacing w:after="20"/>
              <w:jc w:val="center"/>
            </w:pPr>
            <w:r>
              <w:rPr>
                <w:b/>
                <w:bCs/>
                <w:color w:val="1B3A5C"/>
                <w:sz w:val="18"/>
                <w:szCs w:val="18"/>
              </w:rPr>
              <w:t>Top City</w:t>
            </w:r>
          </w:p>
          <w:p w14:paraId="4A725C2F" w14:textId="77777777" w:rsidR="001E144E" w:rsidRDefault="00000000">
            <w:pPr>
              <w:jc w:val="center"/>
            </w:pPr>
            <w:r>
              <w:rPr>
                <w:color w:val="595959"/>
                <w:sz w:val="16"/>
                <w:szCs w:val="16"/>
              </w:rPr>
              <w:t>Highest avg order value</w:t>
            </w:r>
          </w:p>
        </w:tc>
      </w:tr>
    </w:tbl>
    <w:p w14:paraId="6DC3B27A" w14:textId="77777777" w:rsidR="001E144E" w:rsidRDefault="001E144E">
      <w:pPr>
        <w:spacing w:after="200"/>
      </w:pPr>
    </w:p>
    <w:p w14:paraId="07A2D561" w14:textId="77777777" w:rsidR="001E144E" w:rsidRDefault="00000000">
      <w:pPr>
        <w:pStyle w:val="Heading1"/>
      </w:pPr>
      <w:r>
        <w:t>3. Key Findings</w:t>
      </w:r>
    </w:p>
    <w:p w14:paraId="0CE0A2D0" w14:textId="77777777" w:rsidR="001E144E" w:rsidRDefault="00000000">
      <w:pPr>
        <w:pStyle w:val="Heading2"/>
      </w:pPr>
      <w:r>
        <w:t>3.1  Product Category Performance</w:t>
      </w:r>
    </w:p>
    <w:p w14:paraId="20D2BE5C" w14:textId="77777777" w:rsidR="001E144E" w:rsidRDefault="00000000">
      <w:pPr>
        <w:spacing w:before="60" w:after="60"/>
        <w:jc w:val="both"/>
      </w:pPr>
      <w:r>
        <w:rPr>
          <w:color w:val="595959"/>
        </w:rPr>
        <w:t>All six product categories — Food and Beverages, Sports and Travel, Electronic Accessories, Fashion Accessories, Home and Lifestyle, and Health and Beauty — show remarkably similar gross income contributions, each ranging between 15% and 18% of total revenue. This near-uniform distribution indicates no single category dominates.</w:t>
      </w:r>
    </w:p>
    <w:p w14:paraId="4FDD9D1F" w14:textId="77777777" w:rsidR="001E144E" w:rsidRDefault="001E144E">
      <w:pPr>
        <w:spacing w:after="80"/>
      </w:pPr>
    </w:p>
    <w:p w14:paraId="03E195F7" w14:textId="77777777" w:rsidR="001E144E" w:rsidRDefault="00000000">
      <w:pPr>
        <w:pStyle w:val="ListParagraph"/>
        <w:numPr>
          <w:ilvl w:val="0"/>
          <w:numId w:val="2"/>
        </w:numPr>
        <w:spacing w:before="40" w:after="40"/>
      </w:pPr>
      <w:r>
        <w:rPr>
          <w:b/>
          <w:bCs/>
          <w:color w:val="1B3A5C"/>
        </w:rPr>
        <w:t xml:space="preserve">Finding: </w:t>
      </w:r>
      <w:r>
        <w:rPr>
          <w:color w:val="595959"/>
        </w:rPr>
        <w:t>Food and Beverages leads marginally at 17.38% of total gross income.</w:t>
      </w:r>
    </w:p>
    <w:p w14:paraId="0042E732" w14:textId="77777777" w:rsidR="001E144E" w:rsidRDefault="00000000">
      <w:pPr>
        <w:pStyle w:val="ListParagraph"/>
        <w:numPr>
          <w:ilvl w:val="0"/>
          <w:numId w:val="2"/>
        </w:numPr>
        <w:spacing w:before="40" w:after="40"/>
      </w:pPr>
      <w:r>
        <w:rPr>
          <w:b/>
          <w:bCs/>
          <w:color w:val="1B3A5C"/>
        </w:rPr>
        <w:t xml:space="preserve">Finding: </w:t>
      </w:r>
      <w:r>
        <w:rPr>
          <w:color w:val="595959"/>
        </w:rPr>
        <w:t>No category is significantly underperforming in absolute revenue terms.</w:t>
      </w:r>
    </w:p>
    <w:p w14:paraId="21AC2110" w14:textId="77777777" w:rsidR="001E144E" w:rsidRDefault="00000000">
      <w:pPr>
        <w:pStyle w:val="ListParagraph"/>
        <w:numPr>
          <w:ilvl w:val="0"/>
          <w:numId w:val="2"/>
        </w:numPr>
        <w:spacing w:before="40" w:after="40"/>
      </w:pPr>
      <w:r>
        <w:rPr>
          <w:b/>
          <w:bCs/>
          <w:color w:val="1B3A5C"/>
        </w:rPr>
        <w:t xml:space="preserve">Implication: </w:t>
      </w:r>
      <w:r>
        <w:rPr>
          <w:color w:val="595959"/>
        </w:rPr>
        <w:t>Health and Beauty shows the lowest transaction count, suggesting lower purchase frequency rather than low spend per order.</w:t>
      </w:r>
    </w:p>
    <w:p w14:paraId="637D299F" w14:textId="77777777" w:rsidR="001E144E" w:rsidRDefault="001E144E">
      <w:pPr>
        <w:spacing w:after="160"/>
      </w:pPr>
    </w:p>
    <w:p w14:paraId="53B29393" w14:textId="77777777" w:rsidR="001E144E" w:rsidRDefault="00000000">
      <w:pPr>
        <w:pStyle w:val="Heading2"/>
      </w:pPr>
      <w:r>
        <w:t>3.2  Regional Performance</w:t>
      </w:r>
    </w:p>
    <w:p w14:paraId="04D44DF1" w14:textId="77777777" w:rsidR="001E144E" w:rsidRDefault="00000000">
      <w:pPr>
        <w:spacing w:before="60" w:after="60"/>
        <w:jc w:val="both"/>
      </w:pPr>
      <w:r>
        <w:rPr>
          <w:color w:val="595959"/>
        </w:rPr>
        <w:t>Branch-level analysis reveals meaningful differences in customer behavior and revenue quality across the three cities.</w:t>
      </w:r>
    </w:p>
    <w:p w14:paraId="5FBEBA5D" w14:textId="77777777" w:rsidR="001E144E" w:rsidRDefault="001E144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60"/>
        <w:gridCol w:w="1600"/>
        <w:gridCol w:w="2000"/>
        <w:gridCol w:w="2400"/>
      </w:tblGrid>
      <w:tr w:rsidR="001E144E" w14:paraId="174C92A7"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33007B3F" w14:textId="77777777" w:rsidR="001E144E" w:rsidRDefault="00000000">
            <w:r>
              <w:rPr>
                <w:b/>
                <w:bCs/>
                <w:color w:val="1B3A5C"/>
                <w:sz w:val="19"/>
                <w:szCs w:val="19"/>
              </w:rPr>
              <w:lastRenderedPageBreak/>
              <w:t>City</w:t>
            </w:r>
          </w:p>
        </w:tc>
        <w:tc>
          <w:tcPr>
            <w:tcW w:w="13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3484E439" w14:textId="77777777" w:rsidR="001E144E" w:rsidRDefault="00000000">
            <w:r>
              <w:rPr>
                <w:b/>
                <w:bCs/>
                <w:color w:val="1B3A5C"/>
                <w:sz w:val="19"/>
                <w:szCs w:val="19"/>
              </w:rPr>
              <w:t>Branch</w:t>
            </w:r>
          </w:p>
        </w:tc>
        <w:tc>
          <w:tcPr>
            <w:tcW w:w="1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69342B5B" w14:textId="77777777" w:rsidR="001E144E" w:rsidRDefault="00000000">
            <w:r>
              <w:rPr>
                <w:b/>
                <w:bCs/>
                <w:color w:val="1B3A5C"/>
                <w:sz w:val="19"/>
                <w:szCs w:val="19"/>
              </w:rPr>
              <w:t>Revenue Share</w:t>
            </w:r>
          </w:p>
        </w:tc>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1703B4C" w14:textId="77777777" w:rsidR="001E144E" w:rsidRDefault="00000000">
            <w:r>
              <w:rPr>
                <w:b/>
                <w:bCs/>
                <w:color w:val="1B3A5C"/>
                <w:sz w:val="19"/>
                <w:szCs w:val="19"/>
              </w:rPr>
              <w:t>Avg Order Value</w:t>
            </w:r>
          </w:p>
        </w:tc>
        <w:tc>
          <w:tcPr>
            <w:tcW w:w="24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99F820B" w14:textId="77777777" w:rsidR="001E144E" w:rsidRDefault="00000000">
            <w:r>
              <w:rPr>
                <w:b/>
                <w:bCs/>
                <w:color w:val="1B3A5C"/>
                <w:sz w:val="19"/>
                <w:szCs w:val="19"/>
              </w:rPr>
              <w:t>Customer Type Mix</w:t>
            </w:r>
          </w:p>
        </w:tc>
      </w:tr>
      <w:tr w:rsidR="001E144E" w14:paraId="70B11DC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A2BC0D" w14:textId="77777777" w:rsidR="001E144E" w:rsidRDefault="00000000">
            <w:r>
              <w:rPr>
                <w:b/>
                <w:bCs/>
                <w:color w:val="1B3A5C"/>
                <w:sz w:val="19"/>
                <w:szCs w:val="19"/>
              </w:rPr>
              <w:t>Naypyitaw</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151F14" w14:textId="77777777" w:rsidR="001E144E" w:rsidRDefault="00000000">
            <w:r>
              <w:rPr>
                <w:color w:val="595959"/>
                <w:sz w:val="19"/>
                <w:szCs w:val="19"/>
              </w:rPr>
              <w:t>C</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5632E2" w14:textId="77777777" w:rsidR="001E144E" w:rsidRDefault="00000000">
            <w:r>
              <w:rPr>
                <w:color w:val="595959"/>
                <w:sz w:val="19"/>
                <w:szCs w:val="19"/>
              </w:rPr>
              <w:t>~34%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EAE22B" w14:textId="77777777" w:rsidR="001E144E" w:rsidRDefault="00000000">
            <w:r>
              <w:rPr>
                <w:color w:val="595959"/>
                <w:sz w:val="19"/>
                <w:szCs w:val="19"/>
              </w:rPr>
              <w:t>Highest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F34BD5" w14:textId="77777777" w:rsidR="001E144E" w:rsidRDefault="00000000">
            <w:r>
              <w:rPr>
                <w:color w:val="595959"/>
                <w:sz w:val="19"/>
                <w:szCs w:val="19"/>
              </w:rPr>
              <w:t>Member-skewed</w:t>
            </w:r>
          </w:p>
        </w:tc>
      </w:tr>
      <w:tr w:rsidR="001E144E" w14:paraId="4AE6BDC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55CFDDEA" w14:textId="77777777" w:rsidR="001E144E" w:rsidRDefault="00000000">
            <w:r>
              <w:rPr>
                <w:b/>
                <w:bCs/>
                <w:color w:val="1B3A5C"/>
                <w:sz w:val="19"/>
                <w:szCs w:val="19"/>
              </w:rPr>
              <w:t>Yangon</w:t>
            </w:r>
          </w:p>
        </w:tc>
        <w:tc>
          <w:tcPr>
            <w:tcW w:w="1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228141A3" w14:textId="77777777" w:rsidR="001E144E" w:rsidRDefault="00000000">
            <w:r>
              <w:rPr>
                <w:color w:val="595959"/>
                <w:sz w:val="19"/>
                <w:szCs w:val="19"/>
              </w:rPr>
              <w:t>A</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53BFC5B5" w14:textId="77777777" w:rsidR="001E144E" w:rsidRDefault="00000000">
            <w:r>
              <w:rPr>
                <w:color w:val="595959"/>
                <w:sz w:val="19"/>
                <w:szCs w:val="19"/>
              </w:rPr>
              <w:t>~33%</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7F109322" w14:textId="77777777" w:rsidR="001E144E" w:rsidRDefault="00000000">
            <w:r>
              <w:rPr>
                <w:color w:val="595959"/>
                <w:sz w:val="19"/>
                <w:szCs w:val="19"/>
              </w:rPr>
              <w:t>Moderate</w:t>
            </w:r>
          </w:p>
        </w:tc>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39E96C26" w14:textId="77777777" w:rsidR="001E144E" w:rsidRDefault="00000000">
            <w:r>
              <w:rPr>
                <w:color w:val="595959"/>
                <w:sz w:val="19"/>
                <w:szCs w:val="19"/>
              </w:rPr>
              <w:t>Balanced</w:t>
            </w:r>
          </w:p>
        </w:tc>
      </w:tr>
      <w:tr w:rsidR="001E144E" w14:paraId="3C98831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0A67B0" w14:textId="77777777" w:rsidR="001E144E" w:rsidRDefault="00000000">
            <w:r>
              <w:rPr>
                <w:b/>
                <w:bCs/>
                <w:color w:val="1B3A5C"/>
                <w:sz w:val="19"/>
                <w:szCs w:val="19"/>
              </w:rPr>
              <w:t>Mandalay</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3884DB" w14:textId="77777777" w:rsidR="001E144E" w:rsidRDefault="00000000">
            <w:r>
              <w:rPr>
                <w:color w:val="595959"/>
                <w:sz w:val="19"/>
                <w:szCs w:val="19"/>
              </w:rPr>
              <w:t>B</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4DAF0F" w14:textId="77777777" w:rsidR="001E144E" w:rsidRDefault="00000000">
            <w:r>
              <w:rPr>
                <w:color w:val="595959"/>
                <w:sz w:val="19"/>
                <w:szCs w:val="19"/>
              </w:rPr>
              <w:t>~33%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41A2B2" w14:textId="77777777" w:rsidR="001E144E" w:rsidRDefault="00000000">
            <w:r>
              <w:rPr>
                <w:color w:val="595959"/>
                <w:sz w:val="19"/>
                <w:szCs w:val="19"/>
              </w:rPr>
              <w:t>Moderate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0B751B" w14:textId="77777777" w:rsidR="001E144E" w:rsidRDefault="00000000">
            <w:r>
              <w:rPr>
                <w:color w:val="595959"/>
                <w:sz w:val="19"/>
                <w:szCs w:val="19"/>
              </w:rPr>
              <w:t>Normal customer-skewed</w:t>
            </w:r>
          </w:p>
        </w:tc>
      </w:tr>
    </w:tbl>
    <w:p w14:paraId="41EB0EE8" w14:textId="77777777" w:rsidR="001E144E" w:rsidRDefault="001E144E">
      <w:pPr>
        <w:spacing w:after="120"/>
      </w:pPr>
    </w:p>
    <w:p w14:paraId="71A7C188" w14:textId="77777777" w:rsidR="001E144E" w:rsidRDefault="00000000">
      <w:pPr>
        <w:spacing w:before="60" w:after="60"/>
        <w:jc w:val="both"/>
      </w:pPr>
      <w:r>
        <w:rPr>
          <w:color w:val="595959"/>
        </w:rPr>
        <w:t>Naypyitaw (Branch C) generates disproportionately high average order values relative to transaction volume — a premium customer profile. This is not explained by volume alone; it reflects higher-value basket sizes, likely driven by the city's member loyalty program penetration.</w:t>
      </w:r>
    </w:p>
    <w:p w14:paraId="4BB863C9" w14:textId="77777777" w:rsidR="001E144E" w:rsidRDefault="001E144E">
      <w:pPr>
        <w:spacing w:after="200"/>
      </w:pPr>
    </w:p>
    <w:p w14:paraId="7BD8E6B7" w14:textId="77777777" w:rsidR="001E144E" w:rsidRDefault="00000000">
      <w:pPr>
        <w:pStyle w:val="Heading2"/>
      </w:pPr>
      <w:r>
        <w:t>3.3  Customer Revenue Distribution (Pareto)</w:t>
      </w:r>
    </w:p>
    <w:p w14:paraId="4B17EC5F" w14:textId="77777777" w:rsidR="001E144E" w:rsidRDefault="00000000">
      <w:pPr>
        <w:spacing w:before="60" w:after="60"/>
        <w:jc w:val="both"/>
      </w:pPr>
      <w:r>
        <w:rPr>
          <w:color w:val="595959"/>
        </w:rPr>
        <w:t>A Pareto analysis of customer revenue contribution reveals that the top 20% of customers generate approximately 45.1% of total revenue. While this falls short of the classic 80/20 split, it still indicates meaningful concentration — and opportunity.</w:t>
      </w:r>
    </w:p>
    <w:p w14:paraId="6FD3D5F2" w14:textId="77777777" w:rsidR="001E144E" w:rsidRDefault="001E144E">
      <w:pPr>
        <w:spacing w:after="80"/>
      </w:pPr>
    </w:p>
    <w:p w14:paraId="2CC39229" w14:textId="77777777" w:rsidR="001E144E" w:rsidRDefault="00000000">
      <w:pPr>
        <w:pStyle w:val="ListParagraph"/>
        <w:numPr>
          <w:ilvl w:val="0"/>
          <w:numId w:val="2"/>
        </w:numPr>
        <w:spacing w:before="40" w:after="40"/>
      </w:pPr>
      <w:r>
        <w:rPr>
          <w:b/>
          <w:bCs/>
          <w:color w:val="1B3A5C"/>
        </w:rPr>
        <w:t xml:space="preserve">Finding: </w:t>
      </w:r>
      <w:r>
        <w:rPr>
          <w:color w:val="595959"/>
        </w:rPr>
        <w:t>Member customers (loyalty card holders) account for a disproportionate share of high-value orders.</w:t>
      </w:r>
    </w:p>
    <w:p w14:paraId="65CB0270" w14:textId="77777777" w:rsidR="001E144E" w:rsidRDefault="00000000">
      <w:pPr>
        <w:pStyle w:val="ListParagraph"/>
        <w:numPr>
          <w:ilvl w:val="0"/>
          <w:numId w:val="2"/>
        </w:numPr>
        <w:spacing w:before="40" w:after="40"/>
      </w:pPr>
      <w:r>
        <w:rPr>
          <w:b/>
          <w:bCs/>
          <w:color w:val="1B3A5C"/>
        </w:rPr>
        <w:t xml:space="preserve">Implication: </w:t>
      </w:r>
      <w:r>
        <w:rPr>
          <w:color w:val="595959"/>
        </w:rPr>
        <w:t>The remaining revenue is spread more evenly than typical retail patterns, suggesting lower customer polarization — this is a competitive asset but also means there is room to grow the high-value segment.</w:t>
      </w:r>
    </w:p>
    <w:p w14:paraId="382970D5" w14:textId="77777777" w:rsidR="001E144E" w:rsidRDefault="00000000">
      <w:pPr>
        <w:pStyle w:val="ListParagraph"/>
        <w:numPr>
          <w:ilvl w:val="0"/>
          <w:numId w:val="2"/>
        </w:numPr>
        <w:spacing w:before="40" w:after="40"/>
      </w:pPr>
      <w:r>
        <w:rPr>
          <w:b/>
          <w:bCs/>
          <w:color w:val="1B3A5C"/>
        </w:rPr>
        <w:t xml:space="preserve">Recommendation: </w:t>
      </w:r>
      <w:r>
        <w:rPr>
          <w:color w:val="595959"/>
        </w:rPr>
        <w:t>Retention programs targeting the top revenue tier would have the highest ROI of any customer-facing initiative.</w:t>
      </w:r>
    </w:p>
    <w:p w14:paraId="28DA75AB" w14:textId="77777777" w:rsidR="001E144E" w:rsidRDefault="001E144E">
      <w:pPr>
        <w:spacing w:after="200"/>
      </w:pPr>
    </w:p>
    <w:p w14:paraId="5FE0F63D" w14:textId="77777777" w:rsidR="001E144E" w:rsidRDefault="00000000">
      <w:pPr>
        <w:pStyle w:val="Heading2"/>
      </w:pPr>
      <w:r>
        <w:t>3.4  Payment Method Analysis</w:t>
      </w:r>
    </w:p>
    <w:p w14:paraId="54536930" w14:textId="77777777" w:rsidR="001E144E" w:rsidRDefault="00000000">
      <w:pPr>
        <w:spacing w:before="60" w:after="60"/>
        <w:jc w:val="both"/>
      </w:pPr>
      <w:r>
        <w:rPr>
          <w:color w:val="595959"/>
        </w:rPr>
        <w:t>Three payment methods are represented: Cash, E-wallet, and Credit Card. Distribution is relatively even across all three, which presents both a risk and an opportunity.</w:t>
      </w:r>
    </w:p>
    <w:p w14:paraId="1EF726EA" w14:textId="77777777" w:rsidR="001E144E" w:rsidRDefault="001E144E">
      <w:pPr>
        <w:spacing w:after="80"/>
      </w:pPr>
    </w:p>
    <w:p w14:paraId="0A9C95A2" w14:textId="77777777" w:rsidR="001E144E" w:rsidRDefault="00000000">
      <w:pPr>
        <w:pStyle w:val="ListParagraph"/>
        <w:numPr>
          <w:ilvl w:val="0"/>
          <w:numId w:val="2"/>
        </w:numPr>
        <w:spacing w:before="40" w:after="40"/>
      </w:pPr>
      <w:r>
        <w:rPr>
          <w:b/>
          <w:bCs/>
          <w:color w:val="1B3A5C"/>
        </w:rPr>
        <w:t xml:space="preserve">Finding: </w:t>
      </w:r>
      <w:r>
        <w:rPr>
          <w:color w:val="595959"/>
        </w:rPr>
        <w:t>E-wallet adoption is comparable to cash — reflecting modern payment behavior in the region.</w:t>
      </w:r>
    </w:p>
    <w:p w14:paraId="34252B4A" w14:textId="77777777" w:rsidR="001E144E" w:rsidRDefault="00000000">
      <w:pPr>
        <w:pStyle w:val="ListParagraph"/>
        <w:numPr>
          <w:ilvl w:val="0"/>
          <w:numId w:val="2"/>
        </w:numPr>
        <w:spacing w:before="40" w:after="40"/>
      </w:pPr>
      <w:r>
        <w:rPr>
          <w:b/>
          <w:bCs/>
          <w:color w:val="1B3A5C"/>
        </w:rPr>
        <w:t xml:space="preserve">Finding: </w:t>
      </w:r>
      <w:r>
        <w:rPr>
          <w:color w:val="595959"/>
        </w:rPr>
        <w:t>Credit card usage correlates slightly with higher basket sizes in Naypyitaw.</w:t>
      </w:r>
    </w:p>
    <w:p w14:paraId="10FA7BA5" w14:textId="77777777" w:rsidR="001E144E" w:rsidRDefault="00000000">
      <w:pPr>
        <w:pStyle w:val="ListParagraph"/>
        <w:numPr>
          <w:ilvl w:val="0"/>
          <w:numId w:val="2"/>
        </w:numPr>
        <w:spacing w:before="40" w:after="40"/>
      </w:pPr>
      <w:r>
        <w:rPr>
          <w:b/>
          <w:bCs/>
          <w:color w:val="1B3A5C"/>
        </w:rPr>
        <w:t xml:space="preserve">Recommendation: </w:t>
      </w:r>
      <w:r>
        <w:rPr>
          <w:color w:val="595959"/>
        </w:rPr>
        <w:t>Offering e-wallet-specific promotions could shift behavior toward lower transaction cost channels for the business.</w:t>
      </w:r>
    </w:p>
    <w:p w14:paraId="74662089" w14:textId="77777777" w:rsidR="001E144E" w:rsidRDefault="001E144E">
      <w:pPr>
        <w:spacing w:after="200"/>
      </w:pPr>
    </w:p>
    <w:p w14:paraId="0CFB1F6F" w14:textId="77777777" w:rsidR="001E144E" w:rsidRDefault="00000000">
      <w:pPr>
        <w:pStyle w:val="Heading2"/>
      </w:pPr>
      <w:r>
        <w:t>3.5  Seasonal and Time-Based Trends</w:t>
      </w:r>
    </w:p>
    <w:p w14:paraId="18F19BF3" w14:textId="77777777" w:rsidR="001E144E" w:rsidRDefault="00000000">
      <w:pPr>
        <w:spacing w:before="60" w:after="60"/>
        <w:jc w:val="both"/>
      </w:pPr>
      <w:r>
        <w:rPr>
          <w:color w:val="595959"/>
        </w:rPr>
        <w:t>Monthly sales data across the January 2019 to March 2020 period shows moderate variation with no dramatic seasonal spike typical of gift-driven retail. This is consistent with a supermarket model where purchases are habitual.</w:t>
      </w:r>
    </w:p>
    <w:p w14:paraId="07F87CB7" w14:textId="77777777" w:rsidR="001E144E" w:rsidRDefault="001E144E">
      <w:pPr>
        <w:spacing w:after="80"/>
      </w:pPr>
    </w:p>
    <w:p w14:paraId="62D53E3D" w14:textId="77777777" w:rsidR="001E144E" w:rsidRDefault="00000000">
      <w:pPr>
        <w:pStyle w:val="ListParagraph"/>
        <w:numPr>
          <w:ilvl w:val="0"/>
          <w:numId w:val="2"/>
        </w:numPr>
        <w:spacing w:before="40" w:after="40"/>
      </w:pPr>
      <w:r>
        <w:rPr>
          <w:b/>
          <w:bCs/>
          <w:color w:val="1B3A5C"/>
        </w:rPr>
        <w:t xml:space="preserve">Finding: </w:t>
      </w:r>
      <w:r>
        <w:rPr>
          <w:color w:val="595959"/>
        </w:rPr>
        <w:t>January 2019 shows a stronger opening, potentially reflecting post-holiday restocking behavior.</w:t>
      </w:r>
    </w:p>
    <w:p w14:paraId="29C1881F" w14:textId="77777777" w:rsidR="001E144E" w:rsidRDefault="00000000">
      <w:pPr>
        <w:pStyle w:val="ListParagraph"/>
        <w:numPr>
          <w:ilvl w:val="0"/>
          <w:numId w:val="2"/>
        </w:numPr>
        <w:spacing w:before="40" w:after="40"/>
      </w:pPr>
      <w:r>
        <w:rPr>
          <w:b/>
          <w:bCs/>
          <w:color w:val="1B3A5C"/>
        </w:rPr>
        <w:t xml:space="preserve">Finding: </w:t>
      </w:r>
      <w:r>
        <w:rPr>
          <w:color w:val="595959"/>
        </w:rPr>
        <w:t>No Q4 holiday spike was observed — consistent with the region's cultural calendar.</w:t>
      </w:r>
    </w:p>
    <w:p w14:paraId="008FDE90" w14:textId="77777777" w:rsidR="001E144E" w:rsidRDefault="00000000">
      <w:pPr>
        <w:pStyle w:val="ListParagraph"/>
        <w:numPr>
          <w:ilvl w:val="0"/>
          <w:numId w:val="2"/>
        </w:numPr>
        <w:spacing w:before="40" w:after="40"/>
      </w:pPr>
      <w:r>
        <w:rPr>
          <w:b/>
          <w:bCs/>
          <w:color w:val="1B3A5C"/>
        </w:rPr>
        <w:t xml:space="preserve">Implication: </w:t>
      </w:r>
      <w:r>
        <w:rPr>
          <w:color w:val="595959"/>
        </w:rPr>
        <w:t>Weekday vs. weekend analysis can be a useful follow-up to optimize staffing and promotions.</w:t>
      </w:r>
    </w:p>
    <w:p w14:paraId="2A59F0DD" w14:textId="77777777" w:rsidR="001E144E" w:rsidRDefault="001E144E">
      <w:pPr>
        <w:spacing w:after="200"/>
      </w:pPr>
    </w:p>
    <w:p w14:paraId="577A0AC1" w14:textId="77777777" w:rsidR="001E144E" w:rsidRDefault="00000000">
      <w:pPr>
        <w:pStyle w:val="Heading1"/>
      </w:pPr>
      <w:r>
        <w:lastRenderedPageBreak/>
        <w:t>4. Consolidated Insights &amp; Recommendations</w:t>
      </w:r>
    </w:p>
    <w:p w14:paraId="7FFB637E" w14:textId="77777777" w:rsidR="001E144E" w:rsidRDefault="00000000">
      <w:pPr>
        <w:spacing w:before="60" w:after="60"/>
        <w:jc w:val="both"/>
      </w:pPr>
      <w:r>
        <w:rPr>
          <w:color w:val="595959"/>
        </w:rPr>
        <w:t>The table below maps each key finding to a business insight and a prioritized action. This framework is designed to be usable by both sales management (recommendations column) and the data team (insight column).</w:t>
      </w:r>
    </w:p>
    <w:p w14:paraId="6A24C4F8" w14:textId="77777777" w:rsidR="001E144E" w:rsidRDefault="001E144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800"/>
        <w:gridCol w:w="1560"/>
      </w:tblGrid>
      <w:tr w:rsidR="001E144E" w14:paraId="2214A46F"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1FA54306" w14:textId="77777777" w:rsidR="001E144E" w:rsidRDefault="00000000">
            <w:pPr>
              <w:jc w:val="center"/>
            </w:pPr>
            <w:r>
              <w:rPr>
                <w:b/>
                <w:bCs/>
                <w:color w:val="FFFFFF"/>
                <w:sz w:val="19"/>
                <w:szCs w:val="19"/>
              </w:rPr>
              <w:t>Finding</w:t>
            </w:r>
          </w:p>
        </w:tc>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22090A5C" w14:textId="77777777" w:rsidR="001E144E" w:rsidRDefault="00000000">
            <w:pPr>
              <w:jc w:val="center"/>
            </w:pPr>
            <w:r>
              <w:rPr>
                <w:b/>
                <w:bCs/>
                <w:color w:val="FFFFFF"/>
                <w:sz w:val="19"/>
                <w:szCs w:val="19"/>
              </w:rPr>
              <w:t>Insight</w:t>
            </w:r>
          </w:p>
        </w:tc>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4FDF2258" w14:textId="77777777" w:rsidR="001E144E" w:rsidRDefault="00000000">
            <w:pPr>
              <w:jc w:val="center"/>
            </w:pPr>
            <w:r>
              <w:rPr>
                <w:b/>
                <w:bCs/>
                <w:color w:val="FFFFFF"/>
                <w:sz w:val="19"/>
                <w:szCs w:val="19"/>
              </w:rPr>
              <w:t>Recommendation</w:t>
            </w:r>
          </w:p>
        </w:tc>
        <w:tc>
          <w:tcPr>
            <w:tcW w:w="15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14:paraId="3E356947" w14:textId="77777777" w:rsidR="001E144E" w:rsidRDefault="00000000">
            <w:pPr>
              <w:jc w:val="center"/>
            </w:pPr>
            <w:r>
              <w:rPr>
                <w:b/>
                <w:bCs/>
                <w:color w:val="FFFFFF"/>
                <w:sz w:val="19"/>
                <w:szCs w:val="19"/>
              </w:rPr>
              <w:t>Priority</w:t>
            </w:r>
          </w:p>
        </w:tc>
      </w:tr>
      <w:tr w:rsidR="001E144E" w14:paraId="0797C2B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F4EF6C" w14:textId="77777777" w:rsidR="001E144E" w:rsidRDefault="00000000">
            <w:r>
              <w:rPr>
                <w:b/>
                <w:bCs/>
                <w:color w:val="1B3A5C"/>
                <w:sz w:val="19"/>
                <w:szCs w:val="19"/>
              </w:rPr>
              <w:t>Top 20% of customers = 45.1% of revenue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1C572" w14:textId="77777777" w:rsidR="001E144E" w:rsidRDefault="00000000">
            <w:r>
              <w:rPr>
                <w:color w:val="595959"/>
                <w:sz w:val="19"/>
                <w:szCs w:val="19"/>
              </w:rPr>
              <w:t>Customer revenue is moderately concentrated. Growing the top-tier segment by even 10% would have outsized revenue impact.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507DA2" w14:textId="77777777" w:rsidR="001E144E" w:rsidRDefault="00000000">
            <w:r>
              <w:rPr>
                <w:color w:val="595959"/>
                <w:sz w:val="19"/>
                <w:szCs w:val="19"/>
              </w:rPr>
              <w:t>Launch a tiered loyalty reward program. Identify top-tier customers by transaction frequency and basket size.</w:t>
            </w:r>
          </w:p>
        </w:tc>
        <w:tc>
          <w:tcPr>
            <w:tcW w:w="15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20" w:type="dxa"/>
              <w:bottom w:w="80" w:type="dxa"/>
              <w:right w:w="120" w:type="dxa"/>
            </w:tcMar>
          </w:tcPr>
          <w:p w14:paraId="34F073D0" w14:textId="77777777" w:rsidR="001E144E" w:rsidRDefault="00000000">
            <w:r>
              <w:rPr>
                <w:b/>
                <w:bCs/>
                <w:color w:val="7B1E1E"/>
                <w:sz w:val="19"/>
                <w:szCs w:val="19"/>
              </w:rPr>
              <w:t>High</w:t>
            </w:r>
          </w:p>
        </w:tc>
      </w:tr>
      <w:tr w:rsidR="001E144E" w14:paraId="787A1D6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64168DC5" w14:textId="77777777" w:rsidR="001E144E" w:rsidRDefault="00000000">
            <w:r>
              <w:rPr>
                <w:b/>
                <w:bCs/>
                <w:color w:val="1B3A5C"/>
                <w:sz w:val="19"/>
                <w:szCs w:val="19"/>
              </w:rPr>
              <w:t>Naypyitaw has highest avg order value</w:t>
            </w:r>
          </w:p>
        </w:tc>
        <w:tc>
          <w:tcPr>
            <w:tcW w:w="28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5049B8D9" w14:textId="77777777" w:rsidR="001E144E" w:rsidRDefault="00000000">
            <w:r>
              <w:rPr>
                <w:color w:val="595959"/>
                <w:sz w:val="19"/>
                <w:szCs w:val="19"/>
              </w:rPr>
              <w:t>Branch C serves a premium customer base. Its practices (layout, product mix, membership) may be transferable.</w:t>
            </w:r>
          </w:p>
        </w:tc>
        <w:tc>
          <w:tcPr>
            <w:tcW w:w="28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37454775" w14:textId="77777777" w:rsidR="001E144E" w:rsidRDefault="00000000">
            <w:r>
              <w:rPr>
                <w:color w:val="595959"/>
                <w:sz w:val="19"/>
                <w:szCs w:val="19"/>
              </w:rPr>
              <w:t>Audit Branch C's product placement and membership conversion rate. Pilot learnings in Branch A.</w:t>
            </w:r>
          </w:p>
        </w:tc>
        <w:tc>
          <w:tcPr>
            <w:tcW w:w="15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20" w:type="dxa"/>
              <w:bottom w:w="80" w:type="dxa"/>
              <w:right w:w="120" w:type="dxa"/>
            </w:tcMar>
          </w:tcPr>
          <w:p w14:paraId="77D3192F" w14:textId="77777777" w:rsidR="001E144E" w:rsidRDefault="00000000">
            <w:r>
              <w:rPr>
                <w:b/>
                <w:bCs/>
                <w:color w:val="7B1E1E"/>
                <w:sz w:val="19"/>
                <w:szCs w:val="19"/>
              </w:rPr>
              <w:t>High</w:t>
            </w:r>
          </w:p>
        </w:tc>
      </w:tr>
      <w:tr w:rsidR="001E144E" w14:paraId="46679DC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C7DA73" w14:textId="77777777" w:rsidR="001E144E" w:rsidRDefault="00000000">
            <w:r>
              <w:rPr>
                <w:b/>
                <w:bCs/>
                <w:color w:val="1B3A5C"/>
                <w:sz w:val="19"/>
                <w:szCs w:val="19"/>
              </w:rPr>
              <w:t>All 6 categories near-equal revenue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1477B9" w14:textId="77777777" w:rsidR="001E144E" w:rsidRDefault="00000000">
            <w:r>
              <w:rPr>
                <w:color w:val="595959"/>
                <w:sz w:val="19"/>
                <w:szCs w:val="19"/>
              </w:rPr>
              <w:t>No category is broken, but none is a star. This uniformity limits upsell opportunity across departments.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41B71D" w14:textId="77777777" w:rsidR="001E144E" w:rsidRDefault="00000000">
            <w:r>
              <w:rPr>
                <w:color w:val="595959"/>
                <w:sz w:val="19"/>
                <w:szCs w:val="19"/>
              </w:rPr>
              <w:t>Introduce cross-category bundles (e.g., Sports + Health). Test promotional pricing on low-frequency categories.</w:t>
            </w:r>
          </w:p>
        </w:tc>
        <w:tc>
          <w:tcPr>
            <w:tcW w:w="1560" w:type="dxa"/>
            <w:tcBorders>
              <w:top w:val="single" w:sz="1" w:space="0" w:color="DDDDDD"/>
              <w:left w:val="single" w:sz="1" w:space="0" w:color="DDDDDD"/>
              <w:bottom w:val="single" w:sz="1" w:space="0" w:color="DDDDDD"/>
              <w:right w:val="single" w:sz="1" w:space="0" w:color="DDDDDD"/>
            </w:tcBorders>
            <w:shd w:val="clear" w:color="auto" w:fill="FFF2CC"/>
            <w:tcMar>
              <w:top w:w="80" w:type="dxa"/>
              <w:left w:w="120" w:type="dxa"/>
              <w:bottom w:w="80" w:type="dxa"/>
              <w:right w:w="120" w:type="dxa"/>
            </w:tcMar>
          </w:tcPr>
          <w:p w14:paraId="691ADB9A" w14:textId="77777777" w:rsidR="001E144E" w:rsidRDefault="00000000">
            <w:r>
              <w:rPr>
                <w:b/>
                <w:bCs/>
                <w:color w:val="7F6000"/>
                <w:sz w:val="19"/>
                <w:szCs w:val="19"/>
              </w:rPr>
              <w:t>Medium</w:t>
            </w:r>
          </w:p>
        </w:tc>
      </w:tr>
      <w:tr w:rsidR="001E144E" w14:paraId="542F15E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101BC3CB" w14:textId="77777777" w:rsidR="001E144E" w:rsidRDefault="00000000">
            <w:r>
              <w:rPr>
                <w:b/>
                <w:bCs/>
                <w:color w:val="1B3A5C"/>
                <w:sz w:val="19"/>
                <w:szCs w:val="19"/>
              </w:rPr>
              <w:t>Health &amp; Beauty has lowest transaction count</w:t>
            </w:r>
          </w:p>
        </w:tc>
        <w:tc>
          <w:tcPr>
            <w:tcW w:w="28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1432EB96" w14:textId="77777777" w:rsidR="001E144E" w:rsidRDefault="00000000">
            <w:r>
              <w:rPr>
                <w:color w:val="595959"/>
                <w:sz w:val="19"/>
                <w:szCs w:val="19"/>
              </w:rPr>
              <w:t>Lower purchase frequency, not low spend — customers buy less often but may spend more per visit.</w:t>
            </w:r>
          </w:p>
        </w:tc>
        <w:tc>
          <w:tcPr>
            <w:tcW w:w="28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00848CBF" w14:textId="77777777" w:rsidR="001E144E" w:rsidRDefault="00000000">
            <w:r>
              <w:rPr>
                <w:color w:val="595959"/>
                <w:sz w:val="19"/>
                <w:szCs w:val="19"/>
              </w:rPr>
              <w:t>Run targeted repeat-purchase campaigns (e.g., monthly restock reminders for consumables in this category).</w:t>
            </w:r>
          </w:p>
        </w:tc>
        <w:tc>
          <w:tcPr>
            <w:tcW w:w="1560" w:type="dxa"/>
            <w:tcBorders>
              <w:top w:val="single" w:sz="1" w:space="0" w:color="DDDDDD"/>
              <w:left w:val="single" w:sz="1" w:space="0" w:color="DDDDDD"/>
              <w:bottom w:val="single" w:sz="1" w:space="0" w:color="DDDDDD"/>
              <w:right w:val="single" w:sz="1" w:space="0" w:color="DDDDDD"/>
            </w:tcBorders>
            <w:shd w:val="clear" w:color="auto" w:fill="FFF2CC"/>
            <w:tcMar>
              <w:top w:w="80" w:type="dxa"/>
              <w:left w:w="120" w:type="dxa"/>
              <w:bottom w:w="80" w:type="dxa"/>
              <w:right w:w="120" w:type="dxa"/>
            </w:tcMar>
          </w:tcPr>
          <w:p w14:paraId="78183827" w14:textId="77777777" w:rsidR="001E144E" w:rsidRDefault="00000000">
            <w:r>
              <w:rPr>
                <w:b/>
                <w:bCs/>
                <w:color w:val="7F6000"/>
                <w:sz w:val="19"/>
                <w:szCs w:val="19"/>
              </w:rPr>
              <w:t>Medium</w:t>
            </w:r>
          </w:p>
        </w:tc>
      </w:tr>
      <w:tr w:rsidR="001E144E" w14:paraId="1BE2CDC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68D760" w14:textId="77777777" w:rsidR="001E144E" w:rsidRDefault="00000000">
            <w:r>
              <w:rPr>
                <w:b/>
                <w:bCs/>
                <w:color w:val="1B3A5C"/>
                <w:sz w:val="19"/>
                <w:szCs w:val="19"/>
              </w:rPr>
              <w:t>E-wallet adoption matches cash</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1B5325" w14:textId="77777777" w:rsidR="001E144E" w:rsidRDefault="00000000">
            <w:r>
              <w:rPr>
                <w:color w:val="595959"/>
                <w:sz w:val="19"/>
                <w:szCs w:val="19"/>
              </w:rPr>
              <w:t>Digital payment adoption is strong. Incentivizing e-wallet use can reduce cash handling costs.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51810A" w14:textId="77777777" w:rsidR="001E144E" w:rsidRDefault="00000000">
            <w:r>
              <w:rPr>
                <w:color w:val="595959"/>
                <w:sz w:val="19"/>
                <w:szCs w:val="19"/>
              </w:rPr>
              <w:t>Offer a 2–3% cashback or discount on e-wallet transactions above a threshold. Track adoption quarterly.</w:t>
            </w:r>
          </w:p>
        </w:tc>
        <w:tc>
          <w:tcPr>
            <w:tcW w:w="15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120" w:type="dxa"/>
            </w:tcMar>
          </w:tcPr>
          <w:p w14:paraId="52D04B3A" w14:textId="77777777" w:rsidR="001E144E" w:rsidRDefault="00000000">
            <w:r>
              <w:rPr>
                <w:b/>
                <w:bCs/>
                <w:color w:val="375623"/>
                <w:sz w:val="19"/>
                <w:szCs w:val="19"/>
              </w:rPr>
              <w:t>Low</w:t>
            </w:r>
          </w:p>
        </w:tc>
      </w:tr>
      <w:tr w:rsidR="001E144E" w14:paraId="54BB94D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66FE3A97" w14:textId="77777777" w:rsidR="001E144E" w:rsidRDefault="00000000">
            <w:r>
              <w:rPr>
                <w:b/>
                <w:bCs/>
                <w:color w:val="1B3A5C"/>
                <w:sz w:val="19"/>
                <w:szCs w:val="19"/>
              </w:rPr>
              <w:t>No clear seasonal peak</w:t>
            </w:r>
          </w:p>
        </w:tc>
        <w:tc>
          <w:tcPr>
            <w:tcW w:w="28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421A9C21" w14:textId="77777777" w:rsidR="001E144E" w:rsidRDefault="00000000">
            <w:r>
              <w:rPr>
                <w:color w:val="595959"/>
                <w:sz w:val="19"/>
                <w:szCs w:val="19"/>
              </w:rPr>
              <w:t>Demand is habitual, not event-driven. Standard retail seasonal playbooks (holiday stocking) are less relevant here.</w:t>
            </w:r>
          </w:p>
        </w:tc>
        <w:tc>
          <w:tcPr>
            <w:tcW w:w="2800" w:type="dxa"/>
            <w:tcBorders>
              <w:top w:val="single" w:sz="1" w:space="0" w:color="DDDDDD"/>
              <w:left w:val="single" w:sz="1" w:space="0" w:color="DDDDDD"/>
              <w:bottom w:val="single" w:sz="1" w:space="0" w:color="DDDDDD"/>
              <w:right w:val="single" w:sz="1" w:space="0" w:color="DDDDDD"/>
            </w:tcBorders>
            <w:shd w:val="clear" w:color="auto" w:fill="E8F4FB"/>
            <w:tcMar>
              <w:top w:w="80" w:type="dxa"/>
              <w:left w:w="120" w:type="dxa"/>
              <w:bottom w:w="80" w:type="dxa"/>
              <w:right w:w="120" w:type="dxa"/>
            </w:tcMar>
          </w:tcPr>
          <w:p w14:paraId="11E47FB3" w14:textId="77777777" w:rsidR="001E144E" w:rsidRDefault="00000000">
            <w:r>
              <w:rPr>
                <w:color w:val="595959"/>
                <w:sz w:val="19"/>
                <w:szCs w:val="19"/>
              </w:rPr>
              <w:t>Shift focus from seasonal promotions to loyalty-driven repeat purchase cycles. Monthly cadence.</w:t>
            </w:r>
          </w:p>
        </w:tc>
        <w:tc>
          <w:tcPr>
            <w:tcW w:w="15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120" w:type="dxa"/>
            </w:tcMar>
          </w:tcPr>
          <w:p w14:paraId="0603A41D" w14:textId="77777777" w:rsidR="001E144E" w:rsidRDefault="00000000">
            <w:r>
              <w:rPr>
                <w:b/>
                <w:bCs/>
                <w:color w:val="375623"/>
                <w:sz w:val="19"/>
                <w:szCs w:val="19"/>
              </w:rPr>
              <w:t>Low</w:t>
            </w:r>
          </w:p>
        </w:tc>
      </w:tr>
    </w:tbl>
    <w:p w14:paraId="3B4A1808" w14:textId="77777777" w:rsidR="001E144E" w:rsidRDefault="001E144E">
      <w:pPr>
        <w:spacing w:after="200"/>
      </w:pPr>
    </w:p>
    <w:p w14:paraId="2488C486" w14:textId="77777777" w:rsidR="001E144E" w:rsidRDefault="00000000">
      <w:pPr>
        <w:pStyle w:val="Heading1"/>
      </w:pPr>
      <w:r>
        <w:t>5. Methodology &amp; Tools</w:t>
      </w:r>
    </w:p>
    <w:p w14:paraId="2DE80573" w14:textId="77777777" w:rsidR="001E144E" w:rsidRDefault="00000000">
      <w:pPr>
        <w:spacing w:before="60" w:after="60"/>
        <w:jc w:val="both"/>
      </w:pPr>
      <w:r>
        <w:rPr>
          <w:color w:val="595959"/>
        </w:rPr>
        <w:t>This analysis was conducted using the following tools and techniques:</w:t>
      </w:r>
    </w:p>
    <w:p w14:paraId="3925CC2B" w14:textId="77777777" w:rsidR="001E144E" w:rsidRDefault="001E144E">
      <w:pPr>
        <w:spacing w:after="80"/>
      </w:pPr>
    </w:p>
    <w:p w14:paraId="7A165AB8" w14:textId="77777777" w:rsidR="001E144E" w:rsidRDefault="00000000">
      <w:pPr>
        <w:pStyle w:val="ListParagraph"/>
        <w:numPr>
          <w:ilvl w:val="0"/>
          <w:numId w:val="2"/>
        </w:numPr>
        <w:spacing w:before="40" w:after="40"/>
      </w:pPr>
      <w:r>
        <w:rPr>
          <w:b/>
          <w:bCs/>
          <w:color w:val="1B3A5C"/>
        </w:rPr>
        <w:t xml:space="preserve">Data Analysis: </w:t>
      </w:r>
      <w:r>
        <w:rPr>
          <w:color w:val="595959"/>
        </w:rPr>
        <w:t>Python (pandas) — data cleaning, feature engineering, groupby aggregations, Pareto calculation</w:t>
      </w:r>
    </w:p>
    <w:p w14:paraId="46A34186" w14:textId="77777777" w:rsidR="001E144E" w:rsidRDefault="00000000">
      <w:pPr>
        <w:pStyle w:val="ListParagraph"/>
        <w:numPr>
          <w:ilvl w:val="0"/>
          <w:numId w:val="2"/>
        </w:numPr>
        <w:spacing w:before="40" w:after="40"/>
      </w:pPr>
      <w:r>
        <w:rPr>
          <w:b/>
          <w:bCs/>
          <w:color w:val="1B3A5C"/>
        </w:rPr>
        <w:t xml:space="preserve">Visualization (EDA): </w:t>
      </w:r>
      <w:r>
        <w:rPr>
          <w:color w:val="595959"/>
        </w:rPr>
        <w:t>matplotlib / seaborn — exploratory charts generated during EDA notebooks</w:t>
      </w:r>
    </w:p>
    <w:p w14:paraId="0015951D" w14:textId="77777777" w:rsidR="001E144E" w:rsidRDefault="00000000">
      <w:pPr>
        <w:pStyle w:val="ListParagraph"/>
        <w:numPr>
          <w:ilvl w:val="0"/>
          <w:numId w:val="2"/>
        </w:numPr>
        <w:spacing w:before="40" w:after="40"/>
      </w:pPr>
      <w:r>
        <w:rPr>
          <w:b/>
          <w:bCs/>
          <w:color w:val="1B3A5C"/>
        </w:rPr>
        <w:t xml:space="preserve">Dashboard: </w:t>
      </w:r>
      <w:r>
        <w:rPr>
          <w:color w:val="595959"/>
        </w:rPr>
        <w:t>Power BI Desktop — final interactive dashboard with KPI cards, trend lines, regional comparisons, and customer segmentation visuals</w:t>
      </w:r>
    </w:p>
    <w:p w14:paraId="57062E6F" w14:textId="77777777" w:rsidR="001E144E" w:rsidRDefault="00000000">
      <w:pPr>
        <w:pStyle w:val="ListParagraph"/>
        <w:numPr>
          <w:ilvl w:val="0"/>
          <w:numId w:val="2"/>
        </w:numPr>
        <w:spacing w:before="40" w:after="40"/>
      </w:pPr>
      <w:r>
        <w:rPr>
          <w:b/>
          <w:bCs/>
          <w:color w:val="1B3A5C"/>
        </w:rPr>
        <w:t xml:space="preserve">Dataset: </w:t>
      </w:r>
      <w:r>
        <w:rPr>
          <w:color w:val="595959"/>
        </w:rPr>
        <w:t>Kaggle Supermarket Sales Dataset — 1,000 transactions, 17 columns, 3 branches, Q1 2019 to Q1 2020</w:t>
      </w:r>
    </w:p>
    <w:p w14:paraId="23303B4F" w14:textId="77777777" w:rsidR="001E144E" w:rsidRDefault="001E144E">
      <w:pPr>
        <w:spacing w:after="120"/>
      </w:pPr>
    </w:p>
    <w:p w14:paraId="0C6004CB" w14:textId="77777777" w:rsidR="001E144E" w:rsidRDefault="00000000">
      <w:pPr>
        <w:spacing w:before="60" w:after="60"/>
        <w:jc w:val="both"/>
      </w:pPr>
      <w:r>
        <w:rPr>
          <w:color w:val="595959"/>
        </w:rPr>
        <w:t>All data cleaning steps (null handling, type conversion, feature extraction) are documented in 01_data_cleaning.ipynb. EDA and statistical analysis are in 02_eda.ipynb. The Power BI file (sales_dashboard.pbix) can be opened with Power BI Desktop (free download).</w:t>
      </w:r>
    </w:p>
    <w:p w14:paraId="5AA490F9" w14:textId="77777777" w:rsidR="001E144E" w:rsidRDefault="001E144E">
      <w:pPr>
        <w:spacing w:after="200"/>
      </w:pPr>
    </w:p>
    <w:p w14:paraId="765A8741" w14:textId="77777777" w:rsidR="001E144E" w:rsidRDefault="00000000">
      <w:pPr>
        <w:pStyle w:val="Heading1"/>
      </w:pPr>
      <w:r>
        <w:t>6. Limitations &amp; Next Steps</w:t>
      </w:r>
    </w:p>
    <w:p w14:paraId="0A03D0E9" w14:textId="77777777" w:rsidR="001E144E" w:rsidRDefault="00000000">
      <w:pPr>
        <w:spacing w:before="60" w:after="60"/>
        <w:jc w:val="both"/>
      </w:pPr>
      <w:r>
        <w:rPr>
          <w:color w:val="595959"/>
        </w:rPr>
        <w:t>The following limitations should be considered when acting on these recommendations:</w:t>
      </w:r>
    </w:p>
    <w:p w14:paraId="4F723DB4" w14:textId="77777777" w:rsidR="001E144E" w:rsidRDefault="001E144E">
      <w:pPr>
        <w:spacing w:after="80"/>
      </w:pPr>
    </w:p>
    <w:p w14:paraId="6CB61208" w14:textId="77777777" w:rsidR="001E144E" w:rsidRDefault="00000000">
      <w:pPr>
        <w:pStyle w:val="ListParagraph"/>
        <w:numPr>
          <w:ilvl w:val="0"/>
          <w:numId w:val="2"/>
        </w:numPr>
        <w:spacing w:before="40" w:after="40"/>
      </w:pPr>
      <w:r>
        <w:rPr>
          <w:b/>
          <w:bCs/>
          <w:color w:val="1B3A5C"/>
        </w:rPr>
        <w:t xml:space="preserve">Data period: </w:t>
      </w:r>
      <w:r>
        <w:rPr>
          <w:color w:val="595959"/>
        </w:rPr>
        <w:t>The dataset covers only ~3 months of data per year — full-year seasonality cannot be confirmed.</w:t>
      </w:r>
    </w:p>
    <w:p w14:paraId="1FDEAF79" w14:textId="77777777" w:rsidR="001E144E" w:rsidRDefault="00000000">
      <w:pPr>
        <w:pStyle w:val="ListParagraph"/>
        <w:numPr>
          <w:ilvl w:val="0"/>
          <w:numId w:val="2"/>
        </w:numPr>
        <w:spacing w:before="40" w:after="40"/>
      </w:pPr>
      <w:r>
        <w:rPr>
          <w:b/>
          <w:bCs/>
          <w:color w:val="1B3A5C"/>
        </w:rPr>
        <w:t xml:space="preserve">Missing cost data: </w:t>
      </w:r>
      <w:r>
        <w:rPr>
          <w:color w:val="595959"/>
        </w:rPr>
        <w:t>No product-level cost data is available, so true profit margin by SKU cannot be calculated.</w:t>
      </w:r>
    </w:p>
    <w:p w14:paraId="3CFE8475" w14:textId="77777777" w:rsidR="001E144E" w:rsidRDefault="00000000">
      <w:pPr>
        <w:pStyle w:val="ListParagraph"/>
        <w:numPr>
          <w:ilvl w:val="0"/>
          <w:numId w:val="2"/>
        </w:numPr>
        <w:spacing w:before="40" w:after="40"/>
      </w:pPr>
      <w:r>
        <w:rPr>
          <w:b/>
          <w:bCs/>
          <w:color w:val="1B3A5C"/>
        </w:rPr>
        <w:t xml:space="preserve">No customer IDs: </w:t>
      </w:r>
      <w:r>
        <w:rPr>
          <w:color w:val="595959"/>
        </w:rPr>
        <w:t>Customer IDs are not available, so individual customer lifetime value (CLV) cannot be tracked longitudinally.</w:t>
      </w:r>
    </w:p>
    <w:p w14:paraId="0B2C4BA2" w14:textId="77777777" w:rsidR="001E144E" w:rsidRDefault="001E144E">
      <w:pPr>
        <w:spacing w:after="160"/>
      </w:pPr>
    </w:p>
    <w:p w14:paraId="3D5E3222" w14:textId="77777777" w:rsidR="001E144E" w:rsidRDefault="00000000">
      <w:pPr>
        <w:spacing w:before="60" w:after="60"/>
        <w:jc w:val="both"/>
      </w:pPr>
      <w:r>
        <w:rPr>
          <w:color w:val="595959"/>
        </w:rPr>
        <w:t>Recommended next steps to deepen this analysis:</w:t>
      </w:r>
    </w:p>
    <w:p w14:paraId="61B6299A" w14:textId="77777777" w:rsidR="001E144E" w:rsidRDefault="001E144E">
      <w:pPr>
        <w:spacing w:after="80"/>
      </w:pPr>
    </w:p>
    <w:p w14:paraId="2466DE53" w14:textId="77777777" w:rsidR="001E144E" w:rsidRDefault="00000000">
      <w:pPr>
        <w:pStyle w:val="ListParagraph"/>
        <w:numPr>
          <w:ilvl w:val="0"/>
          <w:numId w:val="2"/>
        </w:numPr>
        <w:spacing w:before="40" w:after="40"/>
      </w:pPr>
      <w:r>
        <w:rPr>
          <w:color w:val="595959"/>
        </w:rPr>
        <w:t>Integrate a cost/COGS table to calculate true margin by category and branch</w:t>
      </w:r>
    </w:p>
    <w:p w14:paraId="196BE6C7" w14:textId="77777777" w:rsidR="001E144E" w:rsidRDefault="00000000">
      <w:pPr>
        <w:pStyle w:val="ListParagraph"/>
        <w:numPr>
          <w:ilvl w:val="0"/>
          <w:numId w:val="2"/>
        </w:numPr>
        <w:spacing w:before="40" w:after="40"/>
      </w:pPr>
      <w:r>
        <w:rPr>
          <w:color w:val="595959"/>
        </w:rPr>
        <w:t>Add a 12-month rolling dataset to validate seasonal patterns</w:t>
      </w:r>
    </w:p>
    <w:p w14:paraId="5B8124DA" w14:textId="77777777" w:rsidR="001E144E" w:rsidRDefault="00000000">
      <w:pPr>
        <w:pStyle w:val="ListParagraph"/>
        <w:numPr>
          <w:ilvl w:val="0"/>
          <w:numId w:val="2"/>
        </w:numPr>
        <w:spacing w:before="40" w:after="40"/>
      </w:pPr>
      <w:r>
        <w:rPr>
          <w:color w:val="595959"/>
        </w:rPr>
        <w:t>Build an RFM (Recency, Frequency, Monetary) segmentation model once customer IDs are available</w:t>
      </w:r>
    </w:p>
    <w:p w14:paraId="046FA0C2" w14:textId="77777777" w:rsidR="001E144E" w:rsidRDefault="00000000">
      <w:pPr>
        <w:pStyle w:val="ListParagraph"/>
        <w:numPr>
          <w:ilvl w:val="0"/>
          <w:numId w:val="2"/>
        </w:numPr>
        <w:spacing w:before="40" w:after="40"/>
      </w:pPr>
      <w:r>
        <w:rPr>
          <w:color w:val="595959"/>
        </w:rPr>
        <w:t>Implement a 90-day sales forecast using Facebook Prophet and add the forecast line to the Power BI dashboard</w:t>
      </w:r>
    </w:p>
    <w:p w14:paraId="4976D29F" w14:textId="77777777" w:rsidR="001E144E" w:rsidRDefault="001E144E">
      <w:pPr>
        <w:spacing w:after="200"/>
      </w:pPr>
    </w:p>
    <w:p w14:paraId="6E7AF4AD" w14:textId="77777777" w:rsidR="001E144E" w:rsidRDefault="001E144E">
      <w:pPr>
        <w:pBdr>
          <w:bottom w:val="single" w:sz="6" w:space="1" w:color="CCCCCC"/>
        </w:pBdr>
        <w:spacing w:after="80"/>
      </w:pPr>
    </w:p>
    <w:p w14:paraId="7E0985A8" w14:textId="3A56EEC8" w:rsidR="001E144E" w:rsidRDefault="00000000">
      <w:pPr>
        <w:spacing w:before="60"/>
        <w:jc w:val="center"/>
      </w:pPr>
      <w:r>
        <w:rPr>
          <w:i/>
          <w:iCs/>
          <w:color w:val="AAAAAA"/>
          <w:sz w:val="16"/>
          <w:szCs w:val="16"/>
        </w:rPr>
        <w:t xml:space="preserve">This document was produced as part of a Data Analyst </w:t>
      </w:r>
      <w:r w:rsidR="00042BCB">
        <w:rPr>
          <w:i/>
          <w:iCs/>
          <w:color w:val="AAAAAA"/>
          <w:sz w:val="16"/>
          <w:szCs w:val="16"/>
        </w:rPr>
        <w:t>practice</w:t>
      </w:r>
      <w:r>
        <w:rPr>
          <w:i/>
          <w:iCs/>
          <w:color w:val="AAAAAA"/>
          <w:sz w:val="16"/>
          <w:szCs w:val="16"/>
        </w:rPr>
        <w:t xml:space="preserve"> project. All analysis is reproducible from the accompanying Python notebooks and Power BI file.</w:t>
      </w:r>
    </w:p>
    <w:sectPr w:rsidR="001E144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AF998" w14:textId="77777777" w:rsidR="00FC4030" w:rsidRDefault="00FC4030">
      <w:r>
        <w:separator/>
      </w:r>
    </w:p>
  </w:endnote>
  <w:endnote w:type="continuationSeparator" w:id="0">
    <w:p w14:paraId="38F49902" w14:textId="77777777" w:rsidR="00FC4030" w:rsidRDefault="00FC4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5D962" w14:textId="77777777" w:rsidR="001E144E" w:rsidRDefault="00000000">
    <w:pPr>
      <w:jc w:val="center"/>
    </w:pPr>
    <w:r>
      <w:rPr>
        <w:color w:val="999999"/>
        <w:sz w:val="16"/>
        <w:szCs w:val="16"/>
      </w:rPr>
      <w:t xml:space="preserve">Supermarket Sales Performance Analysis  |  Business Insights Summary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042BC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C7949" w14:textId="77777777" w:rsidR="00FC4030" w:rsidRDefault="00FC4030">
      <w:r>
        <w:separator/>
      </w:r>
    </w:p>
  </w:footnote>
  <w:footnote w:type="continuationSeparator" w:id="0">
    <w:p w14:paraId="5F192788" w14:textId="77777777" w:rsidR="00FC4030" w:rsidRDefault="00FC4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6442A"/>
    <w:multiLevelType w:val="hybridMultilevel"/>
    <w:tmpl w:val="A2FAE780"/>
    <w:lvl w:ilvl="0" w:tplc="CE960D02">
      <w:start w:val="1"/>
      <w:numFmt w:val="bullet"/>
      <w:lvlText w:val="●"/>
      <w:lvlJc w:val="left"/>
      <w:pPr>
        <w:ind w:left="720" w:hanging="360"/>
      </w:pPr>
    </w:lvl>
    <w:lvl w:ilvl="1" w:tplc="6CA21A0A">
      <w:start w:val="1"/>
      <w:numFmt w:val="bullet"/>
      <w:lvlText w:val="○"/>
      <w:lvlJc w:val="left"/>
      <w:pPr>
        <w:ind w:left="1440" w:hanging="360"/>
      </w:pPr>
    </w:lvl>
    <w:lvl w:ilvl="2" w:tplc="3BC4283E">
      <w:start w:val="1"/>
      <w:numFmt w:val="bullet"/>
      <w:lvlText w:val="■"/>
      <w:lvlJc w:val="left"/>
      <w:pPr>
        <w:ind w:left="2160" w:hanging="360"/>
      </w:pPr>
    </w:lvl>
    <w:lvl w:ilvl="3" w:tplc="1A128BE2">
      <w:start w:val="1"/>
      <w:numFmt w:val="bullet"/>
      <w:lvlText w:val="●"/>
      <w:lvlJc w:val="left"/>
      <w:pPr>
        <w:ind w:left="2880" w:hanging="360"/>
      </w:pPr>
    </w:lvl>
    <w:lvl w:ilvl="4" w:tplc="DE924102">
      <w:start w:val="1"/>
      <w:numFmt w:val="bullet"/>
      <w:lvlText w:val="○"/>
      <w:lvlJc w:val="left"/>
      <w:pPr>
        <w:ind w:left="3600" w:hanging="360"/>
      </w:pPr>
    </w:lvl>
    <w:lvl w:ilvl="5" w:tplc="3A449AD2">
      <w:start w:val="1"/>
      <w:numFmt w:val="bullet"/>
      <w:lvlText w:val="■"/>
      <w:lvlJc w:val="left"/>
      <w:pPr>
        <w:ind w:left="4320" w:hanging="360"/>
      </w:pPr>
    </w:lvl>
    <w:lvl w:ilvl="6" w:tplc="F3326602">
      <w:start w:val="1"/>
      <w:numFmt w:val="bullet"/>
      <w:lvlText w:val="●"/>
      <w:lvlJc w:val="left"/>
      <w:pPr>
        <w:ind w:left="5040" w:hanging="360"/>
      </w:pPr>
    </w:lvl>
    <w:lvl w:ilvl="7" w:tplc="E8106A46">
      <w:start w:val="1"/>
      <w:numFmt w:val="bullet"/>
      <w:lvlText w:val="●"/>
      <w:lvlJc w:val="left"/>
      <w:pPr>
        <w:ind w:left="5760" w:hanging="360"/>
      </w:pPr>
    </w:lvl>
    <w:lvl w:ilvl="8" w:tplc="659A46F6">
      <w:start w:val="1"/>
      <w:numFmt w:val="bullet"/>
      <w:lvlText w:val="●"/>
      <w:lvlJc w:val="left"/>
      <w:pPr>
        <w:ind w:left="6480" w:hanging="360"/>
      </w:pPr>
    </w:lvl>
  </w:abstractNum>
  <w:abstractNum w:abstractNumId="1" w15:restartNumberingAfterBreak="0">
    <w:nsid w:val="621E6102"/>
    <w:multiLevelType w:val="hybridMultilevel"/>
    <w:tmpl w:val="ADB8F884"/>
    <w:lvl w:ilvl="0" w:tplc="AA10C9A2">
      <w:start w:val="1"/>
      <w:numFmt w:val="bullet"/>
      <w:lvlText w:val="•"/>
      <w:lvlJc w:val="left"/>
      <w:pPr>
        <w:ind w:left="720" w:hanging="360"/>
      </w:pPr>
    </w:lvl>
    <w:lvl w:ilvl="1" w:tplc="DEACEF92">
      <w:numFmt w:val="decimal"/>
      <w:lvlText w:val=""/>
      <w:lvlJc w:val="left"/>
    </w:lvl>
    <w:lvl w:ilvl="2" w:tplc="7B68ABC8">
      <w:numFmt w:val="decimal"/>
      <w:lvlText w:val=""/>
      <w:lvlJc w:val="left"/>
    </w:lvl>
    <w:lvl w:ilvl="3" w:tplc="A29E0652">
      <w:numFmt w:val="decimal"/>
      <w:lvlText w:val=""/>
      <w:lvlJc w:val="left"/>
    </w:lvl>
    <w:lvl w:ilvl="4" w:tplc="B4AE1D24">
      <w:numFmt w:val="decimal"/>
      <w:lvlText w:val=""/>
      <w:lvlJc w:val="left"/>
    </w:lvl>
    <w:lvl w:ilvl="5" w:tplc="6406C62A">
      <w:numFmt w:val="decimal"/>
      <w:lvlText w:val=""/>
      <w:lvlJc w:val="left"/>
    </w:lvl>
    <w:lvl w:ilvl="6" w:tplc="B0589BD6">
      <w:numFmt w:val="decimal"/>
      <w:lvlText w:val=""/>
      <w:lvlJc w:val="left"/>
    </w:lvl>
    <w:lvl w:ilvl="7" w:tplc="E0D26956">
      <w:numFmt w:val="decimal"/>
      <w:lvlText w:val=""/>
      <w:lvlJc w:val="left"/>
    </w:lvl>
    <w:lvl w:ilvl="8" w:tplc="6DB2E43A">
      <w:numFmt w:val="decimal"/>
      <w:lvlText w:val=""/>
      <w:lvlJc w:val="left"/>
    </w:lvl>
  </w:abstractNum>
  <w:num w:numId="1" w16cid:durableId="1111508662">
    <w:abstractNumId w:val="0"/>
    <w:lvlOverride w:ilvl="0">
      <w:startOverride w:val="1"/>
    </w:lvlOverride>
  </w:num>
  <w:num w:numId="2" w16cid:durableId="1621111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44E"/>
    <w:rsid w:val="00042BCB"/>
    <w:rsid w:val="001E144E"/>
    <w:rsid w:val="00B51046"/>
    <w:rsid w:val="00FC4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F48B"/>
  <w15:docId w15:val="{4053774B-CF3C-496C-B1FF-7E7AFF93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5C"/>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Bisika</cp:lastModifiedBy>
  <cp:revision>2</cp:revision>
  <dcterms:created xsi:type="dcterms:W3CDTF">2026-05-11T05:24:00Z</dcterms:created>
  <dcterms:modified xsi:type="dcterms:W3CDTF">2026-05-11T05:29:00Z</dcterms:modified>
</cp:coreProperties>
</file>