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p>
      <w:pPr>
        <w:spacing w:before="0" w:after="120"/>
      </w:pPr>
      <w:r>
        <w:t xml:space="preserve"/>
      </w:r>
    </w:p>
    <w:p>
      <w:pPr>
        <w:pBdr>
          <w:bottom w:val="single" w:color="2E7D32" w:sz="6" w:space="6"/>
        </w:pBdr>
        <w:spacing w:before="0" w:after="60"/>
        <w:jc w:val="center"/>
      </w:pPr>
      <w:r>
        <w:rPr>
          <w:rFonts w:ascii="Arial" w:cs="Arial" w:eastAsia="Arial" w:hAnsi="Arial"/>
          <w:b/>
          <w:bCs/>
          <w:color w:val="1B5E20"/>
          <w:sz w:val="56"/>
          <w:szCs w:val="56"/>
        </w:rPr>
        <w:t xml:space="preserve">Symphony</w:t>
      </w:r>
    </w:p>
    <w:p>
      <w:pPr>
        <w:spacing w:before="80" w:after="60"/>
        <w:jc w:val="center"/>
      </w:pPr>
      <w:r>
        <w:rPr>
          <w:rFonts w:ascii="Arial" w:cs="Arial" w:eastAsia="Arial" w:hAnsi="Arial"/>
          <w:b/>
          <w:bCs/>
          <w:color w:val="00695C"/>
          <w:sz w:val="32"/>
          <w:szCs w:val="32"/>
        </w:rPr>
        <w:t xml:space="preserve">Product Requirements Document</w:t>
      </w:r>
    </w:p>
    <w:p>
      <w:pPr>
        <w:spacing w:before="0" w:after="200"/>
        <w:jc w:val="center"/>
      </w:pPr>
      <w:r>
        <w:rPr>
          <w:rFonts w:ascii="Arial" w:cs="Arial" w:eastAsia="Arial" w:hAnsi="Arial"/>
          <w:i/>
          <w:iCs/>
          <w:color w:val="424242"/>
          <w:sz w:val="24"/>
          <w:szCs w:val="24"/>
        </w:rPr>
        <w:t xml:space="preserve">Governed Green Disbursement — GreenTech4CE Use Case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C8E6C9" w:val="clear"/>
            <w:tcMar>
              <w:top w:type="dxa" w:w="140"/>
              <w:left w:type="dxa" w:w="200"/>
              <w:bottom w:type="dxa" w:w="140"/>
              <w:right w:type="dxa" w:w="200"/>
            </w:tcMar>
          </w:tcPr>
          <w:p>
            <w:pPr>
              <w:spacing w:before="0" w:after="40"/>
            </w:pPr>
            <w:r>
              <w:rPr>
                <w:rFonts w:ascii="Arial" w:cs="Arial" w:eastAsia="Arial" w:hAnsi="Arial"/>
                <w:b w:val="false"/>
                <w:bCs w:val="false"/>
                <w:i w:val="false"/>
                <w:iCs w:val="false"/>
                <w:color w:val="424242"/>
                <w:sz w:val="18"/>
                <w:szCs w:val="18"/>
              </w:rPr>
              <w:t xml:space="preserve">Lukhutho Enterprises Limited  |  PACRA Reg. No. 120210025682  |  March 2026</w:t>
            </w:r>
          </w:p>
          <w:p>
            <w:pPr>
              <w:spacing w:before="0" w:after="40"/>
            </w:pPr>
            <w:r>
              <w:rPr>
                <w:rFonts w:ascii="Arial" w:cs="Arial" w:eastAsia="Arial" w:hAnsi="Arial"/>
                <w:b w:val="false"/>
                <w:bCs w:val="false"/>
                <w:i w:val="false"/>
                <w:iCs w:val="false"/>
                <w:color w:val="424242"/>
                <w:sz w:val="18"/>
                <w:szCs w:val="18"/>
              </w:rPr>
              <w:t xml:space="preserve">This document defines the primary use case, user stories, functional requirements,</w:t>
            </w:r>
          </w:p>
          <w:p>
            <w:pPr>
              <w:spacing w:before="0" w:after="40"/>
            </w:pPr>
            <w:r>
              <w:rPr>
                <w:rFonts w:ascii="Arial" w:cs="Arial" w:eastAsia="Arial" w:hAnsi="Arial"/>
                <w:b/>
                <w:bCs/>
                <w:i w:val="false"/>
                <w:iCs w:val="false"/>
                <w:color w:val="1B5E20"/>
                <w:sz w:val="19"/>
                <w:szCs w:val="19"/>
              </w:rPr>
              <w:t xml:space="preserve">and development delta for Symphony's GreenTech4CE pitch and pilot deployment.</w:t>
            </w:r>
          </w:p>
          <w:p>
            <w:pPr>
              <w:spacing w:before="0" w:after="40"/>
            </w:pPr>
            <w:r>
              <w:rPr>
                <w:rFonts w:ascii="Arial" w:cs="Arial" w:eastAsia="Arial" w:hAnsi="Arial"/>
                <w:b w:val="false"/>
                <w:bCs w:val="false"/>
                <w:i/>
                <w:iCs/>
                <w:color w:val="424242"/>
                <w:sz w:val="18"/>
                <w:szCs w:val="18"/>
              </w:rPr>
              <w:t xml:space="preserve">It is the foundation from which the GreenTech4CE application is built — not the other way around.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40"/>
            </w:pPr>
            <w:r>
              <w:rPr>
                <w:rFonts w:ascii="Arial" w:cs="Arial" w:eastAsia="Arial" w:hAnsi="Arial"/>
                <w:b/>
                <w:bCs/>
                <w:color w:val="1B5E20"/>
                <w:sz w:val="17"/>
                <w:szCs w:val="17"/>
              </w:rPr>
              <w:t xml:space="preserve">Document Status</w:t>
            </w:r>
          </w:p>
          <w:p>
            <w:pPr>
              <w:spacing w:before="0" w:after="0"/>
            </w:pPr>
            <w:r>
              <w:rPr>
                <w:rFonts w:ascii="Arial" w:cs="Arial" w:eastAsia="Arial" w:hAnsi="Arial"/>
                <w:color w:val="424242"/>
                <w:sz w:val="18"/>
                <w:szCs w:val="18"/>
              </w:rPr>
              <w:t xml:space="preserve">Draft v2.1</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40"/>
            </w:pPr>
            <w:r>
              <w:rPr>
                <w:rFonts w:ascii="Arial" w:cs="Arial" w:eastAsia="Arial" w:hAnsi="Arial"/>
                <w:b/>
                <w:bCs/>
                <w:color w:val="1B5E20"/>
                <w:sz w:val="17"/>
                <w:szCs w:val="17"/>
              </w:rPr>
              <w:t xml:space="preserve">Phase</w:t>
            </w:r>
          </w:p>
          <w:p>
            <w:pPr>
              <w:spacing w:before="0" w:after="0"/>
            </w:pPr>
            <w:r>
              <w:rPr>
                <w:rFonts w:ascii="Arial" w:cs="Arial" w:eastAsia="Arial" w:hAnsi="Arial"/>
                <w:color w:val="424242"/>
                <w:sz w:val="18"/>
                <w:szCs w:val="18"/>
              </w:rPr>
              <w:t xml:space="preserve">123/130 invariants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40"/>
            </w:pPr>
            <w:r>
              <w:rPr>
                <w:rFonts w:ascii="Arial" w:cs="Arial" w:eastAsia="Arial" w:hAnsi="Arial"/>
                <w:b/>
                <w:bCs/>
                <w:color w:val="1B5E20"/>
                <w:sz w:val="17"/>
                <w:szCs w:val="17"/>
              </w:rPr>
              <w:t xml:space="preserve">Target Programme</w:t>
            </w:r>
          </w:p>
          <w:p>
            <w:pPr>
              <w:spacing w:before="0" w:after="0"/>
            </w:pPr>
            <w:r>
              <w:rPr>
                <w:rFonts w:ascii="Arial" w:cs="Arial" w:eastAsia="Arial" w:hAnsi="Arial"/>
                <w:color w:val="424242"/>
                <w:sz w:val="18"/>
                <w:szCs w:val="18"/>
              </w:rPr>
              <w:t xml:space="preserve">GreenTech4CE 2026</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40"/>
            </w:pPr>
            <w:r>
              <w:rPr>
                <w:rFonts w:ascii="Arial" w:cs="Arial" w:eastAsia="Arial" w:hAnsi="Arial"/>
                <w:b/>
                <w:bCs/>
                <w:color w:val="1B5E20"/>
                <w:sz w:val="17"/>
                <w:szCs w:val="17"/>
              </w:rPr>
              <w:t xml:space="preserve">Demo Target</w:t>
            </w:r>
          </w:p>
          <w:p>
            <w:pPr>
              <w:spacing w:before="0" w:after="0"/>
            </w:pPr>
            <w:r>
              <w:rPr>
                <w:rFonts w:ascii="Arial" w:cs="Arial" w:eastAsia="Arial" w:hAnsi="Arial"/>
                <w:color w:val="424242"/>
                <w:sz w:val="18"/>
                <w:szCs w:val="18"/>
              </w:rPr>
              <w:t xml:space="preserve">Day 61–90 Reveal</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1. Context and Strategic Foundation</w:t>
      </w:r>
    </w:p>
    <w:p>
      <w:pPr>
        <w:spacing w:before="60" w:after="100"/>
      </w:pPr>
      <w:r>
        <w:rPr>
          <w:rFonts w:ascii="Arial" w:cs="Arial" w:eastAsia="Arial" w:hAnsi="Arial"/>
          <w:color w:val="424242"/>
          <w:sz w:val="20"/>
          <w:szCs w:val="20"/>
        </w:rPr>
        <w:t xml:space="preserve">This document defines the use case, user stories, functional requirements, and development delta for Symphony's primary GreenTech4CE pitch. It exists because the pitch and the product must be grounded in the same operational reality. The application document is the public expression of what this document defines internally.</w:t>
      </w:r>
    </w:p>
    <w:p>
      <w:pPr>
        <w:spacing w:before="0" w:after="120"/>
      </w:pPr>
      <w:r>
        <w:t xml:space="preserve"/>
      </w:r>
    </w:p>
    <w:p>
      <w:pPr>
        <w:spacing w:before="300" w:after="100"/>
      </w:pPr>
      <w:r>
        <w:rPr>
          <w:rFonts w:ascii="Arial" w:cs="Arial" w:eastAsia="Arial" w:hAnsi="Arial"/>
          <w:b/>
          <w:bCs/>
          <w:color w:val="00695C"/>
          <w:sz w:val="24"/>
          <w:szCs w:val="24"/>
        </w:rPr>
        <w:t xml:space="preserve">1.1 The Structural Problem Symphony Solves</w:t>
      </w:r>
    </w:p>
    <w:p>
      <w:pPr>
        <w:spacing w:before="60" w:after="100"/>
      </w:pPr>
      <w:r>
        <w:rPr>
          <w:rFonts w:ascii="Arial" w:cs="Arial" w:eastAsia="Arial" w:hAnsi="Arial"/>
          <w:color w:val="424242"/>
          <w:sz w:val="20"/>
          <w:szCs w:val="20"/>
        </w:rPr>
        <w:t xml:space="preserve">Zambia's green and circular economy is heavily dependent on donor, government, and multilateral capital. UNICEF's 2025 Zambia Climate Finance Budget Brief shows that the Ministry of Green Economy and Environment's programme financing was approximately 73.8% donor-funded in 2022 and 65.1% in 2025. Total environmental protection allocations remain 0.6–0.7% of the national budget.</w:t>
      </w:r>
    </w:p>
    <w:p>
      <w:pPr>
        <w:spacing w:before="0" w:after="120"/>
      </w:pPr>
      <w:r>
        <w:t xml:space="preserve"/>
      </w:r>
    </w:p>
    <w:p>
      <w:pPr>
        <w:spacing w:before="60" w:after="100"/>
      </w:pPr>
      <w:r>
        <w:rPr>
          <w:rFonts w:ascii="Arial" w:cs="Arial" w:eastAsia="Arial" w:hAnsi="Arial"/>
          <w:color w:val="424242"/>
          <w:sz w:val="20"/>
          <w:szCs w:val="20"/>
        </w:rPr>
        <w:t xml:space="preserve">The bottleneck is not capital. The bottleneck is the operating discipline around how that capital is released, verified, and reported. Programme operators and donor-backed facilities struggle to demonstrate to their own funders that capital reached its intended green purpose. Financial Service Providers cannot launch green products at scale without a control and evidence layer they do not have to build themselves. Green MSMEs and startups cannot build formal financial track records because the transactions that should constitute those records are governed manually and leave no durable evidence.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C8E6C9"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20"/>
                <w:szCs w:val="20"/>
              </w:rPr>
              <w:t xml:space="preserve">Symphony's core proposition:</w:t>
            </w:r>
          </w:p>
          <w:p>
            <w:pPr>
              <w:spacing w:before="0" w:after="40"/>
            </w:pPr>
            <w:r>
              <w:rPr>
                <w:rFonts w:ascii="Arial" w:cs="Arial" w:eastAsia="Arial" w:hAnsi="Arial"/>
                <w:b w:val="false"/>
                <w:bCs w:val="false"/>
                <w:i w:val="false"/>
                <w:iCs w:val="false"/>
                <w:color w:val="424242"/>
                <w:sz w:val="18"/>
                <w:szCs w:val="18"/>
              </w:rPr>
              <w:t xml:space="preserve">Non-custodial, rail-aware orchestration and evidence infrastructure that binds</w:t>
            </w:r>
          </w:p>
          <w:p>
            <w:pPr>
              <w:spacing w:before="0" w:after="40"/>
            </w:pPr>
            <w:r>
              <w:rPr>
                <w:rFonts w:ascii="Arial" w:cs="Arial" w:eastAsia="Arial" w:hAnsi="Arial"/>
                <w:b w:val="false"/>
                <w:bCs w:val="false"/>
                <w:i w:val="false"/>
                <w:iCs w:val="false"/>
                <w:color w:val="424242"/>
                <w:sz w:val="18"/>
                <w:szCs w:val="18"/>
              </w:rPr>
              <w:t xml:space="preserve">policy-defined conditions to disbursement, preserves tamper-evident evidence trails,</w:t>
            </w:r>
          </w:p>
          <w:p>
            <w:pPr>
              <w:spacing w:before="0" w:after="40"/>
            </w:pPr>
            <w:r>
              <w:rPr>
                <w:rFonts w:ascii="Arial" w:cs="Arial" w:eastAsia="Arial" w:hAnsi="Arial"/>
                <w:b/>
                <w:bCs/>
                <w:i w:val="false"/>
                <w:iCs w:val="false"/>
                <w:color w:val="00695C"/>
                <w:sz w:val="19"/>
                <w:szCs w:val="19"/>
              </w:rPr>
              <w:t xml:space="preserve">and generates reporting-ready outputs — without replacing existing core systems or holding customer funds.</w:t>
            </w:r>
          </w:p>
        </w:tc>
      </w:tr>
    </w:tbl>
    <w:p>
      <w:pPr>
        <w:spacing w:before="0" w:after="120"/>
      </w:pPr>
      <w:r>
        <w:t xml:space="preserve"/>
      </w:r>
    </w:p>
    <w:p>
      <w:pPr>
        <w:spacing w:before="300" w:after="100"/>
      </w:pPr>
      <w:r>
        <w:rPr>
          <w:rFonts w:ascii="Arial" w:cs="Arial" w:eastAsia="Arial" w:hAnsi="Arial"/>
          <w:b/>
          <w:bCs/>
          <w:color w:val="00695C"/>
          <w:sz w:val="24"/>
          <w:szCs w:val="24"/>
        </w:rPr>
        <w:t xml:space="preserve">1.2 The Three Constituencies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Constituency</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Role in the Ecosystem</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Primary Pain</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Programme Operators / Donor-Backed Facilities / NGOs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Control the capital. Set release conditions. Bear accountability to upstream donors.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Cannot prove to donors that disbursed funds reached their intended green purpose without expensive manual verification.</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Financial Service Providers (FSPs)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Design and deploy green financial products (green loans, green leasing, asset finance) through licensed channels.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Need a control and evidence layer to launch green products without rebuilding core banking systems or absorbing new compliance overhead.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Green MSMEs / Circular Economy Startups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End beneficiaries. Receive capital. Deliver green outcomes. Need to demonstrate creditworthiness over time.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Cannot build formal financial histories because their transactions are ungoverned, undocumented, and leave no durable verifiable record.</w:t>
            </w:r>
          </w:p>
        </w:tc>
      </w:tr>
    </w:tbl>
    <w:p>
      <w:pPr>
        <w:spacing w:before="0" w:after="120"/>
      </w:pPr>
      <w:r>
        <w:t xml:space="preserve"/>
      </w:r>
    </w:p>
    <w:p>
      <w:pPr>
        <w:spacing w:before="300" w:after="100"/>
      </w:pPr>
      <w:r>
        <w:rPr>
          <w:rFonts w:ascii="Arial" w:cs="Arial" w:eastAsia="Arial" w:hAnsi="Arial"/>
          <w:b/>
          <w:bCs/>
          <w:color w:val="00695C"/>
          <w:sz w:val="24"/>
          <w:szCs w:val="24"/>
        </w:rPr>
        <w:t xml:space="preserve">1.3 Regulatory Stack — Three Convergent Obligations</w:t>
      </w:r>
    </w:p>
    <w:p>
      <w:pPr>
        <w:spacing w:before="60" w:after="100"/>
      </w:pPr>
      <w:r>
        <w:rPr>
          <w:rFonts w:ascii="Arial" w:cs="Arial" w:eastAsia="Arial" w:hAnsi="Arial"/>
          <w:color w:val="424242"/>
          <w:sz w:val="20"/>
          <w:szCs w:val="20"/>
        </w:rPr>
        <w:t xml:space="preserve">Three instruments create converging regulatory obligations that no locally-built platform currently addresses together. This section is the single reference point for all regulatory claims in this document and in the GreenTech4CE application.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Instrument</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Effective / Issued</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Obligation Relevant to Symphony</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BoZ Green Loans Guidelines
Gazette Notice No. 1349, October 2023</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October 2023</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Financial service providers must monitor borrower disclosure and reporting obligations for green loan portfolios. Symphony provides the monitoring, evidence, and reporting infrastructure that satisfies this requirement without manual intervention.</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ZiCA IFRS S1 &amp; S2 Mandate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Effective 1 January 2025 for reporting periods beginning on/after that date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All Publicly Accountable Entities — which includes all licensed commercial banks — must disclose sustainability-related risks and opportunities with the same rigour as financial statements. IFRS S2 specifically covers climate-related disclosures. Symphony's evidence trail and reporting exports provide the transaction-level data layer that supports these disclosures.</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Zambia Green Finance Taxonomy (ZGFT)
December 2025</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December 2025</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Establishes a national classification system for environmentally sustainable economic activities, including waste management and circular economy sectors. The taxonomy requires greenwashing-limitation discipline at transaction level. Symphony operationalises taxonomy-aligned disbursement workflows — turning classification intent into governed financial action.</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Cyber Security Act No. 3 of 2025</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2025</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Governs cybersecurity obligations for data processing entities including fintechs. Symphony's architecture — Zambia-resident cloud, air-gapped VPC option, mTLS API boundaries, append-only audit store — is mapped to compliance requirements. ZICTA cybersecurity service provider licence application is in preparation.</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Data Protection Act No. 3 of 2021</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2021</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Requires data minimisation, purpose limitation, and sovereign data residency for PII processed by Zambian entities. Symphony's evidence architecture enforces PII-survivable audit trails — PII fields are separated from evidence metadata so audit records persist even after PII deletion on expiry.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pPr>
              <w:spacing w:before="0" w:after="40"/>
            </w:pPr>
            <w:r>
              <w:rPr>
                <w:rFonts w:ascii="Arial" w:cs="Arial" w:eastAsia="Arial" w:hAnsi="Arial"/>
                <w:b/>
                <w:bCs/>
                <w:i w:val="false"/>
                <w:iCs w:val="false"/>
                <w:color w:val="00695C"/>
                <w:sz w:val="19"/>
                <w:szCs w:val="19"/>
              </w:rPr>
              <w:t xml:space="preserve">Positioning note on SupTech:</w:t>
            </w:r>
          </w:p>
          <w:p>
            <w:pPr>
              <w:spacing w:before="0" w:after="40"/>
            </w:pPr>
            <w:r>
              <w:rPr>
                <w:rFonts w:ascii="Arial" w:cs="Arial" w:eastAsia="Arial" w:hAnsi="Arial"/>
                <w:b w:val="false"/>
                <w:bCs w:val="false"/>
                <w:i w:val="false"/>
                <w:iCs w:val="false"/>
                <w:color w:val="424242"/>
                <w:sz w:val="18"/>
                <w:szCs w:val="18"/>
              </w:rPr>
              <w:t xml:space="preserve">Symphony is compatible with the Bank of Zambia's emerging SupTech direction</w:t>
            </w:r>
          </w:p>
          <w:p>
            <w:pPr>
              <w:spacing w:before="0" w:after="40"/>
            </w:pPr>
            <w:r>
              <w:rPr>
                <w:rFonts w:ascii="Arial" w:cs="Arial" w:eastAsia="Arial" w:hAnsi="Arial"/>
                <w:b w:val="false"/>
                <w:bCs w:val="false"/>
                <w:i w:val="false"/>
                <w:iCs w:val="false"/>
                <w:color w:val="424242"/>
                <w:sz w:val="18"/>
                <w:szCs w:val="18"/>
              </w:rPr>
              <w:t xml:space="preserve">and supports supervisory-ready evidence and reporting.</w:t>
            </w:r>
          </w:p>
          <w:p>
            <w:pPr>
              <w:spacing w:before="0" w:after="40"/>
            </w:pPr>
            <w:r>
              <w:rPr>
                <w:rFonts w:ascii="Arial" w:cs="Arial" w:eastAsia="Arial" w:hAnsi="Arial"/>
                <w:b/>
                <w:bCs/>
                <w:i w:val="false"/>
                <w:iCs w:val="false"/>
                <w:color w:val="B71C1C"/>
                <w:sz w:val="18"/>
                <w:szCs w:val="18"/>
              </w:rPr>
              <w:t xml:space="preserve">Do NOT claim that Symphony is SupTech infrastructure that regulators depend on.</w:t>
            </w:r>
          </w:p>
          <w:p>
            <w:pPr>
              <w:spacing w:before="0" w:after="40"/>
            </w:pPr>
            <w:r>
              <w:rPr>
                <w:rFonts w:ascii="Arial" w:cs="Arial" w:eastAsia="Arial" w:hAnsi="Arial"/>
                <w:b w:val="false"/>
                <w:bCs w:val="false"/>
                <w:i w:val="false"/>
                <w:iCs w:val="false"/>
                <w:color w:val="424242"/>
                <w:sz w:val="18"/>
                <w:szCs w:val="18"/>
              </w:rPr>
              <w:t xml:space="preserve">That claim is not yet earned. The supervisory observability layer is a complement to</w:t>
            </w:r>
          </w:p>
          <w:p>
            <w:pPr>
              <w:spacing w:before="0" w:after="40"/>
            </w:pPr>
            <w:r>
              <w:rPr>
                <w:rFonts w:ascii="Arial" w:cs="Arial" w:eastAsia="Arial" w:hAnsi="Arial"/>
                <w:b w:val="false"/>
                <w:bCs w:val="false"/>
                <w:i w:val="false"/>
                <w:iCs w:val="false"/>
                <w:color w:val="424242"/>
                <w:sz w:val="18"/>
                <w:szCs w:val="18"/>
              </w:rPr>
              <w:t xml:space="preserve">regulatory infrastructure — not a replacement or dependency.</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2. Primary Use Case</w:t>
      </w:r>
    </w:p>
    <w:p>
      <w:pPr>
        <w:spacing w:before="300" w:after="100"/>
      </w:pPr>
      <w:r>
        <w:rPr>
          <w:rFonts w:ascii="Arial" w:cs="Arial" w:eastAsia="Arial" w:hAnsi="Arial"/>
          <w:b/>
          <w:bCs/>
          <w:color w:val="00695C"/>
          <w:sz w:val="24"/>
          <w:szCs w:val="24"/>
        </w:rPr>
        <w:t xml:space="preserve">UC-01: Donor-Programme Governed Green Equipment Disbursement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C8E6C9"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20"/>
                <w:szCs w:val="20"/>
              </w:rPr>
              <w:t xml:space="preserve">Use Case ID: UC-01</w:t>
            </w:r>
          </w:p>
          <w:p>
            <w:pPr>
              <w:spacing w:before="0" w:after="40"/>
            </w:pPr>
            <w:r>
              <w:rPr>
                <w:rFonts w:ascii="Arial" w:cs="Arial" w:eastAsia="Arial" w:hAnsi="Arial"/>
                <w:b w:val="false"/>
                <w:bCs w:val="false"/>
                <w:i w:val="false"/>
                <w:iCs w:val="false"/>
                <w:color w:val="424242"/>
                <w:sz w:val="18"/>
                <w:szCs w:val="18"/>
              </w:rPr>
              <w:t xml:space="preserve">A donor-backed green equipment finance programme uses Symphony to govern disbursements</w:t>
            </w:r>
          </w:p>
          <w:p>
            <w:pPr>
              <w:spacing w:before="0" w:after="40"/>
            </w:pPr>
            <w:r>
              <w:rPr>
                <w:rFonts w:ascii="Arial" w:cs="Arial" w:eastAsia="Arial" w:hAnsi="Arial"/>
                <w:b w:val="false"/>
                <w:bCs w:val="false"/>
                <w:i w:val="false"/>
                <w:iCs w:val="false"/>
                <w:color w:val="424242"/>
                <w:sz w:val="18"/>
                <w:szCs w:val="18"/>
              </w:rPr>
              <w:t xml:space="preserve">to verified circular-economy MSMEs and startups.</w:t>
            </w:r>
          </w:p>
          <w:p>
            <w:pPr>
              <w:spacing w:before="0" w:after="40"/>
            </w:pPr>
            <w:r>
              <w:rPr>
                <w:rFonts w:ascii="Arial" w:cs="Arial" w:eastAsia="Arial" w:hAnsi="Arial"/>
                <w:b w:val="false"/>
                <w:bCs w:val="false"/>
                <w:i w:val="false"/>
                <w:iCs w:val="false"/>
                <w:color w:val="424242"/>
                <w:sz w:val="18"/>
                <w:szCs w:val="18"/>
              </w:rPr>
              <w:t xml:space="preserve">Symphony conditions release on defined proof requirements,</w:t>
            </w:r>
          </w:p>
          <w:p>
            <w:pPr>
              <w:spacing w:before="0" w:after="40"/>
            </w:pPr>
            <w:r>
              <w:rPr>
                <w:rFonts w:ascii="Arial" w:cs="Arial" w:eastAsia="Arial" w:hAnsi="Arial"/>
                <w:b/>
                <w:bCs/>
                <w:i w:val="false"/>
                <w:iCs w:val="false"/>
                <w:color w:val="00695C"/>
                <w:sz w:val="19"/>
                <w:szCs w:val="19"/>
              </w:rPr>
              <w:t xml:space="preserve">preserves a tamper-evident evidence trail, and generates programme reporting outputs automatically.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Attribute</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Detail</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Primary Actor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Operator (donor-backed green finance facility or FSP green product manager)</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Secondary Actors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Green supplier / equipment vendor; field verification officer; donor/supervisory observer; green MSME (end beneficiary)</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Trigger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operator has approved a green equipment financing instruction and submits it to Symphony for governance</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Preconditions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Borrower onboarding and credit assessment completed by lender/programme. Tenant policy configured in Symphony. Approved supplier on verified supplier list.</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Proof Requirements (configurable per programme)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Supplier invoice (verified against approved vendor list) + Asset delivery confirmation (photo + GPS coordinates) + Field officer confirmation token + Borrower acknowledgement</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Success Outcome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Funds released to verified supplier account. Evidence pack archived. Disbursement recorded on programme ledger. Reporting-ready output generated.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Failure / Hold Outcome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Missing or failed proof conditions trigger a HOLD state. Instruction escalated to programme operator. No funds released until conditions are satisfied or instruction is cancelled.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Supervisory Access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Donor representative has read-only view of all governed disbursements, evidence packs, hold events, and exception flags within their programme scope. No access to other tenants.</w:t>
            </w:r>
          </w:p>
        </w:tc>
      </w:tr>
    </w:tbl>
    <w:p>
      <w:pPr>
        <w:spacing w:before="0" w:after="120"/>
      </w:pPr>
      <w:r>
        <w:t xml:space="preserve"/>
      </w:r>
    </w:p>
    <w:p>
      <w:pPr>
        <w:spacing w:before="300" w:after="100"/>
      </w:pPr>
      <w:r>
        <w:rPr>
          <w:rFonts w:ascii="Arial" w:cs="Arial" w:eastAsia="Arial" w:hAnsi="Arial"/>
          <w:b/>
          <w:bCs/>
          <w:color w:val="00695C"/>
          <w:sz w:val="24"/>
          <w:szCs w:val="24"/>
        </w:rPr>
        <w:t xml:space="preserve">2.1 Use Case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3000"/>
        <w:gridCol w:w="300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Step</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Actor</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Action</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Symphony Response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1</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Operator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Submits approved financing instruction for green equipment purchase via Symphony API or operator interface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Validates instruction structure, enforces idempotency, assigns tenant attribution, opens evidence trail, returns instruction ID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2</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(automated)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Activates programme policy for this disbursement class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Records active policy version and checksum against instruction. Disbursement enters PENDING-PROOF state.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3</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Supplier / Field Officer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Submits proof artifacts: invoice, delivery photo, GPS, confirmation token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Appends each artifact to evidence trail with timestamp, submitter class, and policy linkage. Returns proof-set completeness status.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4</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(automated)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Evaluates proof set against active policy</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If all conditions met: transitions to AUTHORIZED. If conditions incomplete: holds in PENDING-PROOF. If conditions violated: escalates to HOLD with flag.</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5</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(orchestration)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Dispatches release instruction to FSP/payment channel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Records dispatch reference, channel, timestamp. Enters DISPATCHED state. Non-custodial — funds never held by Symphony.</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6</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Payment Channel (MMO / bank)</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Executes transfer to verified supplier account</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Receives settlement confirmation, appends to evidence trail, transitions to SETTLED. Evidence pack is now complete and sealed.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7</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Operator / Donor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Requests quarterly evidence pack or accesses supervisory dashboard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Returns structured report: disbursements governed, proofs collected, holds triggered, exceptions flagged. Exportable for donor submission.</w:t>
            </w:r>
          </w:p>
        </w:tc>
      </w:tr>
    </w:tbl>
    <w:p>
      <w:pPr>
        <w:spacing w:before="0" w:after="120"/>
      </w:pPr>
      <w:r>
        <w:t xml:space="preserve"/>
      </w:r>
    </w:p>
    <w:p>
      <w:pPr>
        <w:spacing w:before="300" w:after="100"/>
      </w:pPr>
      <w:r>
        <w:rPr>
          <w:rFonts w:ascii="Arial" w:cs="Arial" w:eastAsia="Arial" w:hAnsi="Arial"/>
          <w:b/>
          <w:bCs/>
          <w:color w:val="00695C"/>
          <w:sz w:val="24"/>
          <w:szCs w:val="24"/>
        </w:rPr>
        <w:t xml:space="preserve">2.2 Variant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Variant</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UC-01-A: Supplier-direct payment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Funds released directly to verified supplier account, never passing through borrower. Eliminates diversion risk. Requires verified supplier list and account resolution step.</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UC-01-B: Milestone-based grant release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releases tranches as defined milestones are met (e.g. equipment installation confirmed, first operational cycle completed). Symphony governs each tranche independently with its own proof set.</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UC-01-C: FSP green product deployment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FSP deploys a green leasing or green loan product using Symphony as the control layer. FSP configures proof conditions for their product type. Symphony governs without touching core banking.</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UC-01-D: Reimbursement against verified deployment</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reimburses a pre-purchased green asset after deployment is verified. Symphony governs the reimbursement release against post-deployment proofs rather than pre-purchase proofs.</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UC-01-E: Signed Instruction File Egress (Pre-Rail Bridge)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Where live MMO rail integration is not yet active, Symphony generates a Signed Payment Instruction File — a structured CSV or JSON export with a cryptographic checksum — that the MFI finance team uploads to their corporate banking portal or MTN/Airtel business account. If any field (vendor account number, amount, reference) is altered after Symphony signs the file, the checksum breaks and the audit trail flags an Unauthorized Modification event. The non-custodial posture is maintained: Symphony authorises the instruction, the licensed channel executes it. This is the default egress model for Phase 1 pilots operating outside the BoZ sandbox.</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B2DFDB"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19"/>
                <w:szCs w:val="19"/>
              </w:rPr>
              <w:t xml:space="preserve">UC-01-E is the Phase 1 commercial bridge.</w:t>
            </w:r>
          </w:p>
          <w:p>
            <w:pPr>
              <w:spacing w:before="0" w:after="40"/>
            </w:pPr>
            <w:r>
              <w:rPr>
                <w:rFonts w:ascii="Arial" w:cs="Arial" w:eastAsia="Arial" w:hAnsi="Arial"/>
                <w:b w:val="false"/>
                <w:bCs w:val="false"/>
                <w:i w:val="false"/>
                <w:iCs w:val="false"/>
                <w:color w:val="424242"/>
                <w:sz w:val="18"/>
                <w:szCs w:val="18"/>
              </w:rPr>
              <w:t xml:space="preserve">It allows Symphony to deliver full governance, evidence, and tamper-detection value</w:t>
            </w:r>
          </w:p>
          <w:p>
            <w:pPr>
              <w:spacing w:before="0" w:after="40"/>
            </w:pPr>
            <w:r>
              <w:rPr>
                <w:rFonts w:ascii="Arial" w:cs="Arial" w:eastAsia="Arial" w:hAnsi="Arial"/>
                <w:b w:val="false"/>
                <w:bCs w:val="false"/>
                <w:i w:val="false"/>
                <w:iCs w:val="false"/>
                <w:color w:val="424242"/>
                <w:sz w:val="18"/>
                <w:szCs w:val="18"/>
              </w:rPr>
              <w:t xml:space="preserve">without requiring direct settlement rail integration.</w:t>
            </w:r>
          </w:p>
          <w:p>
            <w:pPr>
              <w:spacing w:before="0" w:after="40"/>
            </w:pPr>
            <w:r>
              <w:rPr>
                <w:rFonts w:ascii="Arial" w:cs="Arial" w:eastAsia="Arial" w:hAnsi="Arial"/>
                <w:b/>
                <w:bCs/>
                <w:i w:val="false"/>
                <w:iCs w:val="false"/>
                <w:color w:val="00695C"/>
                <w:sz w:val="18"/>
                <w:szCs w:val="18"/>
              </w:rPr>
              <w:t xml:space="preserve">The pilot MFI retains payment execution authority. Symphony provides the certified green signal.</w:t>
            </w:r>
          </w:p>
          <w:p>
            <w:pPr>
              <w:spacing w:before="0" w:after="40"/>
            </w:pPr>
            <w:r>
              <w:rPr>
                <w:rFonts w:ascii="Arial" w:cs="Arial" w:eastAsia="Arial" w:hAnsi="Arial"/>
                <w:b w:val="false"/>
                <w:bCs w:val="false"/>
                <w:i w:val="false"/>
                <w:iCs w:val="false"/>
                <w:color w:val="424242"/>
                <w:sz w:val="18"/>
                <w:szCs w:val="18"/>
              </w:rPr>
              <w:t xml:space="preserve">Pitch line: "We don't move the money. We tell your finance team exactly when it is safe to move it,</w:t>
            </w:r>
          </w:p>
          <w:p>
            <w:pPr>
              <w:spacing w:before="0" w:after="40"/>
            </w:pPr>
            <w:r>
              <w:rPr>
                <w:rFonts w:ascii="Arial" w:cs="Arial" w:eastAsia="Arial" w:hAnsi="Arial"/>
                <w:b w:val="false"/>
                <w:bCs w:val="false"/>
                <w:i/>
                <w:iCs/>
                <w:color w:val="424242"/>
                <w:sz w:val="18"/>
                <w:szCs w:val="18"/>
              </w:rPr>
              <w:t xml:space="preserve">backed by a tamper-proof signed instruction file that satisfies your donor reporting requirements."</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3. User Stories</w:t>
      </w:r>
    </w:p>
    <w:p>
      <w:pPr>
        <w:spacing w:before="300" w:after="100"/>
      </w:pPr>
      <w:r>
        <w:rPr>
          <w:rFonts w:ascii="Arial" w:cs="Arial" w:eastAsia="Arial" w:hAnsi="Arial"/>
          <w:b/>
          <w:bCs/>
          <w:color w:val="00695C"/>
          <w:sz w:val="24"/>
          <w:szCs w:val="24"/>
        </w:rPr>
        <w:t xml:space="preserve">3.1 Programme Operator / Donor-Backed Facility</w:t>
      </w:r>
    </w:p>
    <w:p>
      <w:pPr>
        <w:spacing w:before="0" w:after="120"/>
      </w:pPr>
      <w:r>
        <w:t xml:space="preserve"/>
      </w:r>
    </w:p>
    <w:p>
      <w:pPr>
        <w:spacing w:before="200" w:after="80"/>
      </w:pPr>
      <w:r>
        <w:rPr>
          <w:rFonts w:ascii="Arial" w:cs="Arial" w:eastAsia="Arial" w:hAnsi="Arial"/>
          <w:b/>
          <w:bCs/>
          <w:color w:val="424242"/>
          <w:sz w:val="21"/>
          <w:szCs w:val="21"/>
        </w:rPr>
        <w:t xml:space="preserve">US-PO-01 — Release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r>
              <w:rPr>
                <w:rFonts w:ascii="Arial" w:cs="Arial" w:eastAsia="Arial" w:hAnsi="Arial"/>
                <w:color w:val="424242"/>
                <w:sz w:val="20"/>
                <w:szCs w:val="20"/>
              </w:rPr>
              <w:t xml:space="preserve">As a programme operator managing a donor-funded green equipment finance facility, I need disbursements to only reach verified green suppliers when specific proof conditions are met, so that I can demonstrate to my donor that every kwacha was deployed as intended.</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Disbursement is blocked until all configured proof conditions are satisfied. Release to unverified supplier is impossible. Every release decision is logged with the proof set that triggered it.</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COVERED — proof-governance engine, policy enforcement, and fail-closed behaviour are implemented.</w:t>
            </w:r>
          </w:p>
        </w:tc>
      </w:tr>
    </w:tbl>
    <w:p>
      <w:pPr>
        <w:spacing w:before="0" w:after="120"/>
      </w:pPr>
      <w:r>
        <w:t xml:space="preserve"/>
      </w:r>
    </w:p>
    <w:p>
      <w:pPr>
        <w:spacing w:before="200" w:after="80"/>
      </w:pPr>
      <w:r>
        <w:rPr>
          <w:rFonts w:ascii="Arial" w:cs="Arial" w:eastAsia="Arial" w:hAnsi="Arial"/>
          <w:b/>
          <w:bCs/>
          <w:color w:val="424242"/>
          <w:sz w:val="21"/>
          <w:szCs w:val="21"/>
        </w:rPr>
        <w:t xml:space="preserve">US-PO-02 — Automated Reporting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r>
              <w:rPr>
                <w:rFonts w:ascii="Arial" w:cs="Arial" w:eastAsia="Arial" w:hAnsi="Arial"/>
                <w:color w:val="424242"/>
                <w:sz w:val="20"/>
                <w:szCs w:val="20"/>
              </w:rPr>
              <w:t xml:space="preserve">As a programme operator, I need to generate a structured reporting pack at the end of each reporting period showing disbursement flows, conditions met, proofs collected, holds triggered, and exceptions flagged — so that I can submit my donor report without manually aggregating records.</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Report generated in one action. Contains: period, total disbursements governed, total released, total held, per-instruction evidence summary, exception log. Exportable as PDF or structured data.</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PARTIAL — evidence trail data exists. Structured report schema, export format, and generation interface are new development required.</w:t>
            </w:r>
          </w:p>
        </w:tc>
      </w:tr>
    </w:tbl>
    <w:p>
      <w:pPr>
        <w:spacing w:before="0" w:after="120"/>
      </w:pPr>
      <w:r>
        <w:t xml:space="preserve"/>
      </w:r>
    </w:p>
    <w:p>
      <w:pPr>
        <w:spacing w:before="200" w:after="80"/>
      </w:pPr>
      <w:r>
        <w:rPr>
          <w:rFonts w:ascii="Arial" w:cs="Arial" w:eastAsia="Arial" w:hAnsi="Arial"/>
          <w:b/>
          <w:bCs/>
          <w:color w:val="424242"/>
          <w:sz w:val="21"/>
          <w:szCs w:val="21"/>
        </w:rPr>
        <w:t xml:space="preserve">US-PO-03 — Supervisory / Donor Read-Only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r>
              <w:rPr>
                <w:rFonts w:ascii="Arial" w:cs="Arial" w:eastAsia="Arial" w:hAnsi="Arial"/>
                <w:color w:val="424242"/>
                <w:sz w:val="20"/>
                <w:szCs w:val="20"/>
              </w:rPr>
              <w:t xml:space="preserve">As a programme operator, I need to give a donor or supervisory observer read-only visibility into the live disbursement programme — including active instructions, evidence status, hold events, and exception flags — so that they can verify deployment integrity without accessing my core financial systems.</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Donor/observer login scoped strictly to their programme. View shows: live instruction states, evidence completeness, disbursement timeline, exception summary. No access to raw PII or other tenants.</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PARTIAL — supervisory seat and read-only access architecture exist. A clean, non-technical programme dashboard UI for non-developer donors is new development required.</w:t>
            </w:r>
          </w:p>
        </w:tc>
      </w:tr>
    </w:tbl>
    <w:p>
      <w:pPr>
        <w:spacing w:before="0" w:after="120"/>
      </w:pPr>
      <w:r>
        <w:t xml:space="preserve"/>
      </w:r>
    </w:p>
    <w:p>
      <w:pPr>
        <w:spacing w:before="300" w:after="100"/>
      </w:pPr>
      <w:r>
        <w:rPr>
          <w:rFonts w:ascii="Arial" w:cs="Arial" w:eastAsia="Arial" w:hAnsi="Arial"/>
          <w:b/>
          <w:bCs/>
          <w:color w:val="00695C"/>
          <w:sz w:val="24"/>
          <w:szCs w:val="24"/>
        </w:rPr>
        <w:t xml:space="preserve">3.2 Financial Service Provider</w:t>
      </w:r>
    </w:p>
    <w:p>
      <w:pPr>
        <w:spacing w:before="0" w:after="120"/>
      </w:pPr>
      <w:r>
        <w:t xml:space="preserve"/>
      </w:r>
    </w:p>
    <w:p>
      <w:pPr>
        <w:spacing w:before="200" w:after="80"/>
      </w:pPr>
      <w:r>
        <w:rPr>
          <w:rFonts w:ascii="Arial" w:cs="Arial" w:eastAsia="Arial" w:hAnsi="Arial"/>
          <w:b/>
          <w:bCs/>
          <w:color w:val="424242"/>
          <w:sz w:val="21"/>
          <w:szCs w:val="21"/>
        </w:rPr>
        <w:t xml:space="preserve">US-FSP-01 — Green Product Deployment Without Core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B2DFDB" w:val="clear"/>
            <w:tcMar>
              <w:top w:type="dxa" w:w="100"/>
              <w:left w:type="dxa" w:w="140"/>
              <w:bottom w:type="dxa" w:w="100"/>
              <w:right w:type="dxa" w:w="140"/>
            </w:tcMar>
          </w:tcPr>
          <w:p>
            <w:r>
              <w:rPr>
                <w:rFonts w:ascii="Arial" w:cs="Arial" w:eastAsia="Arial" w:hAnsi="Arial"/>
                <w:color w:val="424242"/>
                <w:sz w:val="20"/>
                <w:szCs w:val="20"/>
              </w:rPr>
              <w:t xml:space="preserve">As an FSP designing a green leasing product, I need a control layer that enforces my product's release conditions without requiring changes to my core banking system, so that I can launch the product within our existing infrastructure and compliance posture.</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FSP submits disbursement via API. Symphony governs without touching FSP core. Webhook integration is the only required FSP-side change. Policy configuration is self-service for authorised product managers.</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COVERED — non-custodial API sidecar architecture, webhook integration model, and multi-tenant isolation are implemented.</w:t>
            </w:r>
          </w:p>
        </w:tc>
      </w:tr>
    </w:tbl>
    <w:p>
      <w:pPr>
        <w:spacing w:before="0" w:after="120"/>
      </w:pPr>
      <w:r>
        <w:t xml:space="preserve"/>
      </w:r>
    </w:p>
    <w:p>
      <w:pPr>
        <w:spacing w:before="200" w:after="80"/>
      </w:pPr>
      <w:r>
        <w:rPr>
          <w:rFonts w:ascii="Arial" w:cs="Arial" w:eastAsia="Arial" w:hAnsi="Arial"/>
          <w:b/>
          <w:bCs/>
          <w:color w:val="424242"/>
          <w:sz w:val="21"/>
          <w:szCs w:val="21"/>
        </w:rPr>
        <w:t xml:space="preserve">US-FSP-02 — BoZ Green Loan Reporting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B2DFDB" w:val="clear"/>
            <w:tcMar>
              <w:top w:type="dxa" w:w="100"/>
              <w:left w:type="dxa" w:w="140"/>
              <w:bottom w:type="dxa" w:w="100"/>
              <w:right w:type="dxa" w:w="140"/>
            </w:tcMar>
          </w:tcPr>
          <w:p>
            <w:r>
              <w:rPr>
                <w:rFonts w:ascii="Arial" w:cs="Arial" w:eastAsia="Arial" w:hAnsi="Arial"/>
                <w:color w:val="424242"/>
                <w:sz w:val="20"/>
                <w:szCs w:val="20"/>
              </w:rPr>
              <w:t xml:space="preserve">As an FSP compliance officer, I need to demonstrate to the Bank of Zambia that our green loan portfolio meets the disclosure and monitoring requirements under the Green Loans Guidelines, so that we are audit-ready without a week of manual evidence preparation.</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Portfolio view shows all governed green disbursements with status, evidence completeness, and exception flags. BoZ-scoped read-only seat produces equivalent of audit pack on demand.</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PARTIAL — data architecture supports this. BoZ-scoped supervisory seat and structured export are new development required.</w:t>
            </w:r>
          </w:p>
        </w:tc>
      </w:tr>
    </w:tbl>
    <w:p>
      <w:pPr>
        <w:spacing w:before="0" w:after="120"/>
      </w:pPr>
      <w:r>
        <w:t xml:space="preserve"/>
      </w:r>
    </w:p>
    <w:p>
      <w:pPr>
        <w:spacing w:before="300" w:after="100"/>
      </w:pPr>
      <w:r>
        <w:rPr>
          <w:rFonts w:ascii="Arial" w:cs="Arial" w:eastAsia="Arial" w:hAnsi="Arial"/>
          <w:b/>
          <w:bCs/>
          <w:color w:val="00695C"/>
          <w:sz w:val="24"/>
          <w:szCs w:val="24"/>
        </w:rPr>
        <w:t xml:space="preserve">3.3 Green MSME / Startup (Indirect Beneficiary)</w:t>
      </w:r>
    </w:p>
    <w:p>
      <w:pPr>
        <w:spacing w:before="0" w:after="120"/>
      </w:pPr>
      <w:r>
        <w:t xml:space="preserve"/>
      </w:r>
    </w:p>
    <w:p>
      <w:pPr>
        <w:spacing w:before="200" w:after="80"/>
      </w:pPr>
      <w:r>
        <w:rPr>
          <w:rFonts w:ascii="Arial" w:cs="Arial" w:eastAsia="Arial" w:hAnsi="Arial"/>
          <w:b/>
          <w:bCs/>
          <w:color w:val="424242"/>
          <w:sz w:val="21"/>
          <w:szCs w:val="21"/>
        </w:rPr>
        <w:t xml:space="preserve">US-MS-01 — Supplier-Direct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color w:val="424242"/>
                <w:sz w:val="20"/>
                <w:szCs w:val="20"/>
              </w:rPr>
              <w:t xml:space="preserve">As a waste recycling cooperative seeking equipment finance, I need to receive funds directly to my verified equipment supplier rather than as cash, so that my lender has confidence that the funds reached their intended purpose and is willing to lend again at greater scale.</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Disbursement routed to supplier account on verified supplier list. Borrower receives confirmation of equipment allocation. No cash passes through borrower.</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PARTIAL — disbursement dispatch architecture supports supplier routing. Verified supplier list management and account resolution integration are configuration/data work required for pilot.</w:t>
            </w:r>
          </w:p>
        </w:tc>
      </w:tr>
    </w:tbl>
    <w:p>
      <w:pPr>
        <w:spacing w:before="0" w:after="120"/>
      </w:pPr>
      <w:r>
        <w:t xml:space="preserve"/>
      </w:r>
    </w:p>
    <w:p>
      <w:pPr>
        <w:spacing w:before="200" w:after="80"/>
      </w:pPr>
      <w:r>
        <w:rPr>
          <w:rFonts w:ascii="Arial" w:cs="Arial" w:eastAsia="Arial" w:hAnsi="Arial"/>
          <w:b/>
          <w:bCs/>
          <w:color w:val="424242"/>
          <w:sz w:val="21"/>
          <w:szCs w:val="21"/>
        </w:rPr>
        <w:t xml:space="preserve">US-MS-02 — Credit History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r>
              <w:rPr>
                <w:rFonts w:ascii="Arial" w:cs="Arial" w:eastAsia="Arial" w:hAnsi="Arial"/>
                <w:color w:val="424242"/>
                <w:sz w:val="20"/>
                <w:szCs w:val="20"/>
              </w:rPr>
              <w:t xml:space="preserve">As a green enterprise building a formal financial track record, I need my completed, governed transactions to produce a verifiable history that I can reference in future financing applications, so that I am not always starting from zero with each new lender or programme.</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Completed evidence packs are retained in append-only store beyond programme period. Borrower-scoped summary (not raw data) exportable by programme operator for reference in future applications.</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COVERED — append-only evidence trail with PII-survivable audit architecture is implemented. Borrower-scoped export is a reporting-layer feature that follows from US-PO-02.</w:t>
            </w:r>
          </w:p>
        </w:tc>
      </w:tr>
    </w:tbl>
    <w:p>
      <w:pPr>
        <w:spacing w:before="0" w:after="120"/>
      </w:pPr>
      <w:r>
        <w:t xml:space="preserve"/>
      </w:r>
    </w:p>
    <w:p>
      <w:pPr>
        <w:spacing w:before="300" w:after="100"/>
      </w:pPr>
      <w:r>
        <w:rPr>
          <w:rFonts w:ascii="Arial" w:cs="Arial" w:eastAsia="Arial" w:hAnsi="Arial"/>
          <w:b/>
          <w:bCs/>
          <w:color w:val="00695C"/>
          <w:sz w:val="24"/>
          <w:szCs w:val="24"/>
        </w:rPr>
        <w:t xml:space="preserve">3.4 Supervisory Observer / Auditor</w:t>
      </w:r>
    </w:p>
    <w:p>
      <w:pPr>
        <w:spacing w:before="0" w:after="120"/>
      </w:pPr>
      <w:r>
        <w:t xml:space="preserve"/>
      </w:r>
    </w:p>
    <w:p>
      <w:pPr>
        <w:spacing w:before="200" w:after="80"/>
      </w:pPr>
      <w:r>
        <w:rPr>
          <w:rFonts w:ascii="Arial" w:cs="Arial" w:eastAsia="Arial" w:hAnsi="Arial"/>
          <w:b/>
          <w:bCs/>
          <w:color w:val="424242"/>
          <w:sz w:val="21"/>
          <w:szCs w:val="21"/>
        </w:rPr>
        <w:t xml:space="preserve">US-SO-01 — Real-Time Programme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Story</w:t>
            </w:r>
          </w:p>
        </w:tc>
        <w:tc>
          <w:tcPr>
            <w:tcBorders>
              <w:top w:val="single" w:color="E0E0E0" w:sz="1"/>
              <w:left w:val="single" w:color="E0E0E0" w:sz="1"/>
              <w:bottom w:val="single" w:color="E0E0E0" w:sz="1"/>
              <w:right w:val="single" w:color="E0E0E0" w:sz="1"/>
            </w:tcBorders>
            <w:shd w:fill="E3F2FD" w:val="clear"/>
            <w:tcMar>
              <w:top w:type="dxa" w:w="100"/>
              <w:left w:type="dxa" w:w="140"/>
              <w:bottom w:type="dxa" w:w="100"/>
              <w:right w:type="dxa" w:w="140"/>
            </w:tcMar>
          </w:tcPr>
          <w:p>
            <w:r>
              <w:rPr>
                <w:rFonts w:ascii="Arial" w:cs="Arial" w:eastAsia="Arial" w:hAnsi="Arial"/>
                <w:color w:val="424242"/>
                <w:sz w:val="20"/>
                <w:szCs w:val="20"/>
              </w:rPr>
              <w:t xml:space="preserve">As a donor representative overseeing a green finance programme, I need a read-only view of disbursement flows and evidence packs in real time, so that I can satisfy my own institutional reporting obligations without waiting for quarterly manual submissions from the programme operator.</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Acceptance Criteria</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Login scoped to programme. Dashboard shows: total governed, total released, total held, active exceptions, evidence completeness rate. Individual instruction drill-down available. No raw PII exposed.</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1 Coverage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PARTIAL — this is the "Supervisory Reveal" dashboard. Clean non-technical UI for a non-developer donor/UNDP/MGEE representative is the single most important new development deliverable for GreenTech4CE.</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4. Edge Integration Architecture</w:t>
      </w:r>
    </w:p>
    <w:p>
      <w:pPr>
        <w:spacing w:before="60" w:after="100"/>
      </w:pPr>
      <w:r>
        <w:rPr>
          <w:rFonts w:ascii="Arial" w:cs="Arial" w:eastAsia="Arial" w:hAnsi="Arial"/>
          <w:color w:val="424242"/>
          <w:sz w:val="20"/>
          <w:szCs w:val="20"/>
        </w:rPr>
        <w:t xml:space="preserve">This section defines how data enters and exits Symphony at each boundary of the pilot deployment. It is written for technical reviewers and pilot MFI IT teams. Every claim here is constrained to what is implemented or immediately implementable in Phase 1. Where a channel or capability is Phase 2, it is labelled explicitly.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C8E6C9"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20"/>
                <w:szCs w:val="20"/>
              </w:rPr>
              <w:t xml:space="preserve">Design Principle: Zero SDK, Zero Core Banking Change</w:t>
            </w:r>
          </w:p>
          <w:p>
            <w:pPr>
              <w:spacing w:before="0" w:after="40"/>
            </w:pPr>
            <w:r>
              <w:rPr>
                <w:rFonts w:ascii="Arial" w:cs="Arial" w:eastAsia="Arial" w:hAnsi="Arial"/>
                <w:b w:val="false"/>
                <w:bCs w:val="false"/>
                <w:i w:val="false"/>
                <w:iCs w:val="false"/>
                <w:color w:val="424242"/>
                <w:sz w:val="18"/>
                <w:szCs w:val="18"/>
              </w:rPr>
              <w:t xml:space="preserve">Symphony does not require a proprietary library on the MFI side or on the borrower/vendor side.</w:t>
            </w:r>
          </w:p>
          <w:p>
            <w:pPr>
              <w:spacing w:before="0" w:after="40"/>
            </w:pPr>
            <w:r>
              <w:rPr>
                <w:rFonts w:ascii="Arial" w:cs="Arial" w:eastAsia="Arial" w:hAnsi="Arial"/>
                <w:b w:val="false"/>
                <w:bCs w:val="false"/>
                <w:i w:val="false"/>
                <w:iCs w:val="false"/>
                <w:color w:val="424242"/>
                <w:sz w:val="18"/>
                <w:szCs w:val="18"/>
              </w:rPr>
              <w:t xml:space="preserve">The MFI uses a standard HTTPS webhook. The borrower/vendor uses a mobile browser.</w:t>
            </w:r>
          </w:p>
          <w:p>
            <w:pPr>
              <w:spacing w:before="0" w:after="40"/>
            </w:pPr>
            <w:r>
              <w:rPr>
                <w:rFonts w:ascii="Arial" w:cs="Arial" w:eastAsia="Arial" w:hAnsi="Arial"/>
                <w:b/>
                <w:bCs/>
                <w:i w:val="false"/>
                <w:iCs w:val="false"/>
                <w:color w:val="00695C"/>
                <w:sz w:val="18"/>
                <w:szCs w:val="18"/>
              </w:rPr>
              <w:t xml:space="preserve">Integration friction is the most common reason fintech pilots fail in emerging markets.</w:t>
            </w:r>
          </w:p>
          <w:p>
            <w:pPr>
              <w:spacing w:before="0" w:after="40"/>
            </w:pPr>
            <w:r>
              <w:rPr>
                <w:rFonts w:ascii="Arial" w:cs="Arial" w:eastAsia="Arial" w:hAnsi="Arial"/>
                <w:b w:val="false"/>
                <w:bCs w:val="false"/>
                <w:i w:val="false"/>
                <w:iCs w:val="false"/>
                <w:color w:val="424242"/>
                <w:sz w:val="18"/>
                <w:szCs w:val="18"/>
              </w:rPr>
              <w:t xml:space="preserve">Removing it is a deliberate architectural and commercial choice.</w:t>
            </w:r>
          </w:p>
        </w:tc>
      </w:tr>
    </w:tbl>
    <w:p>
      <w:pPr>
        <w:spacing w:before="0" w:after="120"/>
      </w:pPr>
      <w:r>
        <w:t xml:space="preserve"/>
      </w:r>
    </w:p>
    <w:p>
      <w:pPr>
        <w:spacing w:before="300" w:after="100"/>
      </w:pPr>
      <w:r>
        <w:rPr>
          <w:rFonts w:ascii="Arial" w:cs="Arial" w:eastAsia="Arial" w:hAnsi="Arial"/>
          <w:b/>
          <w:bCs/>
          <w:color w:val="00695C"/>
          <w:sz w:val="24"/>
          <w:szCs w:val="24"/>
        </w:rPr>
        <w:t xml:space="preserve">4.1 Boundary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60"/>
        <w:gridCol w:w="2400"/>
        <w:gridCol w:w="240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Boundary</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Direction</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Technology</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Enters / Exits</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Lender / MFI Edge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Inbound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HTTPS REST (mTLS)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JSON disbursement intent: borrower MSISDN, asset category, amount, vendor details, policy ID. Standard webhook — every modern loan core can send this.</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Phase 1 — implemented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Evidence Edge (Field / Vendor)</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Inbound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HTTPS (mobile browser)</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Photo capture via browser camera input. GPS coordinates via Geolocation API (separate from photo — see Section 4.2). Invoice PDF/image upload. Submitted against a time-limited secure upload link sent by Symphony via SMS.</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Phase 1 Delta — evidence ingestion and APIs are implemented and exercised in pre_ci; SMS dispatch, secure-link issuance, Geolocation API capture, and user-facing upload UX are new build required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Identity Confirmation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Verification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MSISDN match against disbursement record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verifies that the evidence submission originates from the registered MSISDN of the recorded borrower or vendor. Network-layer identity confirmation — not a legal digital signature. See Section 4.3 for the precise claim boundary.</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Phase 1 Delta — MSISDN hash fields and proxy/identity schema hooks exist; runtime submitter-match logic, verifier coverage, and emitted evidence proving submissions are tied to borrower/vendor record are new build required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Instruction Egress (Pre-Rail)</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Outbound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Signed CSV / JSON with checksum</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generates a tamper-evident Payment Instruction File. Checksum breaks on any field modification. MFI uploads to corporate banking portal. Default egress for Phase 1 pilots. See UC-01-E.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Phase 1 Delta — non-custodial dispatch and release governance are implemented; signed instruction-file generator with checksum, tamper-detection, and verifier-backed proof are new build required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Supervisory / Donor Edge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Outbound (read-only)</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HTTPS web portal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dashboard: disbursement timeline, evidence completeness, exception log, export button. Scoped strictly to one programme per login. No raw PII exposed.</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Phase 1 Delta — supervisory seat implemented; clean non-technical UI is new build (US-SO-01)</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Live MMO Rail</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Outbound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MTN/Airtel API (Lenco/BroadPay)</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Direct settlement dispatch replacing the Signed File egress. Symphony's MMO integrity controls (SIM-swap detection, dual-debit prevention) are already implemented for this rail. Requires BoZ sandbox or sponsor-backed pilot to activate.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2 — rail logic implemented; live activation is Phase 2</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WhatsApp Business Channel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Inbound (evidence)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WhatsApp Business API</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Alternative evidence submission channel — broader reach on low-memory devices. Requires Meta Business API approval, template registration, and per-message cost. Not a zero-cost baseline assumption.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Phase 2 — SMS with HTTPS link is Phase 1 baseline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B2DFDB" w:val="clear"/>
            <w:tcMar>
              <w:top w:type="dxa" w:w="140"/>
              <w:left w:type="dxa" w:w="200"/>
              <w:bottom w:type="dxa" w:w="140"/>
              <w:right w:type="dxa" w:w="200"/>
            </w:tcMar>
          </w:tcPr>
          <w:p>
            <w:pPr>
              <w:spacing w:before="0" w:after="40"/>
            </w:pPr>
            <w:r>
              <w:rPr>
                <w:rFonts w:ascii="Arial" w:cs="Arial" w:eastAsia="Arial" w:hAnsi="Arial"/>
                <w:b/>
                <w:bCs/>
                <w:i w:val="false"/>
                <w:iCs w:val="false"/>
                <w:color w:val="00695C"/>
                <w:sz w:val="18"/>
                <w:szCs w:val="18"/>
              </w:rPr>
              <w:t xml:space="preserve">Cross-reference: Instruction Egress (Pre-Rail) maps to UC-01-E in Section 2.2.</w:t>
            </w:r>
          </w:p>
          <w:p>
            <w:pPr>
              <w:spacing w:before="0" w:after="40"/>
            </w:pPr>
            <w:r>
              <w:rPr>
                <w:rFonts w:ascii="Arial" w:cs="Arial" w:eastAsia="Arial" w:hAnsi="Arial"/>
                <w:b w:val="false"/>
                <w:bCs w:val="false"/>
                <w:i w:val="false"/>
                <w:iCs w:val="false"/>
                <w:color w:val="424242"/>
                <w:sz w:val="18"/>
                <w:szCs w:val="18"/>
              </w:rPr>
              <w:t xml:space="preserve">UC-01-E defines the full commercial and security logic of the Signed Instruction File —</w:t>
            </w:r>
          </w:p>
          <w:p>
            <w:pPr>
              <w:spacing w:before="0" w:after="40"/>
            </w:pPr>
            <w:r>
              <w:rPr>
                <w:rFonts w:ascii="Arial" w:cs="Arial" w:eastAsia="Arial" w:hAnsi="Arial"/>
                <w:b w:val="false"/>
                <w:bCs w:val="false"/>
                <w:i w:val="false"/>
                <w:iCs w:val="false"/>
                <w:color w:val="424242"/>
                <w:sz w:val="18"/>
                <w:szCs w:val="18"/>
              </w:rPr>
              <w:t xml:space="preserve">including the checksum tamper-detection mechanism and the non-custodial posture it preserves.</w:t>
            </w:r>
          </w:p>
          <w:p>
            <w:pPr>
              <w:spacing w:before="0" w:after="40"/>
            </w:pPr>
            <w:r>
              <w:rPr>
                <w:rFonts w:ascii="Arial" w:cs="Arial" w:eastAsia="Arial" w:hAnsi="Arial"/>
                <w:b/>
                <w:bCs/>
                <w:i w:val="false"/>
                <w:iCs w:val="false"/>
                <w:color w:val="1B5E20"/>
                <w:sz w:val="18"/>
                <w:szCs w:val="18"/>
              </w:rPr>
              <w:t xml:space="preserve">This boundary is the default egress for all Phase 1 pilots operating outside the BoZ sandbox.</w:t>
            </w:r>
          </w:p>
        </w:tc>
      </w:tr>
    </w:tbl>
    <w:p>
      <w:pPr>
        <w:spacing w:before="0" w:after="120"/>
      </w:pPr>
      <w:r>
        <w:t xml:space="preserve"/>
      </w:r>
    </w:p>
    <w:p>
      <w:pPr>
        <w:spacing w:before="300" w:after="100"/>
      </w:pPr>
      <w:r>
        <w:rPr>
          <w:rFonts w:ascii="Arial" w:cs="Arial" w:eastAsia="Arial" w:hAnsi="Arial"/>
          <w:b/>
          <w:bCs/>
          <w:color w:val="00695C"/>
          <w:sz w:val="24"/>
          <w:szCs w:val="24"/>
        </w:rPr>
        <w:t xml:space="preserve">4.2 GPS / Location Capture — Correct Technical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6"/>
              <w:left w:val="single" w:color="B71C1C" w:sz="6"/>
              <w:bottom w:val="single" w:color="B71C1C" w:sz="6"/>
              <w:right w:val="single" w:color="B71C1C" w:sz="6"/>
            </w:tcBorders>
            <w:shd w:fill="FFEBEE" w:val="clear"/>
            <w:tcMar>
              <w:top w:type="dxa" w:w="140"/>
              <w:left w:type="dxa" w:w="200"/>
              <w:bottom w:type="dxa" w:w="140"/>
              <w:right w:type="dxa" w:w="200"/>
            </w:tcMar>
          </w:tcPr>
          <w:p>
            <w:pPr>
              <w:spacing w:before="0" w:after="40"/>
            </w:pPr>
            <w:r>
              <w:rPr>
                <w:rFonts w:ascii="Arial" w:cs="Arial" w:eastAsia="Arial" w:hAnsi="Arial"/>
                <w:b/>
                <w:bCs/>
                <w:i w:val="false"/>
                <w:iCs w:val="false"/>
                <w:color w:val="B71C1C"/>
                <w:sz w:val="19"/>
                <w:szCs w:val="19"/>
              </w:rPr>
              <w:t xml:space="preserve">IMPORTANT: Do not claim GPS is captured from photo EXIF data in a browser-based flow.</w:t>
            </w:r>
          </w:p>
          <w:p>
            <w:pPr>
              <w:spacing w:before="0" w:after="40"/>
            </w:pPr>
            <w:r>
              <w:rPr>
                <w:rFonts w:ascii="Arial" w:cs="Arial" w:eastAsia="Arial" w:hAnsi="Arial"/>
                <w:b w:val="false"/>
                <w:bCs w:val="false"/>
                <w:i w:val="false"/>
                <w:iCs w:val="false"/>
                <w:color w:val="424242"/>
                <w:sz w:val="18"/>
                <w:szCs w:val="18"/>
              </w:rPr>
              <w:t xml:space="preserve">This claim is technically incorrect for the evidence path Symphony uses and will fail on a significant</w:t>
            </w:r>
          </w:p>
          <w:p>
            <w:pPr>
              <w:spacing w:before="0" w:after="40"/>
            </w:pPr>
            <w:r>
              <w:rPr>
                <w:rFonts w:ascii="Arial" w:cs="Arial" w:eastAsia="Arial" w:hAnsi="Arial"/>
                <w:b w:val="false"/>
                <w:bCs w:val="false"/>
                <w:i w:val="false"/>
                <w:iCs w:val="false"/>
                <w:color w:val="424242"/>
                <w:sz w:val="18"/>
                <w:szCs w:val="18"/>
              </w:rPr>
              <w:t xml:space="preserve">proportion of field devices. iOS Safari strips EXIF data including GPS from browser-captured photos.</w:t>
            </w:r>
          </w:p>
          <w:p>
            <w:pPr>
              <w:spacing w:before="0" w:after="40"/>
            </w:pPr>
            <w:r>
              <w:rPr>
                <w:rFonts w:ascii="Arial" w:cs="Arial" w:eastAsia="Arial" w:hAnsi="Arial"/>
                <w:b w:val="false"/>
                <w:bCs w:val="false"/>
                <w:i w:val="false"/>
                <w:iCs w:val="false"/>
                <w:color w:val="424242"/>
                <w:sz w:val="18"/>
                <w:szCs w:val="18"/>
              </w:rPr>
              <w:t xml:space="preserve">Android Chrome behaviour varies by version. Relying on EXIF GPS is a fragile and unverifiable assumption.</w:t>
            </w:r>
          </w:p>
        </w:tc>
      </w:tr>
    </w:tbl>
    <w:p>
      <w:pPr>
        <w:spacing w:before="0" w:after="120"/>
      </w:pPr>
      <w:r>
        <w:t xml:space="preserve"/>
      </w:r>
    </w:p>
    <w:p>
      <w:pPr>
        <w:spacing w:before="60" w:after="100"/>
      </w:pPr>
      <w:r>
        <w:rPr>
          <w:rFonts w:ascii="Arial" w:cs="Arial" w:eastAsia="Arial" w:hAnsi="Arial"/>
          <w:color w:val="424242"/>
          <w:sz w:val="20"/>
          <w:szCs w:val="20"/>
        </w:rPr>
        <w:t xml:space="preserve">The correct approach — and the one that produces stronger evidential value — is explicit Geolocation API capture at submission time: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Approach</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How It Works</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Why It Is Stronger</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Geolocation API (correct approach — new build required)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At the moment the vendor or field officer submits the evidence form, the browser calls navigator.geolocation.getCurrentPosition(). The GPS coordinate is captured independently and submitted alongside the photo as a separate evidence field.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Reliable across iOS Safari and Android Chrome. Captures location at submission time — not at photo capture time. This is actually a stronger evidential claim: it cannot be spoofed with an old photo taken elsewhere. Status: not yet implemented in current repo — new build required for Phase 1 Delta.</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bCs/>
                <w:color w:val="B71C1C"/>
                <w:sz w:val="18"/>
                <w:szCs w:val="18"/>
              </w:rPr>
              <w:t xml:space="preserve">EXIF metadata from camera input (incorrect for this path)</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Photo captured via browser camera input. EXIF metadata including GPS embedded by the camera app. Browser reads EXIF on upload.</w:t>
            </w:r>
          </w:p>
        </w:tc>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iOS Safari strips EXIF including GPS for privacy. Android behaviour inconsistent. Photo uploads succeed but GPS is silently absent. Invariant verification breaks without error. Do not rely on this path.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C8E6C9"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19"/>
                <w:szCs w:val="19"/>
              </w:rPr>
              <w:t xml:space="preserve">Correct pitch language:</w:t>
            </w:r>
          </w:p>
          <w:p>
            <w:pPr>
              <w:spacing w:before="0" w:after="40"/>
            </w:pPr>
            <w:r>
              <w:rPr>
                <w:rFonts w:ascii="Arial" w:cs="Arial" w:eastAsia="Arial" w:hAnsi="Arial"/>
                <w:b w:val="false"/>
                <w:bCs w:val="false"/>
                <w:i w:val="false"/>
                <w:iCs w:val="false"/>
                <w:color w:val="424242"/>
                <w:sz w:val="18"/>
                <w:szCs w:val="18"/>
              </w:rPr>
              <w:t xml:space="preserve">"Symphony captures the vendor's GPS coordinates via the browser's Geolocation API at the moment of submission,</w:t>
            </w:r>
          </w:p>
          <w:p>
            <w:pPr>
              <w:spacing w:before="0" w:after="40"/>
            </w:pPr>
            <w:r>
              <w:rPr>
                <w:rFonts w:ascii="Arial" w:cs="Arial" w:eastAsia="Arial" w:hAnsi="Arial"/>
                <w:b w:val="false"/>
                <w:bCs w:val="false"/>
                <w:i w:val="false"/>
                <w:iCs w:val="false"/>
                <w:color w:val="424242"/>
                <w:sz w:val="18"/>
                <w:szCs w:val="18"/>
              </w:rPr>
              <w:t xml:space="preserve">independently of the photo. The coordinate is bound to the evidence record and verified against</w:t>
            </w:r>
          </w:p>
          <w:p>
            <w:pPr>
              <w:spacing w:before="0" w:after="40"/>
            </w:pPr>
            <w:r>
              <w:rPr>
                <w:rFonts w:ascii="Arial" w:cs="Arial" w:eastAsia="Arial" w:hAnsi="Arial"/>
                <w:b/>
                <w:bCs/>
                <w:i w:val="false"/>
                <w:iCs w:val="false"/>
                <w:color w:val="00695C"/>
                <w:sz w:val="18"/>
                <w:szCs w:val="18"/>
              </w:rPr>
              <w:t xml:space="preserve">the borrower's registered asset location. This approach works reliably across iOS and Android</w:t>
            </w:r>
          </w:p>
          <w:p>
            <w:pPr>
              <w:spacing w:before="0" w:after="40"/>
            </w:pPr>
            <w:r>
              <w:rPr>
                <w:rFonts w:ascii="Arial" w:cs="Arial" w:eastAsia="Arial" w:hAnsi="Arial"/>
                <w:b w:val="false"/>
                <w:bCs w:val="false"/>
                <w:i w:val="false"/>
                <w:iCs w:val="false"/>
                <w:color w:val="424242"/>
                <w:sz w:val="18"/>
                <w:szCs w:val="18"/>
              </w:rPr>
              <w:t xml:space="preserve">without depending on EXIF data that mobile browsers routinely strip."</w:t>
            </w:r>
          </w:p>
        </w:tc>
      </w:tr>
    </w:tbl>
    <w:p>
      <w:pPr>
        <w:spacing w:before="0" w:after="120"/>
      </w:pPr>
      <w:r>
        <w:t xml:space="preserve"/>
      </w:r>
    </w:p>
    <w:p>
      <w:pPr>
        <w:spacing w:before="300" w:after="100"/>
      </w:pPr>
      <w:r>
        <w:rPr>
          <w:rFonts w:ascii="Arial" w:cs="Arial" w:eastAsia="Arial" w:hAnsi="Arial"/>
          <w:b/>
          <w:bCs/>
          <w:color w:val="00695C"/>
          <w:sz w:val="24"/>
          <w:szCs w:val="24"/>
        </w:rPr>
        <w:t xml:space="preserve">4.3 MSISDN Identity — Precise Claim Boundary</w:t>
      </w:r>
    </w:p>
    <w:p>
      <w:pPr>
        <w:spacing w:before="60" w:after="100"/>
      </w:pPr>
      <w:r>
        <w:rPr>
          <w:rFonts w:ascii="Arial" w:cs="Arial" w:eastAsia="Arial" w:hAnsi="Arial"/>
          <w:color w:val="424242"/>
          <w:sz w:val="20"/>
          <w:szCs w:val="20"/>
        </w:rPr>
        <w:t xml:space="preserve">ZICTA's mandatory SIM registration links a mobile number to an identity in ZICTA's registry. This is a network-layer identity confirmation — it is not a legal digital signature under the Electronic Transactions and Communications Act. The distinction matters in front of lawyers, donor compliance officers, and technically literate panel members.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r>
              <w:rPr>
                <w:rFonts w:ascii="Arial" w:cs="Arial" w:eastAsia="Arial" w:hAnsi="Arial"/>
                <w:b/>
                <w:bCs/>
                <w:color w:val="B71C1C"/>
                <w:sz w:val="20"/>
                <w:szCs w:val="20"/>
              </w:rPr>
              <w:t xml:space="preserve">Do NOT Claim</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r>
              <w:rPr>
                <w:rFonts w:ascii="Arial" w:cs="Arial" w:eastAsia="Arial" w:hAnsi="Arial"/>
                <w:b/>
                <w:bCs/>
                <w:color w:val="1B5E20"/>
                <w:sz w:val="20"/>
                <w:szCs w:val="20"/>
              </w:rPr>
              <w:t xml:space="preserve">Correct Claim</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B71C1C"/>
                <w:sz w:val="18"/>
                <w:szCs w:val="18"/>
              </w:rPr>
              <w:t xml:space="preserve">"A registered SIM constitutes a legal digital signature under ZICTA guidelines"</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"Symphony verifies that the evidence submission originates from the registered MSISDN of the recorded borrower or vendor, providing network-layer identity confirmation as part of the evidence chain"</w:t>
            </w:r>
          </w:p>
        </w:tc>
      </w:tr>
      <w:tr>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B71C1C"/>
                <w:sz w:val="18"/>
                <w:szCs w:val="18"/>
              </w:rPr>
              <w:t xml:space="preserve">"Dual-Signature Attestation" (implying legal equivalence to a signature)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"Dual-MSISDN confirmation — borrower MSISDN and vendor MSISDN both match registered records before evidence is accepted into the proof set"</w:t>
            </w:r>
          </w:p>
        </w:tc>
      </w:tr>
    </w:tbl>
    <w:p>
      <w:pPr>
        <w:spacing w:before="0" w:after="120"/>
      </w:pPr>
      <w:r>
        <w:t xml:space="preserve"/>
      </w:r>
    </w:p>
    <w:p>
      <w:pPr>
        <w:spacing w:before="60" w:after="100"/>
      </w:pPr>
      <w:r>
        <w:rPr>
          <w:rFonts w:ascii="Arial" w:cs="Arial" w:eastAsia="Arial" w:hAnsi="Arial"/>
          <w:color w:val="424242"/>
          <w:sz w:val="20"/>
          <w:szCs w:val="20"/>
        </w:rPr>
        <w:t xml:space="preserve">Network-layer identity confirmation combined with GPS coordinates, timestamped photo, and policy-bound release conditions is already a stronger evidence chain than anything the market currently produces manually. It does not need to be overstated to be compelling.</w:t>
      </w:r>
    </w:p>
    <w:p>
      <w:pPr>
        <w:spacing w:before="0" w:after="120"/>
      </w:pPr>
      <w:r>
        <w:t xml:space="preserve"/>
      </w:r>
    </w:p>
    <w:p>
      <w:pPr>
        <w:spacing w:before="300" w:after="100"/>
      </w:pPr>
      <w:r>
        <w:rPr>
          <w:rFonts w:ascii="Arial" w:cs="Arial" w:eastAsia="Arial" w:hAnsi="Arial"/>
          <w:b/>
          <w:bCs/>
          <w:color w:val="00695C"/>
          <w:sz w:val="24"/>
          <w:szCs w:val="24"/>
        </w:rPr>
        <w:t xml:space="preserve">4.4 Asset Heartbeat — Phase 1 Optional Add-On</w:t>
      </w:r>
    </w:p>
    <w:p>
      <w:pPr>
        <w:spacing w:before="60" w:after="100"/>
      </w:pPr>
      <w:r>
        <w:rPr>
          <w:rFonts w:ascii="Arial" w:cs="Arial" w:eastAsia="Arial" w:hAnsi="Arial"/>
          <w:color w:val="424242"/>
          <w:sz w:val="20"/>
          <w:szCs w:val="20"/>
        </w:rPr>
        <w:t xml:space="preserve">The Asset Heartbeat converts Symphony from a disbursement governor into a portfolio health monitor. After a disbursement is settled, Symphony sends an automated SMS to the borrower or vendor every 30 days: a short message with a link to submit a brief proof-of-asset confirmation — typically a photo of the installed equipment.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Attribute</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Detail</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Value Delivered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Trigger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Scheduled SMS dispatched by Symphony 30 days post-settlement, then every 30 days through loan term</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Converts post-disbursement verification from a manual field visit to an automated evidence cycle</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Response channel</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Same mobile browser evidence interface used for initial proof capture — no new channel required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Zero additional infrastructure for the MFI. Uses the same evidence ingestion path already built.</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Non-response signal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If the borrower does not respond within a configurable window (default: 7 days), Symphony flags the facility in the programme operator's dashboard with a HEARTBEAT-MISSED exception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Early warning signal for asset disposal, damage, or repayment distress — without a field visit</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Donor value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Heartbeat response history appears in the evidence pack. Donor sees not just that the asset was deployed, but that it remained operational throughout the loan term.</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Converts Symphony's evidence value from a point-in-time disbursement record to a lifecycle asset verification trail. Strongest donor confidence argument in the platform.</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Development requirement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Scheduled SMS dispatch (using existing SMS gateway), 30-day configurable cadence per facility, HEARTBEAT-MISSED exception event type, heartbeat history in evidence pack view</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Low-complexity build. Reuses existing SMS, evidence ingestion, and exception event infrastructure. Suitable for pilot optional add-on in Month 2–3 of GreenTech4CE programme.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B2DFDB" w:val="clear"/>
            <w:tcMar>
              <w:top w:type="dxa" w:w="140"/>
              <w:left w:type="dxa" w:w="200"/>
              <w:bottom w:type="dxa" w:w="140"/>
              <w:right w:type="dxa" w:w="200"/>
            </w:tcMar>
          </w:tcPr>
          <w:p>
            <w:pPr>
              <w:spacing w:before="0" w:after="40"/>
            </w:pPr>
            <w:r>
              <w:rPr>
                <w:rFonts w:ascii="Arial" w:cs="Arial" w:eastAsia="Arial" w:hAnsi="Arial"/>
                <w:b/>
                <w:bCs/>
                <w:i w:val="false"/>
                <w:iCs w:val="false"/>
                <w:color w:val="00695C"/>
                <w:sz w:val="19"/>
                <w:szCs w:val="19"/>
              </w:rPr>
              <w:t xml:space="preserve">Pilot pitch line for the Asset Heartbeat:</w:t>
            </w:r>
          </w:p>
          <w:p>
            <w:pPr>
              <w:spacing w:before="0" w:after="40"/>
            </w:pPr>
            <w:r>
              <w:rPr>
                <w:rFonts w:ascii="Arial" w:cs="Arial" w:eastAsia="Arial" w:hAnsi="Arial"/>
                <w:b w:val="false"/>
                <w:bCs w:val="false"/>
                <w:i w:val="false"/>
                <w:iCs w:val="false"/>
                <w:color w:val="424242"/>
                <w:sz w:val="18"/>
                <w:szCs w:val="18"/>
              </w:rPr>
              <w:t xml:space="preserve">"Symphony doesn't just verify that a solar pump was installed. It verifies every 30 days that it is still working.</w:t>
            </w:r>
          </w:p>
          <w:p>
            <w:pPr>
              <w:spacing w:before="0" w:after="40"/>
            </w:pPr>
            <w:r>
              <w:rPr>
                <w:rFonts w:ascii="Arial" w:cs="Arial" w:eastAsia="Arial" w:hAnsi="Arial"/>
                <w:b/>
                <w:bCs/>
                <w:i w:val="false"/>
                <w:iCs w:val="false"/>
                <w:color w:val="1B5E20"/>
                <w:sz w:val="18"/>
                <w:szCs w:val="18"/>
              </w:rPr>
              <w:t xml:space="preserve">If the heartbeat stops, your portfolio team knows before the borrower misses a payment."</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5. Development Delta — What Is New vs. What Exists</w:t>
      </w:r>
    </w:p>
    <w:p>
      <w:pPr>
        <w:spacing w:before="60" w:after="100"/>
      </w:pPr>
      <w:r>
        <w:rPr>
          <w:rFonts w:ascii="Arial" w:cs="Arial" w:eastAsia="Arial" w:hAnsi="Arial"/>
          <w:color w:val="424242"/>
          <w:sz w:val="20"/>
          <w:szCs w:val="20"/>
        </w:rPr>
        <w:t xml:space="preserve">Phase 1 has 130 total invariants in the manifest: 123 currently implemented, 7 roadmapped. Zero open P0/P1 gaps. The core proof-governance engine is comprehensively implemented. The following table maps every user story to its development status, categorises what is new, and assigns a priority tier for the GreenTech4CE programme timeline. Edge integration capabilities (browser capture, GPS, MSISDN identity, signed file egress) are mapped in Section 4; this section covers the functional application layer above those edges.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2560"/>
        <w:gridCol w:w="310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US ID</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Constituency</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Status</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Exists</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Is New / Delta</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US-PO-01</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COVERED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Proof-governance engine, policy enforcement, fail-closed behaviour, HOLD state, evidence trail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None. Pitch this as complete and demonstrated.</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US-PO-02</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PARTIAL</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Evidence trail data — all disbursement events, proof artifacts, hold events, exceptions are recorded in append-only store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Report schema definition; structured export format (PDF + JSON); report generation endpoint; programme-period boundary parameter; report trigger interface. Priority: HIGH.</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US-PO-03</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PARTIAL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Supervisory seat architecture, read-only access model, tenant-scoped data isolation</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Clean non-technical programme dashboard UI for donor/MGEE/UNDP representative. Programme summary view, instruction timeline, evidence status, exception flags. Priority: CRITICAL — this is the GreenTech4CE demo centrepiece.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US-FSP-01</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FSP</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COVERED</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Non-custodial API sidecar, webhook integration, multi-tenant isolation, policy configuration layer</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None. Pitch this as complete.</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US-FSP-02</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FSP</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PARTIAL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Evidence trail data supports BoZ reporting. Supervisory seat architecture exists.</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BoZ-scoped supervisory view (subset of US-PO-03 dashboard with BoZ-specific framing). Structured export formatted for BoZ disclosure requirements. Priority: MEDIUM — pilot phase.</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US-MS-01</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MSME</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PARTIAL</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Dispatch architecture supports supplier routing. Payment channel integration via Lenco/BroadPay identified.</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Verified supplier list data model; supplier account resolution integration (Lenco adapter); supplier-direct routing configuration per programme. Priority: MEDIUM — pilot operational requirement.</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US-MS-02</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MSME</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CORE COVERED / export roadmapped</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Append-only evidence trail with PII-survivable architecture implemented. TSK-P1-017 (evidence pack retrieval) and TSK-P1-018 (exception case-pack generation) both verified in pre_ci.</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Borrower-scoped summary export follows from US-PO-02 reporting layer. Core evidence retention is complete. Export surface is not yet built — do not pitch as complete.</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US-SO-01</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Observer</w:t>
            </w:r>
          </w:p>
        </w:tc>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bCs/>
                <w:color w:val="B71C1C"/>
                <w:sz w:val="18"/>
                <w:szCs w:val="18"/>
              </w:rPr>
              <w:t xml:space="preserve">NEW (Critical)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Supervisory seat exists technically. No clean public-facing UI.</w:t>
            </w:r>
          </w:p>
        </w:tc>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This IS the supervisory reveal dashboard. Full UI build: programme selector, KPI summary cards, disbursement timeline, evidence completeness indicator, exception drill-down, export button. Priority: CRITICAL.</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Phase 2 — Internal ledger / posting-set model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Finance core</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IMPLEMENTED (Phase 2)</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INV-156, INV-157, and INV-158 implemented in phase2_contract.yml with current verifiers and evidence. Zero-sum proof jobs are live. Not a Phase 1 pitch item but relevant to the governed finance foundation.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No delta required. Note for roadmap: this capability underpins the Phase 2 circular economy programme governance story.</w:t>
            </w:r>
          </w:p>
        </w:tc>
      </w:tr>
    </w:tbl>
    <w:p>
      <w:pPr>
        <w:spacing w:before="0" w:after="120"/>
      </w:pPr>
      <w:r>
        <w:t xml:space="preserve"/>
      </w:r>
    </w:p>
    <w:p>
      <w:pPr>
        <w:spacing w:before="300" w:after="100"/>
      </w:pPr>
      <w:r>
        <w:rPr>
          <w:rFonts w:ascii="Arial" w:cs="Arial" w:eastAsia="Arial" w:hAnsi="Arial"/>
          <w:b/>
          <w:bCs/>
          <w:color w:val="00695C"/>
          <w:sz w:val="24"/>
          <w:szCs w:val="24"/>
        </w:rPr>
        <w:t xml:space="preserve">5.1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Priority</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Deliverable</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Serves</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GreenTech4CE Timeline</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bCs/>
                <w:color w:val="B71C1C"/>
                <w:sz w:val="18"/>
                <w:szCs w:val="18"/>
              </w:rPr>
              <w:t xml:space="preserve">CRITICAL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Supervisory Reveal Dashboard (US-PO-03 / US-SO-01)</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Donor reveal event at Day 61–90. The single artefact that converts pilot to commercial conversation.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Must be demo-ready by Day 60 of programme. Design sprint target: basic wireframe by 26 March.</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HIGH</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Reporting Pack Export (US-PO-02)</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operator donor submission. Directly satisfies BoZ Green Loans Guidelines reporting obligation.</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Must be functional for first pilot reporting cycle. Target: Month 2 of programme.</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HIGH</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Signed Instruction File Egress (UC-01-E)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Default Phase 1 egress path for pilots outside BoZ sandbox. Non-custodial bridge between Symphony governance and MFI payment execution. Confirmed new build from repo review.</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Must be complete before first pilot go-live. Blocks the operational pilot entirely without it. Target: Month 1 of programme.</w:t>
            </w:r>
          </w:p>
        </w:tc>
      </w:tr>
      <w:tr>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bCs/>
                <w:color w:val="E65100"/>
                <w:sz w:val="18"/>
                <w:szCs w:val="18"/>
              </w:rPr>
              <w:t xml:space="preserve">HIGH</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Browser upload UX + SMS link + Geolocation API (Section 4)</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Evidence edge for field/vendor submissions. Geolocation API, SMS dispatch, secure link, and upload flow all confirmed new build from repo review.</w:t>
            </w:r>
          </w:p>
        </w:tc>
        <w:tc>
          <w:tcPr>
            <w:tcBorders>
              <w:top w:val="single" w:color="E0E0E0" w:sz="1"/>
              <w:left w:val="single" w:color="E0E0E0" w:sz="1"/>
              <w:bottom w:val="single" w:color="E0E0E0" w:sz="1"/>
              <w:right w:val="single" w:color="E0E0E0"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Required for first pilot evidence collection. All three components must be built together. Target: Month 1.</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MEDIUM</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MSISDN Submitter Identity Confirmation (Section 4.3)</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Ties evidence submissions to the registered borrower/vendor MSISDN on the disbursement record. Schema hooks exist; runtime logic and verifiers are new build.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Required before pilot go-live. Strengthens evidence chain. Can be built alongside browser UX. Target: Month 1–2.</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MEDIUM</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Supplier List + Direct Routing (US-MS-01)</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Eliminates diversion risk. Strongest proof point for donor confidence.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Required for pilot operational go-live. Can be configured manually for first pilot. Automate in Month 3.</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DEFER</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BoZ Sandbox, NFS Integration, ZIPSS/ZECHL</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Phase 2 roadmap. Do not include in GreenTech4CE pitch as current deliverables.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Phase 2 (Year 2). Reference in roadmap only.</w:t>
            </w:r>
          </w:p>
        </w:tc>
      </w:tr>
    </w:tbl>
    <w:p>
      <w:pPr>
        <w:spacing w:before="0" w:after="120"/>
      </w:pPr>
      <w:r>
        <w:t xml:space="preserve"/>
      </w:r>
    </w:p>
    <w:p>
      <w:pPr>
        <w:spacing w:before="300" w:after="100"/>
      </w:pPr>
      <w:r>
        <w:rPr>
          <w:rFonts w:ascii="Arial" w:cs="Arial" w:eastAsia="Arial" w:hAnsi="Arial"/>
          <w:b/>
          <w:bCs/>
          <w:color w:val="00695C"/>
          <w:sz w:val="24"/>
          <w:szCs w:val="24"/>
        </w:rPr>
        <w:t xml:space="preserve">5.2 What the Pitch Can Claim as Complete Today</w:t>
      </w:r>
    </w:p>
    <w:p>
      <w:pPr>
        <w:spacing w:before="60" w:after="100"/>
      </w:pPr>
      <w:r>
        <w:rPr>
          <w:rFonts w:ascii="Arial" w:cs="Arial" w:eastAsia="Arial" w:hAnsi="Arial"/>
          <w:color w:val="424242"/>
          <w:sz w:val="20"/>
          <w:szCs w:val="20"/>
        </w:rPr>
        <w:t xml:space="preserve">The following capabilities are fully implemented and verified in the current repository. Each can be demonstrated in the GreenTech4CE pitch and demo without qualification. Source references are drawn from the 2026-03-10 repository capability review.</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Capability</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Pitch Claim</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Repo Verification</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Proof-governed conditional disbursement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Funds are released only when all programme-defined proof conditions are met — automatically and without human override. Fail-closed into HOLD if any condition is missing or violated.</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Phase-1 contract, proof-governance invariants, escrow state transitions verified.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Tamper-proof append-only evidence trail</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Every disbursement event, proof submission, policy decision, and exception is recorded in a trail that cannot be altered or deleted.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TSK-P1-017 (evidence pack retrieval) and TSK-P1-018 (exception case-pack) implemented and exercised in pre_ci.</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Non-custodial orchestration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never holds customer funds. It governs the instruction to release — the licensed payment channel executes it.</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Escrow atomicity and non-custodial release invariants verified.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Multi-tenant isolation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Each programme operator's data is fully isolated. No tenant can access another's instructions, evidence, or configuration.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Tenant boundary tasks, authz checks, and authz_tenant_boundary.json verifier evidence.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SIM-swap alert derivation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Deterministic SIM-swap detection flags and holds transactions where the recipient MSISDN fails the integrity check before dispatch.</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INV-129 implemented. verify_hier_008_sim_swap_alerts.sh and evidence confirmed.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BoZ read-only observability posture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Database-level read-only regulator role is live. BoZ-scoped access to evidence and report primitives is implemented at the data layer.</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verify_boz_observability_role.sh and corresponding evidence confirmed.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Pilot harness and KPI readiness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The Phase 1 pilot is repeatable. Integration harness replay, KPI readiness gate, and sandbox deploy posture verification are all implemented and run by pre_ci.</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run_phase1_pilot_harness.sh, verify_pilot_harness_readiness.sh, verify_product_kpi_readiness.sh, and product_kpi_readiness_report.json all confirmed.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Incident and 48-hour regulatory report export</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Signed 48-hour incident regulatory report export is implemented — supporting Symphony's supervisory compliance posture.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TSK-P1-REG-003 implemented with verify_reg_003_incident_48h_export.sh and emitted evidence.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Sovereign cloud and air-gapped deployment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Platform deploys on Zambia-hosted infrastructure (Liquid Technologies / Dimension Data Zambia). Air-gapped VPC available for Tier-1 bank deployments. Sandbox deploy posture verified.</w:t>
            </w:r>
          </w:p>
        </w:tc>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verify_sandbox_deploy_manifest_posture.sh and Phase-1 task evidence confirmed.</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Regulatory compliance architecture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Architecture mapped to Cyber Security Act No. 3 of 2025, Data Protection Act No. 3 of 2021, and BoZ Green Loans Guidelines (Gazette Notice No. 1349, 2023).</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Compliance posture mapped in repo. ZICTA licence application in preparation.</w:t>
            </w:r>
          </w:p>
        </w:tc>
      </w:tr>
    </w:tbl>
    <w:p>
      <w:pPr>
        <w:spacing w:before="0" w:after="120"/>
      </w:pPr>
      <w:r>
        <w:t xml:space="preserve"/>
      </w:r>
    </w:p>
    <w:p>
      <w:pPr>
        <w:spacing w:before="300" w:after="100"/>
      </w:pPr>
      <w:r>
        <w:rPr>
          <w:rFonts w:ascii="Arial" w:cs="Arial" w:eastAsia="Arial" w:hAnsi="Arial"/>
          <w:b/>
          <w:bCs/>
          <w:color w:val="00695C"/>
          <w:sz w:val="24"/>
          <w:szCs w:val="24"/>
        </w:rPr>
        <w:t xml:space="preserve">5.3 What Must Not Be Claimed as Complete Until Built</w:t>
      </w:r>
    </w:p>
    <w:p>
      <w:pPr>
        <w:spacing w:before="60" w:after="100"/>
      </w:pPr>
      <w:r>
        <w:rPr>
          <w:rFonts w:ascii="Arial" w:cs="Arial" w:eastAsia="Arial" w:hAnsi="Arial"/>
          <w:color w:val="424242"/>
          <w:sz w:val="20"/>
          <w:szCs w:val="20"/>
        </w:rPr>
        <w:t xml:space="preserve">The following capabilities are described in this PRD but are not yet implemented in the current repository. They are Phase 1 Delta build items. Do not present any of these as complete in an external pitch, application, or demo until verifier-backed evidence exists.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Capability</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Exists</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Still Needs Building</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Signed Payment Instruction File with checksum (UC-01-E)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Non-custodial dispatch and release governance are implemented.</w:t>
            </w:r>
          </w:p>
        </w:tc>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Instruction-file generator, cryptographic checksum, tamper-detection on field modification, operator upload workflow, and verifier-backed proof artifacts.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MSISDN submitter identity confirmation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MSISDN hash fields and proxy/identity schema hooks exist in the repo.</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Runtime submitter-match logic that ties evidence submissions to the borrower/vendor MSISDN on the disbursement record, plus verifier coverage and emitted evidence.</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Geolocation API capture (GPS at submission time)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The correct approach is defined in Section 4.2. No current browser/client implementation in repo.</w:t>
            </w:r>
          </w:p>
        </w:tc>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Browser Geolocation API capture flow, coordinate storage, verification against registered asset location, and emitted evidence proving it works.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Browser upload-link / SMS evidence submission UX</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Evidence ingestion and APIs are implemented and exercised in pre_ci.</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SMS dispatch, secure time-limited link generation, and user-facing mobile browser upload flow as a finished pilot feature.</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Supervisory / donor dashboard UI</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Read-only seat architecture and data boundaries are implemented at the DB/evidence layer.</w:t>
            </w:r>
          </w:p>
        </w:tc>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Non-technical dashboard UI with summary cards, timeline, evidence completeness panel, exception drill-down, and export button. This is the GreenTech4CE critical path item.</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Donor / operator reporting pack export</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Evidence data, KPI inputs, and some regulator-oriented export primitives exist.</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Programme-period reporting surface with schema definition, PDF/JSON generation, one-action export trigger, and operator-facing UI.</w:t>
            </w:r>
          </w:p>
        </w:tc>
      </w:tr>
      <w:tr>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Supplier registry and account resolution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Dispatch architecture and non-custodial routing semantics are implemented.</w:t>
            </w:r>
          </w:p>
        </w:tc>
        <w:tc>
          <w:tcPr>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Verified supplier list data model, admin/configuration flows, supplier account resolution integration (Lenco adapter), and verifier-backed supplier allowlist management.</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6. Pilot Success Criteria</w:t>
      </w:r>
    </w:p>
    <w:p>
      <w:pPr>
        <w:spacing w:before="60" w:after="100"/>
      </w:pPr>
      <w:r>
        <w:rPr>
          <w:rFonts w:ascii="Arial" w:cs="Arial" w:eastAsia="Arial" w:hAnsi="Arial"/>
          <w:color w:val="424242"/>
          <w:sz w:val="20"/>
          <w:szCs w:val="20"/>
        </w:rPr>
        <w:t xml:space="preserve">Success criteria for the 60-day pilot must move beyond "it works" to "it de-risks." The following criteria are written for three audiences simultaneously: the BongoHive panel (which needs to believe the pilot is real and scoped), the pilot MFI (which needs to believe Symphony removes a burden without adding one), and the donor or programme observer (which needs to believe the evidence is trustworthy). Target cohort: 50–100 governed disbursements across one green asset class — for example, solar irrigation pumps or plastic shredders.</w:t>
      </w:r>
    </w:p>
    <w:p>
      <w:pPr>
        <w:spacing w:before="0" w:after="120"/>
      </w:pPr>
      <w:r>
        <w:t xml:space="preserve"/>
      </w:r>
    </w:p>
    <w:p>
      <w:pPr>
        <w:spacing w:before="300" w:after="100"/>
      </w:pPr>
      <w:r>
        <w:rPr>
          <w:rFonts w:ascii="Arial" w:cs="Arial" w:eastAsia="Arial" w:hAnsi="Arial"/>
          <w:b/>
          <w:bCs/>
          <w:color w:val="00695C"/>
          <w:sz w:val="24"/>
          <w:szCs w:val="24"/>
        </w:rPr>
        <w:t xml:space="preserve">6.1 Technical Success Criteria — The Invariants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Criterion</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Is Measured</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Pass Threshold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Zero policy deviations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Every disbursement in the governed cohort is held in PENDING-PROOF state until all configured proof conditions are satisfied. Zero funds released without complete proof set.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100% — no exceptions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SIM-swap interception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All transactions where the recipient MSISDN fails the SIM-swap integrity check are flagged and held before dispatch.</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100% of flagged events correctly held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Audit log integrity</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Every governed disbursement has a complete, linked, append-only evidence pack. Zero orphan transactions — no disbursement without a corresponding evidence record.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100% — zero orphan transactions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GPS coordinate capture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GPS coordinates captured via Geolocation API (not EXIF) for all evidence submissions where location is a configured proof condition. Coordinates verified against registered asset location.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GPS present and verified for ≥95% of submissions requiring it</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Non-interference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Zero downtime or data corruption for the MFI's existing core banking system during the entire pilot period. Symphony sidecar is fully isolated from core.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Zero incidents</w:t>
            </w:r>
          </w:p>
        </w:tc>
      </w:tr>
    </w:tbl>
    <w:p>
      <w:pPr>
        <w:spacing w:before="0" w:after="120"/>
      </w:pPr>
      <w:r>
        <w:t xml:space="preserve"/>
      </w:r>
    </w:p>
    <w:p>
      <w:pPr>
        <w:spacing w:before="300" w:after="100"/>
      </w:pPr>
      <w:r>
        <w:rPr>
          <w:rFonts w:ascii="Arial" w:cs="Arial" w:eastAsia="Arial" w:hAnsi="Arial"/>
          <w:b/>
          <w:bCs/>
          <w:color w:val="00695C"/>
          <w:sz w:val="24"/>
          <w:szCs w:val="24"/>
        </w:rPr>
        <w:t xml:space="preserve">6.2 Operational Success Criteria — The CFO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Criterion</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Is Measured</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Pass Threshold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Verification speed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Time from approval submission to disbursement authorisation (once all proofs are submitted). Compared against MFI's baseline manual field verification time.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≥80% reduction vs. manual baseline</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Reporting automation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Time to generate a complete donor-ready evidence pack for the full 60-day pilot cohort via Symphony's export function.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Evidence pack generated in under 10 minutes</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Signed instruction file accuracy (UC-01-E)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Where live rail is not active: Symphony-generated Signed Payment Instruction File submitted to MFI finance team. Zero discrepancies between Symphony-generated file and actual payments processed.</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100% accuracy — zero payment discrepancies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Heartbeat response rate (if activated)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Percentage of settled facilities that respond to at least the first 30-day Asset Heartbeat SMS within the 7-day response window.</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≥70% first-response rate (baseline measurement for programme optimisation)</w:t>
            </w:r>
          </w:p>
        </w:tc>
      </w:tr>
    </w:tbl>
    <w:p>
      <w:pPr>
        <w:spacing w:before="0" w:after="120"/>
      </w:pPr>
      <w:r>
        <w:t xml:space="preserve"/>
      </w:r>
    </w:p>
    <w:p>
      <w:pPr>
        <w:spacing w:before="300" w:after="100"/>
      </w:pPr>
      <w:r>
        <w:rPr>
          <w:rFonts w:ascii="Arial" w:cs="Arial" w:eastAsia="Arial" w:hAnsi="Arial"/>
          <w:b/>
          <w:bCs/>
          <w:color w:val="00695C"/>
          <w:sz w:val="24"/>
          <w:szCs w:val="24"/>
        </w:rPr>
        <w:t xml:space="preserve">6.3 Regulatory Success Criteria — The BoZ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Criterion</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Is Measured</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Pass Threshold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Supervisory reveal session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At Day 61–90: donor or MGEE/UNDP representative logs into the Symphony read-only Supervisory Dashboard, navigates to a random instruction, and verifies its evidence pack without assistance from the Symphony team.</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Observer completes unaided verification in under 3 minutes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Data sovereignty confirmation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All PII processed during the pilot remains on Zambia-resident servers throughout the 60 days. No PII transits non-Zambian infrastructure.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Confirmed via infrastructure audit log — zero non-ZM data egress events</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BoZ Green Loans Guidelines readiness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FSP or MFI compliance officer assesses whether Symphony's evidence packs and portfolio view satisfy the monitoring and disclosure requirements of the BoZ Green Loans Guidelines (Gazette Notice No. 1349, 2023).</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bCs/>
                <w:color w:val="1B5E20"/>
                <w:sz w:val="18"/>
                <w:szCs w:val="18"/>
              </w:rPr>
              <w:t xml:space="preserve">Written confirmation from compliance officer that evidence architecture is audit-ready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B2DFDB"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19"/>
                <w:szCs w:val="19"/>
              </w:rPr>
              <w:t xml:space="preserve">Pilot pitch to the MFI manager:</w:t>
            </w:r>
          </w:p>
          <w:p>
            <w:pPr>
              <w:spacing w:before="0" w:after="40"/>
            </w:pPr>
            <w:r>
              <w:rPr>
                <w:rFonts w:ascii="Arial" w:cs="Arial" w:eastAsia="Arial" w:hAnsi="Arial"/>
                <w:b w:val="false"/>
                <w:bCs w:val="false"/>
                <w:i w:val="false"/>
                <w:iCs w:val="false"/>
                <w:color w:val="424242"/>
                <w:sz w:val="18"/>
                <w:szCs w:val="18"/>
              </w:rPr>
              <w:t xml:space="preserve">"Our 60-day pilot isn't just a tech test. Success means your team stops travelling to the field</w:t>
            </w:r>
          </w:p>
          <w:p>
            <w:pPr>
              <w:spacing w:before="0" w:after="40"/>
            </w:pPr>
            <w:r>
              <w:rPr>
                <w:rFonts w:ascii="Arial" w:cs="Arial" w:eastAsia="Arial" w:hAnsi="Arial"/>
                <w:b w:val="false"/>
                <w:bCs w:val="false"/>
                <w:i w:val="false"/>
                <w:iCs w:val="false"/>
                <w:color w:val="424242"/>
                <w:sz w:val="18"/>
                <w:szCs w:val="18"/>
              </w:rPr>
              <w:t xml:space="preserve">to verify if a pump was installed. Symphony gives you a Green Dashboard that tells you exactly where</w:t>
            </w:r>
          </w:p>
          <w:p>
            <w:pPr>
              <w:spacing w:before="0" w:after="40"/>
            </w:pPr>
            <w:r>
              <w:rPr>
                <w:rFonts w:ascii="Arial" w:cs="Arial" w:eastAsia="Arial" w:hAnsi="Arial"/>
                <w:b w:val="false"/>
                <w:bCs w:val="false"/>
                <w:i w:val="false"/>
                <w:iCs w:val="false"/>
                <w:color w:val="424242"/>
                <w:sz w:val="18"/>
                <w:szCs w:val="18"/>
              </w:rPr>
              <w:t xml:space="preserve">your money is, backed by tamper-proof evidence, so you can focus on growing your portfolio</w:t>
            </w:r>
          </w:p>
          <w:p>
            <w:pPr>
              <w:spacing w:before="0" w:after="40"/>
            </w:pPr>
            <w:r>
              <w:rPr>
                <w:rFonts w:ascii="Arial" w:cs="Arial" w:eastAsia="Arial" w:hAnsi="Arial"/>
                <w:b/>
                <w:bCs/>
                <w:i w:val="false"/>
                <w:iCs w:val="false"/>
                <w:color w:val="00695C"/>
                <w:sz w:val="18"/>
                <w:szCs w:val="18"/>
              </w:rPr>
              <w:t xml:space="preserve">instead of chasing receipts."</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7. Demo Specification — Day 61–90 Supervisory Reveal</w:t>
      </w:r>
    </w:p>
    <w:p>
      <w:pPr>
        <w:spacing w:before="60" w:after="100"/>
      </w:pPr>
      <w:r>
        <w:rPr>
          <w:rFonts w:ascii="Arial" w:cs="Arial" w:eastAsia="Arial" w:hAnsi="Arial"/>
          <w:color w:val="424242"/>
          <w:sz w:val="20"/>
          <w:szCs w:val="20"/>
        </w:rPr>
        <w:t xml:space="preserve">The critical GreenTech4CE demonstration artefact is the Supervisory Reveal — the moment at Day 61–90 when a donor, MGEE, or UNDP representative is invited to view a live governed disbursement programme in real time. This is what converts a technical pilot into a commercial conversation. The pilot success criteria in Section 6 define what the reveal must demonstrate to satisfy each audience.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C8E6C9"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20"/>
                <w:szCs w:val="20"/>
              </w:rPr>
              <w:t xml:space="preserve">The demo must answer one question for the observer:</w:t>
            </w:r>
          </w:p>
          <w:p>
            <w:pPr>
              <w:spacing w:before="0" w:after="40"/>
            </w:pPr>
            <w:r>
              <w:rPr>
                <w:rFonts w:ascii="Arial" w:cs="Arial" w:eastAsia="Arial" w:hAnsi="Arial"/>
                <w:b/>
                <w:bCs/>
                <w:i w:val="false"/>
                <w:iCs w:val="false"/>
                <w:color w:val="00695C"/>
                <w:sz w:val="21"/>
                <w:szCs w:val="21"/>
              </w:rPr>
              <w:t xml:space="preserve">"Can I see, right now, exactly where the green money went, what proof was collected, and what was held?"</w:t>
            </w:r>
          </w:p>
          <w:p>
            <w:pPr>
              <w:spacing w:before="0" w:after="40"/>
            </w:pPr>
            <w:r>
              <w:rPr>
                <w:rFonts w:ascii="Arial" w:cs="Arial" w:eastAsia="Arial" w:hAnsi="Arial"/>
                <w:b w:val="false"/>
                <w:bCs w:val="false"/>
                <w:i w:val="false"/>
                <w:iCs w:val="false"/>
                <w:color w:val="424242"/>
                <w:sz w:val="18"/>
                <w:szCs w:val="18"/>
              </w:rPr>
              <w:t xml:space="preserve">If the answer is yes — in three seconds, from a clean interface — the commercial conversation starts.</w:t>
            </w:r>
          </w:p>
        </w:tc>
      </w:tr>
    </w:tbl>
    <w:p>
      <w:pPr>
        <w:spacing w:before="0" w:after="120"/>
      </w:pPr>
      <w:r>
        <w:t xml:space="preserve"/>
      </w:r>
    </w:p>
    <w:p>
      <w:pPr>
        <w:spacing w:before="300" w:after="100"/>
      </w:pPr>
      <w:r>
        <w:rPr>
          <w:rFonts w:ascii="Arial" w:cs="Arial" w:eastAsia="Arial" w:hAnsi="Arial"/>
          <w:b/>
          <w:bCs/>
          <w:color w:val="00695C"/>
          <w:sz w:val="24"/>
          <w:szCs w:val="24"/>
        </w:rPr>
        <w:t xml:space="preserve">7.1 Dashboard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Component</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It Shows</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Data Source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Programme Summary Bar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name, period, total disbursements governed, total released (ZMW), total held, evidence completeness rate (%)</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Instruction ledger aggregate</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Disbursement Timeline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Chronological list of instructions: ID, amount, state (AUTHORIZED / SETTLED / HOLD), asset type, supplier, date</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Instruction state machine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Evidence Completeness Panel</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Per-instruction: which proofs are collected (green check), which are missing (amber), which failed (red). Proof type labels visible.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Evidence trail proof-set index</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Exception / Hold Log</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Instructions in HOLD state with reason flag: missing proof, failed validation, SIM-swap flag, duplicate attempt. Timestamp and escalation status.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Exception event log</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bCs/>
                <w:color w:val="424242"/>
                <w:sz w:val="18"/>
                <w:szCs w:val="18"/>
              </w:rPr>
              <w:t xml:space="preserve">Export Button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Single-click export of full period evidence pack as PDF. Formatted for donor submission.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Report generator (US-PO-02 delta)</w:t>
            </w:r>
          </w:p>
        </w:tc>
      </w:tr>
    </w:tbl>
    <w:p>
      <w:pPr>
        <w:spacing w:before="0" w:after="120"/>
      </w:pPr>
      <w:r>
        <w:t xml:space="preserve"/>
      </w:r>
    </w:p>
    <w:p>
      <w:pPr>
        <w:spacing w:before="300" w:after="100"/>
      </w:pPr>
      <w:r>
        <w:rPr>
          <w:rFonts w:ascii="Arial" w:cs="Arial" w:eastAsia="Arial" w:hAnsi="Arial"/>
          <w:b/>
          <w:bCs/>
          <w:color w:val="00695C"/>
          <w:sz w:val="24"/>
          <w:szCs w:val="24"/>
        </w:rPr>
        <w:t xml:space="preserve">7.2 Demo Script —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80"/>
        <w:gridCol w:w="28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Min</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Scene</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What Is Shown</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Key Message</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0–2</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overview</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Dashboard opens on programme summary. 47 disbursements governed. ZMW 2.3M released. 3 in HOLD. 94% evidence completeness.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"This is your programme, live, right now. No spreadsheet. No manual compilation."</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2–4</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Successful disbursement drill-down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Click one SETTLED instruction. Evidence panel shows: invoice (verified), delivery photo (GPS-matched), field officer confirmation, borrower acknowledgement — all green.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"Every kwacha released has exactly this evidence behind it. Permanently."</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4–6</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HOLD event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Click one HOLD instruction. Exception log shows: invoice submitted, delivery photo missing, GPS not matched. Funds are blocked. Escalation sent to programme operator.</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"This disbursement was blocked automatically. Not by a loan officer. By the system."</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6–8</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SIM-swap flag</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Second HOLD: SIM-swap flag triggered on recipient number before dispatch. Dispatch blocked. Evidence pack shows flag timestamp and operator alert.</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"This is the fraud that kills MFI green portfolios. Symphony caught it before the money moved."</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8–10</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Export</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Click Export. PDF evidence pack generated covering full period. Formatted with programme header, per-instruction summary, exception log, total statistics.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"This is your donor report. Generated in one click. What used to take three weeks."</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Optional +2</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Asset Heartbeat (if activated)</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Show one settled instruction with post-disbursement heartbeat history: three monthly confirmations, each with photo and GPS. Then show one HEARTBEAT-MISSED exception — the fourth ping went unanswered. Dashboard flags the facility.</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doesn't just verify the pump was installed. It verifies every 30 days it's still working. The moment the heartbeat stops, you know — before the borrower misses a payment."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C8E6C9" w:val="clear"/>
            <w:tcMar>
              <w:top w:type="dxa" w:w="140"/>
              <w:left w:type="dxa" w:w="200"/>
              <w:bottom w:type="dxa" w:w="140"/>
              <w:right w:type="dxa" w:w="200"/>
            </w:tcMar>
          </w:tcPr>
          <w:p>
            <w:pPr>
              <w:spacing w:before="0" w:after="40"/>
            </w:pPr>
            <w:r>
              <w:rPr>
                <w:rFonts w:ascii="Arial" w:cs="Arial" w:eastAsia="Arial" w:hAnsi="Arial"/>
                <w:b/>
                <w:bCs/>
                <w:i w:val="false"/>
                <w:iCs w:val="false"/>
                <w:color w:val="1B5E20"/>
                <w:sz w:val="19"/>
                <w:szCs w:val="19"/>
              </w:rPr>
              <w:t xml:space="preserve">The Heartbeat scene is the strongest close if the programme operator has activated it.</w:t>
            </w:r>
          </w:p>
          <w:p>
            <w:pPr>
              <w:spacing w:before="0" w:after="40"/>
            </w:pPr>
            <w:r>
              <w:rPr>
                <w:rFonts w:ascii="Arial" w:cs="Arial" w:eastAsia="Arial" w:hAnsi="Arial"/>
                <w:b w:val="false"/>
                <w:bCs w:val="false"/>
                <w:i w:val="false"/>
                <w:iCs w:val="false"/>
                <w:color w:val="424242"/>
                <w:sz w:val="18"/>
                <w:szCs w:val="18"/>
              </w:rPr>
              <w:t xml:space="preserve">It shifts Symphony's value proposition from disbursement governance to portfolio lifecycle monitoring —</w:t>
            </w:r>
          </w:p>
          <w:p>
            <w:pPr>
              <w:spacing w:before="0" w:after="40"/>
            </w:pPr>
            <w:r>
              <w:rPr>
                <w:rFonts w:ascii="Arial" w:cs="Arial" w:eastAsia="Arial" w:hAnsi="Arial"/>
                <w:b w:val="false"/>
                <w:bCs w:val="false"/>
                <w:i w:val="false"/>
                <w:iCs w:val="false"/>
                <w:color w:val="424242"/>
                <w:sz w:val="18"/>
                <w:szCs w:val="18"/>
              </w:rPr>
              <w:t xml:space="preserve">and it is the claim no manual field verification process can match at any price.</w:t>
            </w:r>
          </w:p>
        </w:tc>
      </w:tr>
    </w:tbl>
    <w:p>
      <w:r>
        <w:br w:type="page"/>
      </w:r>
    </w:p>
    <w:p>
      <w:pPr>
        <w:pBdr>
          <w:bottom w:val="single" w:color="2E7D32" w:sz="4" w:space="4"/>
        </w:pBdr>
        <w:spacing w:before="400" w:after="140"/>
      </w:pPr>
      <w:r>
        <w:rPr>
          <w:rFonts w:ascii="Arial" w:cs="Arial" w:eastAsia="Arial" w:hAnsi="Arial"/>
          <w:b/>
          <w:bCs/>
          <w:color w:val="1B5E20"/>
          <w:sz w:val="30"/>
          <w:szCs w:val="30"/>
        </w:rPr>
        <w:t xml:space="preserve">8. GreenTech4CE Programme Fit</w:t>
      </w:r>
    </w:p>
    <w:p>
      <w:pPr>
        <w:spacing w:before="60" w:after="100"/>
      </w:pPr>
      <w:r>
        <w:rPr>
          <w:rFonts w:ascii="Arial" w:cs="Arial" w:eastAsia="Arial" w:hAnsi="Arial"/>
          <w:color w:val="424242"/>
          <w:sz w:val="20"/>
          <w:szCs w:val="20"/>
        </w:rPr>
        <w:t xml:space="preserve">This section maps Symphony's use case and development plan directly to GreenTech4CE's programme goals. It serves as the internal logic check before the application document is written — ensuring every claim in the application is grounded in a requirement defined here.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GreenTech4CE Programme Goal</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How Symphony Addresses It</w:t>
            </w:r>
          </w:p>
        </w:tc>
        <w:tc>
          <w:tcPr>
            <w:tcBorders>
              <w:top w:val="single" w:color="E0E0E0" w:sz="1"/>
              <w:left w:val="single" w:color="E0E0E0" w:sz="1"/>
              <w:bottom w:val="single" w:color="E0E0E0" w:sz="1"/>
              <w:right w:val="single" w:color="E0E0E0" w:sz="1"/>
            </w:tcBorders>
            <w:shd w:fill="1B5E20"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Requirements Anchor</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Support green/circular economy MSMEs and startups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MSMEs become easier to finance because the capital flowing to them is governed, evidenced, and trusted by funders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UC-01, US-MS-01, US-MS-02</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Improve access to green finance and capital</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Programme operators and FSPs can deploy green capital with lower verification cost and higher funder confidence — making more capital available to more enterprises</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US-PO-01, US-FSP-01, UC-01-A</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Engage Financial Service Providers in green product design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gives FSPs the control and evidence infrastructure to launch green products without core banking changes</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US-FSP-01, US-FSP-02, UC-01-C</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Build financial ecosystem around circular economy</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Symphony is the operating layer that makes the financial ecosystem governable — donor release control, FSP product infrastructure, MSME credit history building</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Strategic Triangle (Section 1.2)</w:t>
            </w:r>
          </w:p>
        </w:tc>
      </w:tr>
      <w:tr>
        <w:tc>
          <w:tcPr>
            <w:tcBorders>
              <w:top w:val="single" w:color="E0E0E0" w:sz="1"/>
              <w:left w:val="single" w:color="E0E0E0" w:sz="1"/>
              <w:bottom w:val="single" w:color="E0E0E0" w:sz="1"/>
              <w:right w:val="single" w:color="E0E0E0" w:sz="1"/>
            </w:tcBorders>
            <w:shd w:fill="C8E6C9"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Align with Zambia's regulatory and green-finance direction</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Architecture mapped to BoZ Green Loans Guidelines, ZiCA IFRS S2 mandate, ZGFT — named instruments, not general compliance posture</w:t>
            </w:r>
          </w:p>
        </w:tc>
        <w:tc>
          <w:tcPr>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S1.1 regulatory stack, US-FSP-02</w:t>
            </w:r>
          </w:p>
        </w:tc>
      </w:tr>
      <w:tr>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Support donor transparency and accountability</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Supervisory Reveal dashboard gives donors real-time visibility. Evidence pack replaces manual donor reporting. Exception log demonstrates active fraud prevention.</w:t>
            </w:r>
          </w:p>
        </w:tc>
        <w:tc>
          <w:tcPr>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spacing w:before="0" w:after="0"/>
            </w:pPr>
            <w:r>
              <w:rPr>
                <w:rFonts w:ascii="Arial" w:cs="Arial" w:eastAsia="Arial" w:hAnsi="Arial"/>
                <w:b w:val="false"/>
                <w:bCs w:val="false"/>
                <w:color w:val="424242"/>
                <w:sz w:val="18"/>
                <w:szCs w:val="18"/>
              </w:rPr>
              <w:t xml:space="preserve">US-PO-03, US-SO-01, Section 7</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B2DFDB" w:val="clear"/>
            <w:tcMar>
              <w:top w:type="dxa" w:w="140"/>
              <w:left w:type="dxa" w:w="200"/>
              <w:bottom w:type="dxa" w:w="140"/>
              <w:right w:type="dxa" w:w="200"/>
            </w:tcMar>
          </w:tcPr>
          <w:p>
            <w:pPr>
              <w:spacing w:before="0" w:after="40"/>
            </w:pPr>
            <w:r>
              <w:rPr>
                <w:rFonts w:ascii="Arial" w:cs="Arial" w:eastAsia="Arial" w:hAnsi="Arial"/>
                <w:b w:val="false"/>
                <w:bCs w:val="false"/>
                <w:i w:val="false"/>
                <w:iCs w:val="false"/>
                <w:color w:val="424242"/>
                <w:sz w:val="18"/>
                <w:szCs w:val="18"/>
              </w:rPr>
              <w:t xml:space="preserve">The application document should open with the structural funding reality (Section 1.1),</w:t>
            </w:r>
          </w:p>
          <w:p>
            <w:pPr>
              <w:spacing w:before="0" w:after="40"/>
            </w:pPr>
            <w:r>
              <w:rPr>
                <w:rFonts w:ascii="Arial" w:cs="Arial" w:eastAsia="Arial" w:hAnsi="Arial"/>
                <w:b w:val="false"/>
                <w:bCs w:val="false"/>
                <w:i w:val="false"/>
                <w:iCs w:val="false"/>
                <w:color w:val="424242"/>
                <w:sz w:val="18"/>
                <w:szCs w:val="18"/>
              </w:rPr>
              <w:t xml:space="preserve">position Symphony using the three-constituency model (Section 1.2),</w:t>
            </w:r>
          </w:p>
          <w:p>
            <w:pPr>
              <w:spacing w:before="0" w:after="40"/>
            </w:pPr>
            <w:r>
              <w:rPr>
                <w:rFonts w:ascii="Arial" w:cs="Arial" w:eastAsia="Arial" w:hAnsi="Arial"/>
                <w:b w:val="false"/>
                <w:bCs w:val="false"/>
                <w:i w:val="false"/>
                <w:iCs w:val="false"/>
                <w:color w:val="424242"/>
                <w:sz w:val="18"/>
                <w:szCs w:val="18"/>
              </w:rPr>
              <w:t xml:space="preserve">anchor the product claim to UC-01 and the covered user stories,</w:t>
            </w:r>
          </w:p>
          <w:p>
            <w:pPr>
              <w:spacing w:before="0" w:after="40"/>
            </w:pPr>
            <w:r>
              <w:rPr>
                <w:rFonts w:ascii="Arial" w:cs="Arial" w:eastAsia="Arial" w:hAnsi="Arial"/>
                <w:b w:val="false"/>
                <w:bCs w:val="false"/>
                <w:i w:val="false"/>
                <w:iCs w:val="false"/>
                <w:color w:val="424242"/>
                <w:sz w:val="18"/>
                <w:szCs w:val="18"/>
              </w:rPr>
              <w:t xml:space="preserve">describe the development delta and edge architecture honestly (Sections 4 and 5), and close with the demo plan (Section 7).</w:t>
            </w:r>
          </w:p>
          <w:p>
            <w:pPr>
              <w:spacing w:before="0" w:after="40"/>
            </w:pPr>
            <w:r>
              <w:rPr>
                <w:rFonts w:ascii="Arial" w:cs="Arial" w:eastAsia="Arial" w:hAnsi="Arial"/>
                <w:b/>
                <w:bCs/>
                <w:i w:val="false"/>
                <w:iCs w:val="false"/>
                <w:color w:val="1B5E20"/>
                <w:sz w:val="19"/>
                <w:szCs w:val="19"/>
              </w:rPr>
              <w:t xml:space="preserve">Every claim in the application has a requirements anchor here.</w:t>
            </w:r>
          </w:p>
        </w:tc>
      </w:tr>
    </w:tbl>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2026-03-10T12:37:26.379Z</dcterms:created>
  <dcterms:modified xsi:type="dcterms:W3CDTF">2026-03-10T12:37:26.380Z</dcterms:modified>
</cp:coreProperties>
</file>

<file path=docProps/custom.xml><?xml version="1.0" encoding="utf-8"?>
<Properties xmlns="http://schemas.openxmlformats.org/officeDocument/2006/custom-properties" xmlns:vt="http://schemas.openxmlformats.org/officeDocument/2006/docPropsVTypes"/>
</file>