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000"/>
      </w:pPr>
    </w:p>
    <w:p>
      <w:pPr>
        <w:spacing w:after="200"/>
        <w:jc w:val="center"/>
      </w:pPr>
      <w:r>
        <w:rPr>
          <w:rFonts w:ascii="Arial" w:hAnsi="Arial" w:eastAsia="Arial" w:cs="Arial"/>
          <w:b/>
          <w:bCs/>
          <w:color w:val="1B2A4A"/>
          <w:sz w:val="56"/>
          <w:szCs w:val="56"/>
        </w:rPr>
        <w:t>TARA Cohort</w:t>
      </w:r>
    </w:p>
    <w:p>
      <w:pPr>
        <w:spacing w:after="100"/>
        <w:jc w:val="center"/>
      </w:pPr>
      <w:r>
        <w:rPr>
          <w:rFonts w:ascii="Arial" w:hAnsi="Arial" w:eastAsia="Arial" w:cs="Arial"/>
          <w:b/>
          <w:bCs/>
          <w:color w:val="2E75B6"/>
          <w:sz w:val="44"/>
          <w:szCs w:val="44"/>
        </w:rPr>
        <w:t>Module Scoring Analysis</w:t>
      </w:r>
    </w:p>
    <w:p>
      <w:pPr>
        <w:spacing w:after="100"/>
        <w:jc w:val="center"/>
      </w:pPr>
      <w:r>
        <w:rPr>
          <w:rFonts w:ascii="Arial" w:hAnsi="Arial" w:eastAsia="Arial" w:cs="Arial"/>
          <w:color w:val="666666"/>
          <w:sz w:val="24"/>
          <w:szCs w:val="24"/>
        </w:rPr>
        <w:t>Whole-PBMC Functional Landscape Across HIV Exposure, Infection, and ART</w:t>
      </w:r>
    </w:p>
    <w:p>
      <w:pPr>
        <w:spacing w:after="600"/>
        <w:jc w:val="center"/>
      </w:pPr>
      <w:r>
        <w:rPr>
          <w:rFonts w:ascii="Arial" w:hAnsi="Arial" w:eastAsia="Arial" w:cs="Arial"/>
          <w:color w:val="666666"/>
          <w:sz w:val="20"/>
          <w:szCs w:val="20"/>
        </w:rPr>
        <w:t>17 RNA modules + 6 protein modules × 31 clusters × 5 exposure/ART groups</w:t>
      </w:r>
    </w:p>
    <w:p>
      <w:pPr>
        <w:pBdr>
          <w:top w:val="single" w:color="2E75B6" w:sz="6" w:space="1"/>
        </w:pBdr>
        <w:spacing w:before="200" w:after="100"/>
        <w:jc w:val="center"/>
      </w:pPr>
      <w:r>
        <w:rPr>
          <w:rFonts w:ascii="Arial" w:hAnsi="Arial" w:eastAsia="Arial" w:cs="Arial"/>
          <w:color w:val="264653"/>
          <w:sz w:val="20"/>
          <w:szCs w:val="20"/>
        </w:rPr>
        <w:t>Exposure/ART Groups: HUU → HEU → PreART Entry → PostART Suppressed → PostART Unsuppressed</w:t>
      </w:r>
    </w:p>
    <w:p>
      <w:r>
        <w:br w:type="page"/>
      </w:r>
    </w:p>
    <w:p>
      <w:pPr>
        <w:pStyle w:val="2"/>
      </w:pPr>
      <w:r>
        <w:t>Key Definitions</w:t>
      </w:r>
    </w:p>
    <w:p>
      <w:pPr>
        <w:spacing w:after="120"/>
      </w:pPr>
      <w:r>
        <w:rPr>
          <w:b/>
          <w:bCs/>
          <w:sz w:val="22"/>
          <w:szCs w:val="22"/>
        </w:rPr>
        <w:t xml:space="preserve">IFN Ratio = IFN Memory − Stress/IFN Acute. </w:t>
      </w:r>
      <w:r>
        <w:rPr>
          <w:sz w:val="22"/>
          <w:szCs w:val="22"/>
        </w:rPr>
        <w:t>The net type I interferon functional state. IFN Memory (</w:t>
      </w:r>
      <w:r>
        <w:rPr>
          <w:rFonts w:ascii="Courier New" w:hAnsi="Courier New" w:eastAsia="Courier New" w:cs="Courier New"/>
          <w:i/>
          <w:iCs/>
          <w:sz w:val="22"/>
          <w:szCs w:val="22"/>
        </w:rPr>
        <w:t>IFIT1, IFIT3, ISG15, MX1, OAS1–3</w:t>
      </w:r>
      <w:r>
        <w:rPr>
          <w:sz w:val="22"/>
          <w:szCs w:val="22"/>
        </w:rPr>
        <w:t>) captures cells that retain a poised IFN programme for rapid recall — the ‘good’ IFN signature. Stress/IFN Acute (</w:t>
      </w:r>
      <w:r>
        <w:rPr>
          <w:rFonts w:ascii="Courier New" w:hAnsi="Courier New" w:eastAsia="Courier New" w:cs="Courier New"/>
          <w:i/>
          <w:iCs/>
          <w:sz w:val="22"/>
          <w:szCs w:val="22"/>
        </w:rPr>
        <w:t>HSPA1A/B, IFI27, IFI44L</w:t>
      </w:r>
      <w:r>
        <w:rPr>
          <w:sz w:val="22"/>
          <w:szCs w:val="22"/>
        </w:rPr>
        <w:t>) captures cells under active IFN-driven cellular damage — the ‘bad’ IFN signature. Positive IFN Ratio = IFN-primed readiness. Negative = viral-driven damage exceeds functional priming.</w:t>
      </w:r>
    </w:p>
    <w:p>
      <w:pPr>
        <w:spacing w:after="120"/>
      </w:pPr>
      <w:r>
        <w:rPr>
          <w:b/>
          <w:bCs/>
          <w:sz w:val="22"/>
          <w:szCs w:val="22"/>
        </w:rPr>
        <w:t xml:space="preserve">Metabolic Ratio = OXPHOS − Glycolysis/Hypoxia. </w:t>
      </w:r>
      <w:r>
        <w:rPr>
          <w:sz w:val="22"/>
          <w:szCs w:val="22"/>
        </w:rPr>
        <w:t>The net metabolic fitness. OXPHOS (</w:t>
      </w:r>
      <w:r>
        <w:rPr>
          <w:rFonts w:ascii="Courier New" w:hAnsi="Courier New" w:eastAsia="Courier New" w:cs="Courier New"/>
          <w:i/>
          <w:iCs/>
          <w:sz w:val="22"/>
          <w:szCs w:val="22"/>
        </w:rPr>
        <w:t>ATP5F1A/B, NDUFA4, SDHB, COX5A, CS, IDH2</w:t>
      </w:r>
      <w:r>
        <w:rPr>
          <w:sz w:val="22"/>
          <w:szCs w:val="22"/>
        </w:rPr>
        <w:t>) reflects mitochondrial fitness required for long-lived memory. Glycolysis/Hypoxia (</w:t>
      </w:r>
      <w:r>
        <w:rPr>
          <w:rFonts w:ascii="Courier New" w:hAnsi="Courier New" w:eastAsia="Courier New" w:cs="Courier New"/>
          <w:i/>
          <w:iCs/>
          <w:sz w:val="22"/>
          <w:szCs w:val="22"/>
        </w:rPr>
        <w:t>HIF1A, LDHA, PKM, PFKFB4, HILPDA, EGLN3</w:t>
      </w:r>
      <w:r>
        <w:rPr>
          <w:sz w:val="22"/>
          <w:szCs w:val="22"/>
        </w:rPr>
        <w:t>) reflects anaerobic metabolism associated with exhaustion and metabolic stress. Positive = memory-competent metabolism. Negative = glycolytic trap.</w:t>
      </w:r>
    </w:p>
    <w:p>
      <w:pPr>
        <w:spacing w:after="120"/>
      </w:pPr>
      <w:r>
        <w:rPr>
          <w:b/>
          <w:bCs/>
          <w:sz w:val="22"/>
          <w:szCs w:val="22"/>
        </w:rPr>
        <w:t xml:space="preserve">Exposure/ART Groups (5 levels): </w:t>
      </w:r>
      <w:r>
        <w:rPr>
          <w:sz w:val="22"/>
          <w:szCs w:val="22"/>
        </w:rPr>
        <w:t>HUU (HIV-unexposed uninfected) → HEU (HIV-exposed uninfected, ~1–2 months) → PreART Entry (HIV-infected, ~1–2 months, age-matched to HEU) → PostART Suppressed (VL &lt;200, longitudinal follow-up) → PostART Unsuppressed (VL &gt;200, suboptimal adherence). HEU vs HUU tests exposure effect. PreART vs HEU tests infection effect at matched age. Suppressed vs Unsuppressed tests ART efficacy.</w:t>
      </w:r>
      <w:bookmarkStart w:id="0" w:name="_GoBack"/>
      <w:bookmarkEnd w:id="0"/>
    </w:p>
    <w:p>
      <w:pPr>
        <w:spacing w:after="120"/>
      </w:pPr>
      <w:r>
        <w:rPr>
          <w:b/>
          <w:bCs/>
          <w:sz w:val="22"/>
          <w:szCs w:val="22"/>
        </w:rPr>
        <w:t xml:space="preserve">Scoring: </w:t>
      </w:r>
      <w:r>
        <w:rPr>
          <w:sz w:val="22"/>
          <w:szCs w:val="22"/>
        </w:rPr>
        <w:t>RNA modules scored with Seurat AddModuleScore (ctrl = 100 background genes). Protein modules scored as mean DSB-normalised ADT intensity. Statistics: Wilcoxon rank-sum with BH correction; Cohen’s d effect sizes; Spearman VL correlations.</w:t>
      </w:r>
    </w:p>
    <w:p>
      <w:pPr>
        <w:spacing w:after="120"/>
      </w:pPr>
      <w:r>
        <w:rPr>
          <w:b/>
          <w:bCs/>
          <w:sz w:val="22"/>
          <w:szCs w:val="22"/>
        </w:rPr>
        <w:t xml:space="preserve">Divergence: </w:t>
      </w:r>
      <w:r>
        <w:rPr>
          <w:sz w:val="22"/>
          <w:szCs w:val="22"/>
        </w:rPr>
        <w:t>When Suppressed and Unsuppressed move in opposite directions from the same PreART starting point. Divergence means failed ART</w:t>
      </w:r>
      <w:r>
        <w:rPr>
          <w:rFonts w:hint="default"/>
          <w:sz w:val="22"/>
          <w:szCs w:val="22"/>
          <w:lang w:val="en-US"/>
        </w:rPr>
        <w:t>/prolonged viremia</w:t>
      </w:r>
      <w:r>
        <w:rPr>
          <w:sz w:val="22"/>
          <w:szCs w:val="22"/>
        </w:rPr>
        <w:t xml:space="preserve"> is actively worse than no treatment for that module.</w:t>
      </w:r>
    </w:p>
    <w:p>
      <w:r>
        <w:br w:type="page"/>
      </w:r>
    </w:p>
    <w:p>
      <w:pPr>
        <w:pStyle w:val="2"/>
      </w:pPr>
      <w:r>
        <w:t>1. CD8+ T Cell Compartment</w:t>
      </w:r>
    </w:p>
    <w:p>
      <w:pPr>
        <w:spacing w:after="120"/>
      </w:pPr>
      <w:r>
        <w:rPr>
          <w:b/>
          <w:bCs/>
          <w:sz w:val="22"/>
          <w:szCs w:val="22"/>
        </w:rPr>
        <w:t xml:space="preserve">Clusters: </w:t>
      </w:r>
      <w:r>
        <w:rPr>
          <w:sz w:val="22"/>
          <w:szCs w:val="22"/>
        </w:rPr>
        <w:t>TEMRA/CTL CD8, Tex CD8, Tscm CD8, Naive 1 CD8, Naive Intermediate CD8</w:t>
      </w:r>
    </w:p>
    <w:p>
      <w:pPr>
        <w:pStyle w:val="3"/>
      </w:pPr>
      <w:r>
        <w:t>1.1 HIV Infection Transforms the CD8 Landscape at Birth</w:t>
      </w:r>
    </w:p>
    <w:p>
      <w:pPr>
        <w:spacing w:after="120"/>
      </w:pPr>
      <w:r>
        <w:rPr>
          <w:sz w:val="22"/>
          <w:szCs w:val="22"/>
        </w:rPr>
        <w:t>Age-matched PreART Entry versus HEU reveals massive CD8 reprogramming within 1–2 months of life.</w:t>
      </w:r>
    </w:p>
    <w:p>
      <w:pPr>
        <w:spacing w:after="120"/>
      </w:pPr>
      <w:r>
        <w:rPr>
          <w:b/>
          <w:bCs/>
          <w:sz w:val="22"/>
          <w:szCs w:val="22"/>
        </w:rPr>
        <w:t xml:space="preserve">Tex CD8: </w:t>
      </w:r>
      <w:r>
        <w:rPr>
          <w:sz w:val="22"/>
          <w:szCs w:val="22"/>
        </w:rPr>
        <w:t>Exhaustion: −0.026 (HEU) → 0.318 (PreART), Δ = +0.344. Stemness: 0.269 → −0.676, Δ = −0.945 (largest stemness loss of any cluster). Cytotoxicity: −0.629 → 1.114, Δ = +1.742.</w:t>
      </w:r>
    </w:p>
    <w:p>
      <w:pPr>
        <w:spacing w:after="120"/>
      </w:pPr>
      <w:r>
        <w:rPr>
          <w:b/>
          <w:bCs/>
          <w:sz w:val="22"/>
          <w:szCs w:val="22"/>
        </w:rPr>
        <w:t xml:space="preserve">TEMRA/CTL CD8: </w:t>
      </w:r>
      <w:r>
        <w:rPr>
          <w:sz w:val="22"/>
          <w:szCs w:val="22"/>
        </w:rPr>
        <w:t>Cytotoxicity: −0.051 → 1.982, Δ = +2.032. Stemness: −0.140 → −0.698, Δ = −0.558. Near-absent in HEU/HUU, dominant in HEI.</w:t>
      </w:r>
    </w:p>
    <w:p>
      <w:pPr>
        <w:spacing w:before="200" w:after="60"/>
      </w:pPr>
      <w:r>
        <w:rPr>
          <w:b/>
          <w:bCs/>
          <w:color w:val="2E75B6"/>
          <w:sz w:val="22"/>
          <w:szCs w:val="22"/>
        </w:rPr>
        <w:t>Figure 1A–1B. Tex CD8: Exhaustion and Stemness (HEI 3-way)</w:t>
      </w:r>
    </w:p>
    <w:p>
      <w:pPr>
        <w:spacing w:after="60"/>
      </w:pPr>
      <w:r>
        <w:rPr>
          <w:sz w:val="20"/>
          <w:szCs w:val="20"/>
        </w:rPr>
        <w:t>Tex CD8 exhaustion (A) and stemness (B) across PreART/Suppressed/Unsuppressed. ART reduces exhaustion below pre-ART (0.318→0.147) and partially restores stemness (−0.676→−0.471). Wilcoxon p-values shown.</w:t>
      </w:r>
    </w:p>
    <w:p>
      <w:pPr>
        <w:spacing w:after="160"/>
      </w:pPr>
      <w:r>
        <w:rPr>
          <w:i/>
          <w:iCs/>
          <w:color w:val="666666"/>
          <w:sz w:val="18"/>
          <w:szCs w:val="18"/>
        </w:rPr>
        <w:t>Files: Fig1A_Tex_Exhaustion.png, Fig1B_Tex_Stemness.png</w:t>
      </w:r>
    </w:p>
    <w:p>
      <w:pPr>
        <w:pStyle w:val="3"/>
      </w:pPr>
      <w:r>
        <w:t>1.2 ART Actively Rescues the CD8 Programme</w:t>
      </w:r>
    </w:p>
    <w:p>
      <w:pPr>
        <w:spacing w:after="120"/>
      </w:pPr>
      <w:r>
        <w:rPr>
          <w:sz w:val="22"/>
          <w:szCs w:val="22"/>
        </w:rPr>
        <w:t>ART does not freeze the pre-treatment state. In Tex CD8, suppression reduces exhaustion below pre-ART (0.147 vs 0.318, Δ = −0.171) and restores stemness above pre-ART (−0.471 vs −0.676, Δ = +0.205).</w:t>
      </w:r>
    </w:p>
    <w:p>
      <w:pPr>
        <w:spacing w:after="120"/>
      </w:pPr>
      <w:r>
        <w:rPr>
          <w:b/>
          <w:bCs/>
          <w:sz w:val="22"/>
          <w:szCs w:val="22"/>
        </w:rPr>
        <w:t xml:space="preserve">TEMRA/CTL effector expansion: </w:t>
      </w:r>
      <w:r>
        <w:rPr>
          <w:sz w:val="22"/>
          <w:szCs w:val="22"/>
        </w:rPr>
        <w:t>Cytotoxicity jumps from −0.051 (HEU) to 1.982 (PreART), Δ = +2.032 — age-matched comparison isolating the infection effect.</w:t>
      </w:r>
    </w:p>
    <w:p>
      <w:pPr>
        <w:spacing w:before="200" w:after="60"/>
      </w:pPr>
      <w:r>
        <w:rPr>
          <w:b/>
          <w:bCs/>
          <w:color w:val="2E75B6"/>
          <w:sz w:val="22"/>
          <w:szCs w:val="22"/>
        </w:rPr>
        <w:t>Figure 1C. TEMRA/CTL CD8: Cytotoxicity (PreART vs HEU)</w:t>
      </w:r>
    </w:p>
    <w:p>
      <w:pPr>
        <w:spacing w:after="60"/>
      </w:pPr>
      <w:r>
        <w:rPr>
          <w:sz w:val="20"/>
          <w:szCs w:val="20"/>
        </w:rPr>
        <w:t>Age-matched comparison showing massive effector expansion driven by HIV infection. TEMRA/CTL near-absent in HEU.</w:t>
      </w:r>
    </w:p>
    <w:p>
      <w:pPr>
        <w:spacing w:after="160"/>
      </w:pPr>
      <w:r>
        <w:rPr>
          <w:i/>
          <w:iCs/>
          <w:color w:val="666666"/>
          <w:sz w:val="18"/>
          <w:szCs w:val="18"/>
        </w:rPr>
        <w:t>Files: Fig1C_TEMRA_Cytotox_PrevsHEU.png</w:t>
      </w:r>
    </w:p>
    <w:p>
      <w:pPr>
        <w:spacing w:after="120"/>
      </w:pPr>
      <w:r>
        <w:rPr>
          <w:sz w:val="22"/>
          <w:szCs w:val="22"/>
        </w:rPr>
        <w:t>Tscm CD8 glycolysis: 0.768 (PreART) → −0.086 (Suppressed), Δ = −0.854. Metabolic Ratio: −0.843 → −0.009, Δ = +0.834. Near-complete metabolic normalisation in stem-like CD8 cells.</w:t>
      </w:r>
    </w:p>
    <w:p>
      <w:pPr>
        <w:spacing w:before="200" w:after="60"/>
      </w:pPr>
      <w:r>
        <w:rPr>
          <w:b/>
          <w:bCs/>
          <w:color w:val="2E75B6"/>
          <w:sz w:val="22"/>
          <w:szCs w:val="22"/>
        </w:rPr>
        <w:t>Figure 1D–1E. Tscm CD8: Glycolysis and Metabolic Ratio (HEI 3-way)</w:t>
      </w:r>
    </w:p>
    <w:p>
      <w:pPr>
        <w:spacing w:after="60"/>
      </w:pPr>
      <w:r>
        <w:rPr>
          <w:sz w:val="20"/>
          <w:szCs w:val="20"/>
        </w:rPr>
        <w:t>Tscm CD8 glycolysis (D) and metabolic ratio (E) across PreART/Suppressed/Unsuppressed. Largest metabolic rescue of any cluster.</w:t>
      </w:r>
    </w:p>
    <w:p>
      <w:pPr>
        <w:spacing w:after="160"/>
      </w:pPr>
      <w:r>
        <w:rPr>
          <w:i/>
          <w:iCs/>
          <w:color w:val="666666"/>
          <w:sz w:val="18"/>
          <w:szCs w:val="18"/>
        </w:rPr>
        <w:t>Files: Fig1D_Tscm_Glycolysis.png, Fig1E_Tscm_MetRatio.png</w:t>
      </w:r>
    </w:p>
    <w:p>
      <w:pPr>
        <w:pStyle w:val="3"/>
      </w:pPr>
      <w:r>
        <w:t>1.3 IFN Ratio Diverges: Unsuppressed Actively Worse</w:t>
      </w:r>
    </w:p>
    <w:p>
      <w:pPr>
        <w:spacing w:after="120"/>
      </w:pPr>
      <w:r>
        <w:rPr>
          <w:sz w:val="22"/>
          <w:szCs w:val="22"/>
        </w:rPr>
        <w:t>Failed ART does not leave CD8 cells at baseline. IFN Ratio diverges: suppressed improves, unsuppressed worsens from the same starting point.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1"/>
        <w:gridCol w:w="982"/>
        <w:gridCol w:w="1392"/>
        <w:gridCol w:w="1644"/>
        <w:gridCol w:w="1074"/>
        <w:gridCol w:w="1072"/>
        <w:gridCol w:w="14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Cluster</w:t>
            </w:r>
          </w:p>
        </w:tc>
        <w:tc>
          <w:tcPr>
            <w:tcW w:w="10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PreART</w:t>
            </w:r>
          </w:p>
        </w:tc>
        <w:tc>
          <w:tcPr>
            <w:tcW w:w="12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Suppressed</w:t>
            </w:r>
          </w:p>
        </w:tc>
        <w:tc>
          <w:tcPr>
            <w:tcW w:w="14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Unsuppressed</w:t>
            </w:r>
          </w:p>
        </w:tc>
        <w:tc>
          <w:tcPr>
            <w:tcW w:w="11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Δ Sup–Pre</w:t>
            </w:r>
          </w:p>
        </w:tc>
        <w:tc>
          <w:tcPr>
            <w:tcW w:w="11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Δ Uns–Pre</w:t>
            </w:r>
          </w:p>
        </w:tc>
        <w:tc>
          <w:tcPr>
            <w:tcW w:w="156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Pattern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TEMRA/CTL CD8</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−0.037</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+0.150</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−0.215</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+0.186</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−0.178</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Divergent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Naive 1 CD8</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+0.010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+0.123</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−0.197</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+0.113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−0.207</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Divergent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Naive Intermediate CD8</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+0.038</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+0.049</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−0.383</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+0.011</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−0.421</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Divergent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Tscm CD8</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+0.030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+0.108</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−0.063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+0.078</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−0.093</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Divergent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Tex CD8</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+0.005</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+0.028</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−0.103</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+0.023</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−0.108</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Divergent</w:t>
            </w:r>
          </w:p>
        </w:tc>
      </w:tr>
    </w:tbl>
    <w:p>
      <w:pPr>
        <w:spacing w:after="120"/>
      </w:pPr>
      <w:r>
        <w:rPr>
          <w:i/>
          <w:iCs/>
          <w:sz w:val="22"/>
          <w:szCs w:val="22"/>
        </w:rPr>
        <w:t>Table 1. IFN Ratio trajectory for CD8 clusters. All populations diverge under ART.</w:t>
      </w:r>
    </w:p>
    <w:p>
      <w:pPr>
        <w:spacing w:before="200" w:after="60"/>
      </w:pPr>
      <w:r>
        <w:rPr>
          <w:b/>
          <w:bCs/>
          <w:color w:val="2E75B6"/>
          <w:sz w:val="22"/>
          <w:szCs w:val="22"/>
        </w:rPr>
        <w:t>Figure 1F. Tex + TEMRA: IFN Ratio (HEI 3-way)</w:t>
      </w:r>
    </w:p>
    <w:p>
      <w:pPr>
        <w:spacing w:after="60"/>
      </w:pPr>
      <w:r>
        <w:rPr>
          <w:sz w:val="20"/>
          <w:szCs w:val="20"/>
        </w:rPr>
        <w:t>Side-by-side Tex CD8 and TEMRA/CTL CD8 IFN Ratio across PreART/Suppressed/Unsuppressed. Suppression achieves positive ratio; unsuppressed goes negative.</w:t>
      </w:r>
    </w:p>
    <w:p>
      <w:pPr>
        <w:spacing w:after="160"/>
      </w:pPr>
      <w:r>
        <w:rPr>
          <w:i/>
          <w:iCs/>
          <w:color w:val="666666"/>
          <w:sz w:val="18"/>
          <w:szCs w:val="18"/>
        </w:rPr>
        <w:t>Files: Fig1F_TexTEMRA_IFNRatio.png</w:t>
      </w:r>
    </w:p>
    <w:p>
      <w:pPr>
        <w:spacing w:before="200" w:after="60"/>
      </w:pPr>
      <w:r>
        <w:rPr>
          <w:b/>
          <w:bCs/>
          <w:color w:val="2E75B6"/>
          <w:sz w:val="22"/>
          <w:szCs w:val="22"/>
        </w:rPr>
        <w:t>Figure 1G. CD8 IFN Ratio divergence dot plot</w:t>
      </w:r>
    </w:p>
    <w:p>
      <w:pPr>
        <w:spacing w:after="60"/>
      </w:pPr>
      <w:r>
        <w:rPr>
          <w:sz w:val="20"/>
          <w:szCs w:val="20"/>
        </w:rPr>
        <w:t>All 5 CD8 clusters. Each gets two points: suppressed Δ (teal) and unsuppressed Δ (gold) from PreART baseline. Points on opposite sides of zero = divergent trajectory.</w:t>
      </w:r>
    </w:p>
    <w:p>
      <w:pPr>
        <w:spacing w:after="160"/>
      </w:pPr>
      <w:r>
        <w:rPr>
          <w:i/>
          <w:iCs/>
          <w:color w:val="666666"/>
          <w:sz w:val="18"/>
          <w:szCs w:val="18"/>
        </w:rPr>
        <w:t>Files: Fig1G_CD8_Divergence.png</w:t>
      </w:r>
    </w:p>
    <w:p>
      <w:pPr>
        <w:spacing w:after="120"/>
      </w:pPr>
      <w:r>
        <w:rPr>
          <w:sz w:val="22"/>
          <w:szCs w:val="22"/>
        </w:rPr>
        <w:t>Critically, glycolysis resolves even in unsuppressed CD8 (Tscm: PreART 0.768, Unsuppressed −0.057). Metabolic rescue is ART-intrinsic and VL-independent. Unsuppressed cells have restored metabolism but damaged IFN balance — fuel but no steering.</w:t>
      </w:r>
    </w:p>
    <w:p>
      <w:r>
        <w:br w:type="page"/>
      </w:r>
    </w:p>
    <w:p>
      <w:pPr>
        <w:pStyle w:val="2"/>
      </w:pPr>
      <w:r>
        <w:t>2. CD4+ T Cell Compartment</w:t>
      </w:r>
    </w:p>
    <w:p>
      <w:pPr>
        <w:spacing w:after="120"/>
      </w:pPr>
      <w:r>
        <w:rPr>
          <w:b/>
          <w:bCs/>
          <w:sz w:val="22"/>
          <w:szCs w:val="22"/>
        </w:rPr>
        <w:t xml:space="preserve">Clusters: </w:t>
      </w:r>
      <w:r>
        <w:rPr>
          <w:sz w:val="22"/>
          <w:szCs w:val="22"/>
        </w:rPr>
        <w:t>Naive 1/2/3 CD4, Transitional Memory CD4, Th2/Th17 EM CD4, Treg, ISG+ CD4 T cell</w:t>
      </w:r>
    </w:p>
    <w:p>
      <w:pPr>
        <w:pStyle w:val="3"/>
      </w:pPr>
      <w:r>
        <w:t>2.1 The Glycolysis Bomb: HIV Exposure Before Infection</w:t>
      </w:r>
    </w:p>
    <w:p>
      <w:pPr>
        <w:spacing w:after="120"/>
      </w:pPr>
      <w:r>
        <w:rPr>
          <w:sz w:val="22"/>
          <w:szCs w:val="22"/>
        </w:rPr>
        <w:t>The single most striking finding: HEU infants are massively more glycolytic than HUU across every CD4 population, before any infant infection.</w:t>
      </w:r>
    </w:p>
    <w:tbl>
      <w:tblPr>
        <w:tblStyle w:val="9"/>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8"/>
        <w:gridCol w:w="1000"/>
        <w:gridCol w:w="999"/>
        <w:gridCol w:w="1303"/>
        <w:gridCol w:w="1000"/>
        <w:gridCol w:w="1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Cluster</w:t>
            </w:r>
          </w:p>
        </w:tc>
        <w:tc>
          <w:tcPr>
            <w:tcW w:w="10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HUU</w:t>
            </w:r>
          </w:p>
        </w:tc>
        <w:tc>
          <w:tcPr>
            <w:tcW w:w="10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HEU</w:t>
            </w:r>
          </w:p>
        </w:tc>
        <w:tc>
          <w:tcPr>
            <w:tcW w:w="13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Δ (Exposure)</w:t>
            </w:r>
          </w:p>
        </w:tc>
        <w:tc>
          <w:tcPr>
            <w:tcW w:w="10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PreART</w:t>
            </w:r>
          </w:p>
        </w:tc>
        <w:tc>
          <w:tcPr>
            <w:tcW w:w="13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Δ (Infection)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Naive 1 CD4</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−0.008</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0.699</w:t>
            </w:r>
          </w:p>
        </w:tc>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+0.706</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0.544</w:t>
            </w:r>
          </w:p>
        </w:tc>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Naive 3 CD4 (IL4R+)</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−0.017</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0.647</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+0.664</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0.446</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Naive 2 CD4</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−0.054</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0.623</w:t>
            </w:r>
          </w:p>
        </w:tc>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+0.677</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0.362</w:t>
            </w:r>
          </w:p>
        </w:tc>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−0.261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Transitional Memory CD4</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−0.031</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0.583</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+0.614</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0.517</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Treg</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−0.005</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0.424</w:t>
            </w:r>
          </w:p>
        </w:tc>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+0.430</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0.344</w:t>
            </w:r>
          </w:p>
        </w:tc>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−0.080</w:t>
            </w:r>
          </w:p>
        </w:tc>
      </w:tr>
    </w:tbl>
    <w:p>
      <w:pPr>
        <w:spacing w:after="120"/>
      </w:pPr>
      <w:r>
        <w:rPr>
          <w:i/>
          <w:iCs/>
          <w:sz w:val="22"/>
          <w:szCs w:val="22"/>
        </w:rPr>
        <w:t>Table 2. Glycolysis scores. HEU shows massive glycolytic upregulation vs HUU. HIV infection (PreART vs HEU) partially resolves it.</w:t>
      </w:r>
    </w:p>
    <w:p>
      <w:pPr>
        <w:spacing w:before="200" w:after="60"/>
      </w:pPr>
      <w:r>
        <w:rPr>
          <w:b/>
          <w:bCs/>
          <w:color w:val="2E75B6"/>
          <w:sz w:val="22"/>
          <w:szCs w:val="22"/>
        </w:rPr>
        <w:t>Figure 2A–2B. CD4 Glycolysis Bomb: HEU vs HUU</w:t>
      </w:r>
    </w:p>
    <w:p>
      <w:pPr>
        <w:spacing w:after="60"/>
      </w:pPr>
      <w:r>
        <w:rPr>
          <w:sz w:val="20"/>
          <w:szCs w:val="20"/>
        </w:rPr>
        <w:t>(A) Naive 1 CD4 glycolysis HEU vs HUU — single clean comparison. (B) Naive 1/2/3 CD4 side-by-side confirming universality across all naive subsets. Wilcoxon p-values shown.</w:t>
      </w:r>
    </w:p>
    <w:p>
      <w:pPr>
        <w:spacing w:after="160"/>
      </w:pPr>
      <w:r>
        <w:rPr>
          <w:i/>
          <w:iCs/>
          <w:color w:val="666666"/>
          <w:sz w:val="18"/>
          <w:szCs w:val="18"/>
        </w:rPr>
        <w:t>Files: Fig2A_Naive1_Glycolysis_HEUvsHUU.png, Fig2B_Naive123_Glyc_HEUvsHUU.png</w:t>
      </w:r>
    </w:p>
    <w:p>
      <w:pPr>
        <w:spacing w:before="200" w:after="60"/>
      </w:pPr>
      <w:r>
        <w:rPr>
          <w:b/>
          <w:bCs/>
          <w:color w:val="2E75B6"/>
          <w:sz w:val="22"/>
          <w:szCs w:val="22"/>
        </w:rPr>
        <w:t>Figure 2C. Naive 1 CD4: Glycolysis trajectory (HEI 3-way)</w:t>
      </w:r>
    </w:p>
    <w:p>
      <w:pPr>
        <w:spacing w:after="60"/>
      </w:pPr>
      <w:r>
        <w:rPr>
          <w:sz w:val="20"/>
          <w:szCs w:val="20"/>
        </w:rPr>
        <w:t>PreART/Suppressed/Unsuppressed showing ART resolves glycolysis in both arms (ART-intrinsic rescue).</w:t>
      </w:r>
    </w:p>
    <w:p>
      <w:pPr>
        <w:spacing w:after="160"/>
      </w:pPr>
      <w:r>
        <w:rPr>
          <w:i/>
          <w:iCs/>
          <w:color w:val="666666"/>
          <w:sz w:val="18"/>
          <w:szCs w:val="18"/>
        </w:rPr>
        <w:t>Files: Fig2C_Naive1_Glycolysis_3way.png</w:t>
      </w:r>
    </w:p>
    <w:p>
      <w:pPr>
        <w:pStyle w:val="3"/>
      </w:pPr>
      <w:r>
        <w:t>2.2 Naive CD4 Subsets: Differential Resilience</w:t>
      </w:r>
    </w:p>
    <w:p>
      <w:pPr>
        <w:spacing w:after="120"/>
      </w:pPr>
      <w:r>
        <w:rPr>
          <w:b/>
          <w:bCs/>
          <w:sz w:val="22"/>
          <w:szCs w:val="22"/>
        </w:rPr>
        <w:t xml:space="preserve">Naive 3 CD4 (IL4R+): most resilient. </w:t>
      </w:r>
      <w:r>
        <w:rPr>
          <w:sz w:val="22"/>
          <w:szCs w:val="22"/>
        </w:rPr>
        <w:t>Highest stemness under unsuppressed viremia (0.749), lowest exhaustion (−0.067). Th2-polarised phenotype may be protected by the neonatal Th2 environment.</w:t>
      </w:r>
    </w:p>
    <w:p>
      <w:pPr>
        <w:spacing w:after="120"/>
      </w:pPr>
      <w:r>
        <w:rPr>
          <w:b/>
          <w:bCs/>
          <w:sz w:val="22"/>
          <w:szCs w:val="22"/>
        </w:rPr>
        <w:t xml:space="preserve">Naive 2 CD4 (CD27hi): most IFN stressed. </w:t>
      </w:r>
      <w:r>
        <w:rPr>
          <w:sz w:val="22"/>
          <w:szCs w:val="22"/>
        </w:rPr>
        <w:t>Stress = 0.236 unsuppressed vs 0.119 (Naive 1) and 0.206 (Naive 3).</w:t>
      </w:r>
    </w:p>
    <w:p>
      <w:pPr>
        <w:spacing w:before="200" w:after="60"/>
      </w:pPr>
      <w:r>
        <w:rPr>
          <w:b/>
          <w:bCs/>
          <w:color w:val="2E75B6"/>
          <w:sz w:val="22"/>
          <w:szCs w:val="22"/>
        </w:rPr>
        <w:t>Figure 2F. Naive 1 vs Naive 3 CD4: Stemness (HEI 3-way)</w:t>
      </w:r>
    </w:p>
    <w:p>
      <w:pPr>
        <w:spacing w:after="60"/>
      </w:pPr>
      <w:r>
        <w:rPr>
          <w:sz w:val="20"/>
          <w:szCs w:val="20"/>
        </w:rPr>
        <w:t>Side-by-side comparison showing Naive 3 retains higher stemness under viremia than Naive 1.</w:t>
      </w:r>
    </w:p>
    <w:p>
      <w:pPr>
        <w:spacing w:after="160"/>
      </w:pPr>
      <w:r>
        <w:rPr>
          <w:i/>
          <w:iCs/>
          <w:color w:val="666666"/>
          <w:sz w:val="18"/>
          <w:szCs w:val="18"/>
        </w:rPr>
        <w:t>Files: Fig2F_Naive1v3_Stemness_3way.png</w:t>
      </w:r>
    </w:p>
    <w:p>
      <w:pPr>
        <w:pStyle w:val="3"/>
      </w:pPr>
      <w:r>
        <w:t>2.3 ISG+ CD4 T Cell: The IFN Sentinel</w:t>
      </w:r>
    </w:p>
    <w:p>
      <w:pPr>
        <w:spacing w:after="120"/>
      </w:pPr>
      <w:r>
        <w:rPr>
          <w:sz w:val="22"/>
          <w:szCs w:val="22"/>
        </w:rPr>
        <w:t>Most extreme IFN dynamics of any cell type. HEU Stress = 1.472 (10-fold higher than any other cluster). Under unsuppressed viremia, Stress = 0.971, IFN Ratio = −0.996. Suppression rescue: Δ IFN Ratio (Sup–Uns) = +0.880, largest of any cluster.</w:t>
      </w:r>
    </w:p>
    <w:p>
      <w:pPr>
        <w:spacing w:before="200" w:after="60"/>
      </w:pPr>
      <w:r>
        <w:rPr>
          <w:b/>
          <w:bCs/>
          <w:color w:val="2E75B6"/>
          <w:sz w:val="22"/>
          <w:szCs w:val="22"/>
        </w:rPr>
        <w:t>Figure 2D. ISG+ CD4: IFN Stress (HEU vs HUU)</w:t>
      </w:r>
    </w:p>
    <w:p>
      <w:pPr>
        <w:spacing w:after="60"/>
      </w:pPr>
      <w:r>
        <w:rPr>
          <w:sz w:val="20"/>
          <w:szCs w:val="20"/>
        </w:rPr>
        <w:t>Single compact panel showing the sentinel cluster’s extreme stress response to HIV exposure (HEU = 1.47 vs HUU = −0.08).</w:t>
      </w:r>
    </w:p>
    <w:p>
      <w:pPr>
        <w:spacing w:after="160"/>
      </w:pPr>
      <w:r>
        <w:rPr>
          <w:i/>
          <w:iCs/>
          <w:color w:val="666666"/>
          <w:sz w:val="18"/>
          <w:szCs w:val="18"/>
        </w:rPr>
        <w:t>Files: Fig2D_ISG_Stress_HEUvsHUU.png</w:t>
      </w:r>
    </w:p>
    <w:p>
      <w:pPr>
        <w:spacing w:before="200" w:after="60"/>
      </w:pPr>
      <w:r>
        <w:rPr>
          <w:b/>
          <w:bCs/>
          <w:color w:val="2E75B6"/>
          <w:sz w:val="22"/>
          <w:szCs w:val="22"/>
        </w:rPr>
        <w:t>Figure 2E. ISG+ CD4: IFN Ratio (HEI 3-way)</w:t>
      </w:r>
    </w:p>
    <w:p>
      <w:pPr>
        <w:spacing w:after="60"/>
      </w:pPr>
      <w:r>
        <w:rPr>
          <w:sz w:val="20"/>
          <w:szCs w:val="20"/>
        </w:rPr>
        <w:t>Largest ART rescue of any cluster: Sup–Uns = +0.880.</w:t>
      </w:r>
    </w:p>
    <w:p>
      <w:pPr>
        <w:spacing w:after="160"/>
      </w:pPr>
      <w:r>
        <w:rPr>
          <w:i/>
          <w:iCs/>
          <w:color w:val="666666"/>
          <w:sz w:val="18"/>
          <w:szCs w:val="18"/>
        </w:rPr>
        <w:t>Files: Fig2E_ISG_IFNRatio_3way.png</w:t>
      </w:r>
    </w:p>
    <w:p>
      <w:pPr>
        <w:spacing w:before="200" w:after="60"/>
      </w:pPr>
      <w:r>
        <w:rPr>
          <w:b/>
          <w:bCs/>
          <w:color w:val="2E75B6"/>
          <w:sz w:val="22"/>
          <w:szCs w:val="22"/>
        </w:rPr>
        <w:t>Figure 2G. Treg: IFN Ratio (HEI 3-way)</w:t>
      </w:r>
    </w:p>
    <w:p>
      <w:pPr>
        <w:spacing w:after="60"/>
      </w:pPr>
      <w:r>
        <w:rPr>
          <w:sz w:val="20"/>
          <w:szCs w:val="20"/>
        </w:rPr>
        <w:t>Treg IFN Ratio flips from negative (PreART) to positive (Suppressed) under ART.</w:t>
      </w:r>
    </w:p>
    <w:p>
      <w:pPr>
        <w:spacing w:after="160"/>
      </w:pPr>
      <w:r>
        <w:rPr>
          <w:i/>
          <w:iCs/>
          <w:color w:val="666666"/>
          <w:sz w:val="18"/>
          <w:szCs w:val="18"/>
        </w:rPr>
        <w:t>Files: Fig2G_Treg_IFNRatio_3way.png</w:t>
      </w:r>
    </w:p>
    <w:p>
      <w:r>
        <w:br w:type="page"/>
      </w:r>
    </w:p>
    <w:p>
      <w:pPr>
        <w:pStyle w:val="2"/>
      </w:pPr>
      <w:r>
        <w:t>3. NK Cell Compartment</w:t>
      </w:r>
    </w:p>
    <w:p>
      <w:pPr>
        <w:spacing w:after="120"/>
      </w:pPr>
      <w:r>
        <w:rPr>
          <w:b/>
          <w:bCs/>
          <w:sz w:val="22"/>
          <w:szCs w:val="22"/>
        </w:rPr>
        <w:t xml:space="preserve">Clusters: </w:t>
      </w:r>
      <w:r>
        <w:rPr>
          <w:sz w:val="22"/>
          <w:szCs w:val="22"/>
        </w:rPr>
        <w:t>CD56dim CD122hi/int/lo NK (IL-15Rβ gradient), CD56bright NK</w:t>
      </w:r>
    </w:p>
    <w:p>
      <w:pPr>
        <w:pStyle w:val="3"/>
      </w:pPr>
      <w:r>
        <w:t>3.1 The CD122 Spectrum: A Functional IFN Gradient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31"/>
        <w:gridCol w:w="1096"/>
        <w:gridCol w:w="1134"/>
        <w:gridCol w:w="1096"/>
        <w:gridCol w:w="1355"/>
        <w:gridCol w:w="25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Module</w:t>
            </w:r>
          </w:p>
        </w:tc>
        <w:tc>
          <w:tcPr>
            <w:tcW w:w="11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CD122lo</w:t>
            </w:r>
          </w:p>
        </w:tc>
        <w:tc>
          <w:tcPr>
            <w:tcW w:w="11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CD122int</w:t>
            </w:r>
          </w:p>
        </w:tc>
        <w:tc>
          <w:tcPr>
            <w:tcW w:w="11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CD122hi</w:t>
            </w:r>
          </w:p>
        </w:tc>
        <w:tc>
          <w:tcPr>
            <w:tcW w:w="12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CD56bright</w:t>
            </w:r>
          </w:p>
        </w:tc>
        <w:tc>
          <w:tcPr>
            <w:tcW w:w="266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Pattern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IFN Memory (Sup)</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0.198</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0.219</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0.262</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−0.005</w:t>
            </w:r>
          </w:p>
        </w:tc>
        <w:tc>
          <w:tcPr>
            <w:tcW w:w="26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Scales with CD122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IFN Ratio (Sup–Uns)</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+0.308</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+0.268</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+0.341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+0.020</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CD122hi best ART benefit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Exhaustion (Uns)</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0.233</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0.251</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0.220</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0.078</w:t>
            </w:r>
          </w:p>
        </w:tc>
        <w:tc>
          <w:tcPr>
            <w:tcW w:w="26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CD56dim exhausted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Cytotoxicity (Pre)</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2.083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2.225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1.860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1.646</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CD122int highest</w:t>
            </w:r>
          </w:p>
        </w:tc>
      </w:tr>
    </w:tbl>
    <w:p>
      <w:pPr>
        <w:spacing w:after="120"/>
      </w:pPr>
      <w:r>
        <w:rPr>
          <w:i/>
          <w:iCs/>
          <w:sz w:val="22"/>
          <w:szCs w:val="22"/>
        </w:rPr>
        <w:t>Table 3. NK functional modules across CD122 spectrum.</w:t>
      </w:r>
    </w:p>
    <w:p>
      <w:pPr>
        <w:spacing w:before="200" w:after="60"/>
      </w:pPr>
      <w:r>
        <w:rPr>
          <w:b/>
          <w:bCs/>
          <w:color w:val="2E75B6"/>
          <w:sz w:val="22"/>
          <w:szCs w:val="22"/>
        </w:rPr>
        <w:t>Figure 3A–3B. NK CD122 gradient: IFN Ratio and Memory (HEI 3-way)</w:t>
      </w:r>
    </w:p>
    <w:p>
      <w:pPr>
        <w:spacing w:after="60"/>
      </w:pPr>
      <w:r>
        <w:rPr>
          <w:sz w:val="20"/>
          <w:szCs w:val="20"/>
        </w:rPr>
        <w:t>CD122lo vs CD122hi side-by-side. (A) IFN Ratio: CD122hi achieves larger ART benefit. (B) IFN Memory: scales with CD122 expression under suppression.</w:t>
      </w:r>
    </w:p>
    <w:p>
      <w:pPr>
        <w:spacing w:after="160"/>
      </w:pPr>
      <w:r>
        <w:rPr>
          <w:i/>
          <w:iCs/>
          <w:color w:val="666666"/>
          <w:sz w:val="18"/>
          <w:szCs w:val="18"/>
        </w:rPr>
        <w:t>Files: Fig3A_CD122_IFNRatio_3way.png, Fig3B_CD122_IFNMemory_3way.png</w:t>
      </w:r>
    </w:p>
    <w:p>
      <w:pPr>
        <w:pStyle w:val="3"/>
      </w:pPr>
      <w:r>
        <w:t>3.2 CD56bright NK: Aberrant Activation Normalises</w:t>
      </w:r>
    </w:p>
    <w:p>
      <w:pPr>
        <w:spacing w:after="120"/>
      </w:pPr>
      <w:r>
        <w:rPr>
          <w:sz w:val="22"/>
          <w:szCs w:val="22"/>
        </w:rPr>
        <w:t>Pre-ART cytotoxicity = 1.646 (aberrant for cytokine producers). ART suppression normalises to 0.977 (Δ = −0.668). Minimal IFN Ratio divergence (Sup–Uns = +0.020) — CD56bright does not participate in IFN rebalancing.</w:t>
      </w:r>
    </w:p>
    <w:p>
      <w:pPr>
        <w:spacing w:before="200" w:after="60"/>
      </w:pPr>
      <w:r>
        <w:rPr>
          <w:b/>
          <w:bCs/>
          <w:color w:val="2E75B6"/>
          <w:sz w:val="22"/>
          <w:szCs w:val="22"/>
        </w:rPr>
        <w:t>Figure 3C. CD122hi NK: Exhaustion (PreART vs HEU)</w:t>
      </w:r>
    </w:p>
    <w:p>
      <w:pPr>
        <w:spacing w:after="60"/>
      </w:pPr>
      <w:r>
        <w:rPr>
          <w:sz w:val="20"/>
          <w:szCs w:val="20"/>
        </w:rPr>
        <w:t>Infection drives NK exhaustion: age-matched comparison isolating the effect of HIV.</w:t>
      </w:r>
    </w:p>
    <w:p>
      <w:pPr>
        <w:spacing w:after="160"/>
      </w:pPr>
      <w:r>
        <w:rPr>
          <w:i/>
          <w:iCs/>
          <w:color w:val="666666"/>
          <w:sz w:val="18"/>
          <w:szCs w:val="18"/>
        </w:rPr>
        <w:t>Files: Fig3C_CD122hi_Exhaust_PrevsHEU.png</w:t>
      </w:r>
    </w:p>
    <w:p>
      <w:pPr>
        <w:spacing w:before="200" w:after="60"/>
      </w:pPr>
      <w:r>
        <w:rPr>
          <w:b/>
          <w:bCs/>
          <w:color w:val="2E75B6"/>
          <w:sz w:val="22"/>
          <w:szCs w:val="22"/>
        </w:rPr>
        <w:t>Figure 3D. CD56bright: Cytotoxicity (HEI 3-way)</w:t>
      </w:r>
    </w:p>
    <w:p>
      <w:pPr>
        <w:spacing w:after="60"/>
      </w:pPr>
      <w:r>
        <w:rPr>
          <w:sz w:val="20"/>
          <w:szCs w:val="20"/>
        </w:rPr>
        <w:t>Aberrant pre-ART cytotoxicity normalises under ART.</w:t>
      </w:r>
    </w:p>
    <w:p>
      <w:pPr>
        <w:spacing w:after="160"/>
      </w:pPr>
      <w:r>
        <w:rPr>
          <w:i/>
          <w:iCs/>
          <w:color w:val="666666"/>
          <w:sz w:val="18"/>
          <w:szCs w:val="18"/>
        </w:rPr>
        <w:t>Files: Fig3D_CD56bright_Cytotox_3way.png</w:t>
      </w:r>
    </w:p>
    <w:p>
      <w:pPr>
        <w:pStyle w:val="3"/>
      </w:pPr>
      <w:r>
        <w:t>3.3 NK VL Correlations: Protein-Driven</w:t>
      </w:r>
    </w:p>
    <w:p>
      <w:pPr>
        <w:spacing w:after="120"/>
      </w:pPr>
      <w:r>
        <w:rPr>
          <w:sz w:val="22"/>
          <w:szCs w:val="22"/>
        </w:rPr>
        <w:t>Top VL correlations are surface protein: PS_Terminal_Diff_Protein (ρ = 0.401), PS_Activation_Protein (ρ = 0.274–0.359), PS_Exhaustion_Protein (ρ = 0.295). RNA exhaustion is weakly negative. NK cells respond to VL through surface receptor modulation rather than transcriptional reprogramming.</w:t>
      </w:r>
    </w:p>
    <w:p>
      <w:pPr>
        <w:spacing w:before="200" w:after="60"/>
      </w:pPr>
      <w:r>
        <w:rPr>
          <w:b/>
          <w:bCs/>
          <w:color w:val="2E75B6"/>
          <w:sz w:val="22"/>
          <w:szCs w:val="22"/>
        </w:rPr>
        <w:t>Figure 3E. NK IFN Ratio divergence dot plot</w:t>
      </w:r>
    </w:p>
    <w:p>
      <w:pPr>
        <w:spacing w:after="60"/>
      </w:pPr>
      <w:r>
        <w:rPr>
          <w:sz w:val="20"/>
          <w:szCs w:val="20"/>
        </w:rPr>
        <w:t>All 4 NK subsets. CD122hi shows largest suppressed–unsuppressed separation.</w:t>
      </w:r>
    </w:p>
    <w:p>
      <w:pPr>
        <w:spacing w:after="160"/>
      </w:pPr>
      <w:r>
        <w:rPr>
          <w:i/>
          <w:iCs/>
          <w:color w:val="666666"/>
          <w:sz w:val="18"/>
          <w:szCs w:val="18"/>
        </w:rPr>
        <w:t>Files: Fig3E_NK_Divergence.png</w:t>
      </w:r>
    </w:p>
    <w:p>
      <w:r>
        <w:br w:type="page"/>
      </w:r>
    </w:p>
    <w:p>
      <w:pPr>
        <w:pStyle w:val="2"/>
      </w:pPr>
      <w:r>
        <w:t>4. Type I Interferon Landscape</w:t>
      </w:r>
    </w:p>
    <w:p>
      <w:pPr>
        <w:spacing w:after="120"/>
      </w:pPr>
      <w:r>
        <w:rPr>
          <w:b/>
          <w:bCs/>
          <w:sz w:val="22"/>
          <w:szCs w:val="22"/>
        </w:rPr>
        <w:t xml:space="preserve">Modules: </w:t>
      </w:r>
      <w:r>
        <w:rPr>
          <w:sz w:val="22"/>
          <w:szCs w:val="22"/>
        </w:rPr>
        <w:t>IFN Memory (</w:t>
      </w:r>
      <w:r>
        <w:rPr>
          <w:rFonts w:ascii="Courier New" w:hAnsi="Courier New" w:eastAsia="Courier New" w:cs="Courier New"/>
          <w:i/>
          <w:iCs/>
          <w:sz w:val="22"/>
          <w:szCs w:val="22"/>
        </w:rPr>
        <w:t>IFIT1, IFIT3, ISG15, MX1</w:t>
      </w:r>
      <w:r>
        <w:rPr>
          <w:sz w:val="22"/>
          <w:szCs w:val="22"/>
        </w:rPr>
        <w:t xml:space="preserve"> — good), Stress/IFN Acute (</w:t>
      </w:r>
      <w:r>
        <w:rPr>
          <w:rFonts w:ascii="Courier New" w:hAnsi="Courier New" w:eastAsia="Courier New" w:cs="Courier New"/>
          <w:i/>
          <w:iCs/>
          <w:sz w:val="22"/>
          <w:szCs w:val="22"/>
        </w:rPr>
        <w:t>HSPA1A, IFI27</w:t>
      </w:r>
      <w:r>
        <w:rPr>
          <w:sz w:val="22"/>
          <w:szCs w:val="22"/>
        </w:rPr>
        <w:t xml:space="preserve"> — bad), IFN Signalling (</w:t>
      </w:r>
      <w:r>
        <w:rPr>
          <w:rFonts w:ascii="Courier New" w:hAnsi="Courier New" w:eastAsia="Courier New" w:cs="Courier New"/>
          <w:i/>
          <w:iCs/>
          <w:sz w:val="22"/>
          <w:szCs w:val="22"/>
        </w:rPr>
        <w:t>STAT1, STAT2, IRF7</w:t>
      </w:r>
      <w:r>
        <w:rPr>
          <w:sz w:val="22"/>
          <w:szCs w:val="22"/>
        </w:rPr>
        <w:t xml:space="preserve"> — machinery), IFN Negative Reg (</w:t>
      </w:r>
      <w:r>
        <w:rPr>
          <w:rFonts w:ascii="Courier New" w:hAnsi="Courier New" w:eastAsia="Courier New" w:cs="Courier New"/>
          <w:i/>
          <w:iCs/>
          <w:sz w:val="22"/>
          <w:szCs w:val="22"/>
        </w:rPr>
        <w:t>USP18, SOCS1</w:t>
      </w:r>
      <w:r>
        <w:rPr>
          <w:sz w:val="22"/>
          <w:szCs w:val="22"/>
        </w:rPr>
        <w:t xml:space="preserve"> — feedback).</w:t>
      </w:r>
    </w:p>
    <w:p>
      <w:pPr>
        <w:pStyle w:val="3"/>
      </w:pPr>
      <w:r>
        <w:t>4.1 ART Flips IFN Ratio in 22/31 Clusters</w:t>
      </w:r>
    </w:p>
    <w:p>
      <w:pPr>
        <w:spacing w:after="120"/>
      </w:pPr>
      <w:r>
        <w:rPr>
          <w:sz w:val="22"/>
          <w:szCs w:val="22"/>
        </w:rPr>
        <w:t>Under suppressive ART, 22 of 31 populations achieve positive IFN Ratio (primed) where unsuppressed cells are negative (stressed). This extends across CD4, CD8, NK, γδ T, MAIT, B, and myeloid populations.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4"/>
        <w:gridCol w:w="1084"/>
        <w:gridCol w:w="1392"/>
        <w:gridCol w:w="1644"/>
        <w:gridCol w:w="1239"/>
        <w:gridCol w:w="18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Cluster</w:t>
            </w:r>
          </w:p>
        </w:tc>
        <w:tc>
          <w:tcPr>
            <w:tcW w:w="11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PreART</w:t>
            </w:r>
          </w:p>
        </w:tc>
        <w:tc>
          <w:tcPr>
            <w:tcW w:w="13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Suppressed</w:t>
            </w:r>
          </w:p>
        </w:tc>
        <w:tc>
          <w:tcPr>
            <w:tcW w:w="15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Unsuppressed</w:t>
            </w:r>
          </w:p>
        </w:tc>
        <w:tc>
          <w:tcPr>
            <w:tcW w:w="126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Δ Sup–Uns</w:t>
            </w:r>
          </w:p>
        </w:tc>
        <w:tc>
          <w:tcPr>
            <w:tcW w:w="20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Flip?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ISG+ CD4 T cell</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−0.544</w:t>
            </w:r>
          </w:p>
        </w:tc>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−0.116</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−0.996</w:t>
            </w:r>
          </w:p>
        </w:tc>
        <w:tc>
          <w:tcPr>
            <w:tcW w:w="12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+0.880</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TEMRA/CTL CD8</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−0.037</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+0.150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−0.215</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+0.364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Pre→Sup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CD56dim CD122hi NK</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+0.002</w:t>
            </w:r>
          </w:p>
        </w:tc>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+0.230</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−0.111</w:t>
            </w:r>
          </w:p>
        </w:tc>
        <w:tc>
          <w:tcPr>
            <w:tcW w:w="12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+0.341</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Sup only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Transitional Memory CD4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+0.026</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+0.146</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−0.210</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+0.356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Sup only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Treg</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−0.026</w:t>
            </w:r>
          </w:p>
        </w:tc>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+0.120</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−0.170</w:t>
            </w:r>
          </w:p>
        </w:tc>
        <w:tc>
          <w:tcPr>
            <w:tcW w:w="12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+0.290</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Pre→Sup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CD8+ MAIT cell</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−0.015</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+0.169</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−0.127</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+0.296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Pre→Sup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Activated B cell</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−0.099</w:t>
            </w:r>
          </w:p>
        </w:tc>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+0.175</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−0.109</w:t>
            </w:r>
          </w:p>
        </w:tc>
        <w:tc>
          <w:tcPr>
            <w:tcW w:w="12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+0.283</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Pre→Sup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Vd1 γδ T cell</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−0.019</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+0.098</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−0.109</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+0.207</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Pre→Sup ✓</w:t>
            </w:r>
          </w:p>
        </w:tc>
      </w:tr>
    </w:tbl>
    <w:p>
      <w:pPr>
        <w:spacing w:after="120"/>
      </w:pPr>
      <w:r>
        <w:rPr>
          <w:i/>
          <w:iCs/>
          <w:sz w:val="22"/>
          <w:szCs w:val="22"/>
        </w:rPr>
        <w:t>Table 4. IFN Ratio across ART states. Flip = cluster where suppression achieves positive ratio while unsuppressed remains negative.</w:t>
      </w:r>
    </w:p>
    <w:p>
      <w:pPr>
        <w:spacing w:before="200" w:after="60"/>
      </w:pPr>
      <w:r>
        <w:rPr>
          <w:b/>
          <w:bCs/>
          <w:color w:val="2E75B6"/>
          <w:sz w:val="22"/>
          <w:szCs w:val="22"/>
        </w:rPr>
        <w:t>Figure 4A. Pan-immune IFN Ratio: 3 lineages (HEI 3-way)</w:t>
      </w:r>
    </w:p>
    <w:p>
      <w:pPr>
        <w:spacing w:after="60"/>
      </w:pPr>
      <w:r>
        <w:rPr>
          <w:sz w:val="20"/>
          <w:szCs w:val="20"/>
        </w:rPr>
        <w:t>One representative cluster per lineage (TEMRA CD8, Transitional Memory CD4, CD122hi NK) across PreART/Suppressed/Unsuppressed. Demonstrates universal IFN flip under ART.</w:t>
      </w:r>
    </w:p>
    <w:p>
      <w:pPr>
        <w:spacing w:after="160"/>
      </w:pPr>
      <w:r>
        <w:rPr>
          <w:i/>
          <w:iCs/>
          <w:color w:val="666666"/>
          <w:sz w:val="18"/>
          <w:szCs w:val="18"/>
        </w:rPr>
        <w:t>Files: Fig4A_3lineages_IFNRatio_3way.png</w:t>
      </w:r>
    </w:p>
    <w:p>
      <w:pPr>
        <w:pStyle w:val="3"/>
      </w:pPr>
      <w:r>
        <w:t>4.2 IFN Stress: Unsuppressed Actively Worse Than Pre-ART</w:t>
      </w:r>
    </w:p>
    <w:p>
      <w:pPr>
        <w:spacing w:after="120"/>
      </w:pPr>
      <w:r>
        <w:rPr>
          <w:sz w:val="22"/>
          <w:szCs w:val="22"/>
        </w:rPr>
        <w:t>12 clusters show frank stress divergence. Worst active damage: CD4dim Naive (Δ Uns–Pre = +0.455), Naive Intermediate CD8 (+0.399), ISG+ CD4 (+0.394). Failed ART imposes additional IFN stress beyond pre-treatment.</w:t>
      </w:r>
    </w:p>
    <w:p>
      <w:pPr>
        <w:spacing w:before="200" w:after="60"/>
      </w:pPr>
      <w:r>
        <w:rPr>
          <w:b/>
          <w:bCs/>
          <w:color w:val="2E75B6"/>
          <w:sz w:val="22"/>
          <w:szCs w:val="22"/>
        </w:rPr>
        <w:t>Figure 4B. IFN Stress: 3 lineage representatives (HEI 3-way)</w:t>
      </w:r>
    </w:p>
    <w:p>
      <w:pPr>
        <w:spacing w:after="60"/>
      </w:pPr>
      <w:r>
        <w:rPr>
          <w:sz w:val="20"/>
          <w:szCs w:val="20"/>
        </w:rPr>
        <w:t>Same 3 clusters showing stress divergence: suppressed resolves, unsuppressed worsens from PreART.</w:t>
      </w:r>
    </w:p>
    <w:p>
      <w:pPr>
        <w:spacing w:after="160"/>
      </w:pPr>
      <w:r>
        <w:rPr>
          <w:i/>
          <w:iCs/>
          <w:color w:val="666666"/>
          <w:sz w:val="18"/>
          <w:szCs w:val="18"/>
        </w:rPr>
        <w:t>Files: Fig4B_3lineages_Stress_3way.png</w:t>
      </w:r>
    </w:p>
    <w:p>
      <w:pPr>
        <w:pStyle w:val="3"/>
      </w:pPr>
      <w:r>
        <w:t>4.3 IFN Signalling Machinery Depleted by Viral Load</w:t>
      </w:r>
    </w:p>
    <w:p>
      <w:pPr>
        <w:spacing w:after="120"/>
      </w:pPr>
      <w:r>
        <w:rPr>
          <w:sz w:val="22"/>
          <w:szCs w:val="22"/>
        </w:rPr>
        <w:t>IFN Signalling (</w:t>
      </w:r>
      <w:r>
        <w:rPr>
          <w:rFonts w:ascii="Courier New" w:hAnsi="Courier New" w:eastAsia="Courier New" w:cs="Courier New"/>
          <w:i/>
          <w:iCs/>
          <w:sz w:val="22"/>
          <w:szCs w:val="22"/>
        </w:rPr>
        <w:t>STAT1, STAT2, IRF7, IRF9, IRF1, IRF3</w:t>
      </w:r>
      <w:r>
        <w:rPr>
          <w:sz w:val="22"/>
          <w:szCs w:val="22"/>
        </w:rPr>
        <w:t>) shows significant negative VL correlations in 21 of 24 tested clusters (average ρ = −0.163). The strongest depletions occur in populations critical for memory programming: Naive Intermediate CD8 (ρ = −0.459), Transitional Memory CD4 (ρ = −0.394), Activated B cell (ρ = −0.321), Tscm CD8 (ρ = −0.304), pDC (ρ = −0.287).</w:t>
      </w:r>
    </w:p>
    <w:p>
      <w:pPr>
        <w:spacing w:after="120"/>
      </w:pPr>
      <w:r>
        <w:rPr>
          <w:sz w:val="22"/>
          <w:szCs w:val="22"/>
        </w:rPr>
        <w:t>This is a graded dose–response, not a threshold effect. Higher viral load progressively strips the IFN signalling apparatus from the cells that most need it. The trajectory shows partial recovery: HEU IFN Signalling is lowest (depleted by exposure), PreART partially recovers (infection upregulates it defensively), and ART determines whether it stabilises (suppressed) or continues depleting (unsuppressed).</w:t>
      </w:r>
    </w:p>
    <w:p>
      <w:pPr>
        <w:pStyle w:val="3"/>
      </w:pPr>
      <w:r>
        <w:t>4.4 IFN Negative Regulation: A Split Story</w:t>
      </w:r>
    </w:p>
    <w:p>
      <w:pPr>
        <w:spacing w:after="120"/>
      </w:pPr>
      <w:r>
        <w:rPr>
          <w:sz w:val="22"/>
          <w:szCs w:val="22"/>
        </w:rPr>
        <w:t>IFN negative regulators (</w:t>
      </w:r>
      <w:r>
        <w:rPr>
          <w:rFonts w:ascii="Courier New" w:hAnsi="Courier New" w:eastAsia="Courier New" w:cs="Courier New"/>
          <w:i/>
          <w:iCs/>
          <w:sz w:val="22"/>
          <w:szCs w:val="22"/>
        </w:rPr>
        <w:t>USP18, SOCS1, SOCS3</w:t>
      </w:r>
      <w:r>
        <w:rPr>
          <w:sz w:val="22"/>
          <w:szCs w:val="22"/>
        </w:rPr>
        <w:t>) show opposing VL correlations by lineage, revealing two coping strategies:</w:t>
      </w:r>
    </w:p>
    <w:p>
      <w:pPr>
        <w:spacing w:after="120"/>
      </w:pPr>
      <w:r>
        <w:rPr>
          <w:b/>
          <w:bCs/>
          <w:sz w:val="22"/>
          <w:szCs w:val="22"/>
        </w:rPr>
        <w:t xml:space="preserve">CD8/NK effectors lose negative regulators with VL: </w:t>
      </w:r>
      <w:r>
        <w:rPr>
          <w:sz w:val="22"/>
          <w:szCs w:val="22"/>
        </w:rPr>
        <w:t>Tscm CD8 (ρ = −0.329), Activated B cell (ρ = −0.324), TEMRA/CTL CD8 (ρ = −0.133), all NK subsets (ρ = −0.131 to −0.188). Without feedback inhibition, these cells cannot shut off IFN signalling → sustained IFN damage.</w:t>
      </w:r>
    </w:p>
    <w:p>
      <w:pPr>
        <w:spacing w:after="120"/>
      </w:pPr>
      <w:r>
        <w:rPr>
          <w:b/>
          <w:bCs/>
          <w:sz w:val="22"/>
          <w:szCs w:val="22"/>
        </w:rPr>
        <w:t xml:space="preserve">CD4 naive cells upregulate negative regulators: </w:t>
      </w:r>
      <w:r>
        <w:rPr>
          <w:sz w:val="22"/>
          <w:szCs w:val="22"/>
        </w:rPr>
        <w:t>Naive 1 CD4 (ρ = +0.129), Naive 2 CD4 (ρ = +0.120), Treg (ρ = +0.131). Self-protection by dampening IFN signalling — limits damage but creates IFN resistance, potentially compromising responses to therapeutic vaccination strategies relying on IFN as a third signal.</w:t>
      </w:r>
    </w:p>
    <w:p>
      <w:pPr>
        <w:spacing w:before="200" w:after="60"/>
      </w:pPr>
      <w:r>
        <w:rPr>
          <w:b/>
          <w:bCs/>
          <w:color w:val="2E75B6"/>
          <w:sz w:val="22"/>
          <w:szCs w:val="22"/>
        </w:rPr>
        <w:t>Figure 4C. IFN Signalling and Negative Regulation (key clusters)</w:t>
      </w:r>
    </w:p>
    <w:p>
      <w:pPr>
        <w:spacing w:after="60"/>
      </w:pPr>
      <w:r>
        <w:rPr>
          <w:sz w:val="20"/>
          <w:szCs w:val="20"/>
        </w:rPr>
        <w:t>Violin plots for key clusters showing IFN Signalling machinery and Negative Regulation. Demonstrates lineage-specific coping: CD8/NK lose regulators (damage), CD4 upregulate them (resistance).</w:t>
      </w:r>
    </w:p>
    <w:p>
      <w:pPr>
        <w:spacing w:after="160"/>
      </w:pPr>
      <w:r>
        <w:rPr>
          <w:i/>
          <w:iCs/>
          <w:color w:val="666666"/>
          <w:sz w:val="18"/>
          <w:szCs w:val="18"/>
        </w:rPr>
        <w:t>Files: Fig4C_IFN_Signalling_5way.png, Fig4C_IFN_Negative_Reg_5way.png</w:t>
      </w:r>
    </w:p>
    <w:p>
      <w:pPr>
        <w:pStyle w:val="3"/>
      </w:pPr>
      <w:r>
        <w:t>4.5 Monocytes: Producers vs Responders</w:t>
      </w:r>
    </w:p>
    <w:p>
      <w:pPr>
        <w:spacing w:after="120"/>
      </w:pPr>
      <w:r>
        <w:rPr>
          <w:sz w:val="22"/>
          <w:szCs w:val="22"/>
        </w:rPr>
        <w:t>Classical monocytes remain IFN Ratio–negative across all conditions (best: −0.061 suppressed, worst: −0.265 unsuppressed). They produce type I IFN but cannot retain an IFN memory signature. Non-classical monocytes are the only myeloid population achieving positive IFN Ratio under ART (+0.285), functioning as IFN-primed vascular sentinels. pDCs remain deeply negative (−0.065 to −0.186), consistent with their role as IFN production factories that burn through the programme.</w:t>
      </w:r>
    </w:p>
    <w:p>
      <w:pPr>
        <w:spacing w:before="200" w:after="60"/>
      </w:pPr>
      <w:r>
        <w:rPr>
          <w:b/>
          <w:bCs/>
          <w:color w:val="2E75B6"/>
          <w:sz w:val="22"/>
          <w:szCs w:val="22"/>
        </w:rPr>
        <w:t>Figure 4C. Monocyte IFN Ratio (HEI 3-way)</w:t>
      </w:r>
    </w:p>
    <w:p>
      <w:pPr>
        <w:spacing w:after="60"/>
      </w:pPr>
      <w:r>
        <w:rPr>
          <w:sz w:val="20"/>
          <w:szCs w:val="20"/>
        </w:rPr>
        <w:t>Classical vs Non-classical Monocyte across PreART/Suppressed/Unsuppressed. Only non-classical achieves positive ratio under ART.</w:t>
      </w:r>
    </w:p>
    <w:p>
      <w:pPr>
        <w:spacing w:after="160"/>
      </w:pPr>
      <w:r>
        <w:rPr>
          <w:i/>
          <w:iCs/>
          <w:color w:val="666666"/>
          <w:sz w:val="18"/>
          <w:szCs w:val="18"/>
        </w:rPr>
        <w:t>Files: Fig4C_Monocytes_IFNRatio_3way.png</w:t>
      </w:r>
    </w:p>
    <w:p>
      <w:pPr>
        <w:spacing w:before="200" w:after="60"/>
      </w:pPr>
      <w:r>
        <w:rPr>
          <w:b/>
          <w:bCs/>
          <w:color w:val="2E75B6"/>
          <w:sz w:val="22"/>
          <w:szCs w:val="22"/>
        </w:rPr>
        <w:t>Figure 4D–4E. Grand divergence: IFN Ratio and Glycolysis (all 31 clusters)</w:t>
      </w:r>
    </w:p>
    <w:p>
      <w:pPr>
        <w:spacing w:after="60"/>
      </w:pPr>
      <w:r>
        <w:rPr>
          <w:sz w:val="20"/>
          <w:szCs w:val="20"/>
        </w:rPr>
        <w:t>(D) IFN Ratio: 22/31 clusters diverge — suppressed improves, unsuppressed worsens. (E) Glycolysis: 0/31 diverge — both arms resolve (ART-intrinsic rescue). Each cluster has suppressed Δ (teal) and unsuppressed Δ (gold) from PreART.</w:t>
      </w:r>
    </w:p>
    <w:p>
      <w:pPr>
        <w:spacing w:after="160"/>
      </w:pPr>
      <w:r>
        <w:rPr>
          <w:i/>
          <w:iCs/>
          <w:color w:val="666666"/>
          <w:sz w:val="18"/>
          <w:szCs w:val="18"/>
        </w:rPr>
        <w:t>Files: Fig4D_Grand_IFN_Divergence.png, Fig4E_Grand_Glyc_Divergence.png</w:t>
      </w:r>
    </w:p>
    <w:p>
      <w:r>
        <w:br w:type="page"/>
      </w:r>
    </w:p>
    <w:p>
      <w:pPr>
        <w:pStyle w:val="2"/>
      </w:pPr>
      <w:r>
        <w:t>5. Viral Load Dose–Response Relationships</w:t>
      </w:r>
    </w:p>
    <w:p>
      <w:pPr>
        <w:pStyle w:val="3"/>
      </w:pPr>
      <w:r>
        <w:t>5.1 Glycolysis: Universal Positive VL Correlation</w:t>
      </w:r>
    </w:p>
    <w:p>
      <w:pPr>
        <w:spacing w:after="120"/>
      </w:pPr>
      <w:r>
        <w:rPr>
          <w:sz w:val="22"/>
          <w:szCs w:val="22"/>
        </w:rPr>
        <w:t>24/24 significant clusters positive (ρ avg = +0.254). No exceptions. Strongest: Activated B cell (ρ = +0.478), Tscm CD8 (+0.467), Naive 2 CD4 (+0.395).</w:t>
      </w:r>
    </w:p>
    <w:p>
      <w:pPr>
        <w:pStyle w:val="3"/>
      </w:pPr>
      <w:r>
        <w:t>5.2 The Two-Axis Model</w:t>
      </w:r>
    </w:p>
    <w:p>
      <w:pPr>
        <w:spacing w:after="120"/>
      </w:pPr>
      <w:r>
        <w:rPr>
          <w:b/>
          <w:bCs/>
          <w:sz w:val="22"/>
          <w:szCs w:val="22"/>
        </w:rPr>
        <w:t xml:space="preserve">Axis 1 — Metabolic rescue (ART-intrinsic, VL-independent): </w:t>
      </w:r>
      <w:r>
        <w:rPr>
          <w:sz w:val="22"/>
          <w:szCs w:val="22"/>
        </w:rPr>
        <w:t>Glycolysis resolves in both suppressed AND unsuppressed. 0 divergent / 30 same-direction clusters.</w:t>
      </w:r>
    </w:p>
    <w:p>
      <w:pPr>
        <w:spacing w:after="120"/>
      </w:pPr>
      <w:r>
        <w:rPr>
          <w:b/>
          <w:bCs/>
          <w:sz w:val="22"/>
          <w:szCs w:val="22"/>
        </w:rPr>
        <w:t xml:space="preserve">Axis 2 — IFN rebalancing (requires viral suppression): </w:t>
      </w:r>
      <w:r>
        <w:rPr>
          <w:sz w:val="22"/>
          <w:szCs w:val="22"/>
        </w:rPr>
        <w:t>22 divergent / 5 same-direction. Failed ART actively worsens IFN balance beyond pre-treatment.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7"/>
        <w:gridCol w:w="1205"/>
        <w:gridCol w:w="1184"/>
        <w:gridCol w:w="900"/>
        <w:gridCol w:w="1095"/>
        <w:gridCol w:w="31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Module</w:t>
            </w:r>
          </w:p>
        </w:tc>
        <w:tc>
          <w:tcPr>
            <w:tcW w:w="11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Divergent</w:t>
            </w:r>
          </w:p>
        </w:tc>
        <w:tc>
          <w:tcPr>
            <w:tcW w:w="12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Same Dir</w:t>
            </w:r>
          </w:p>
        </w:tc>
        <w:tc>
          <w:tcPr>
            <w:tcW w:w="9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Frozen</w:t>
            </w:r>
          </w:p>
        </w:tc>
        <w:tc>
          <w:tcPr>
            <w:tcW w:w="11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No Change</w:t>
            </w:r>
          </w:p>
        </w:tc>
        <w:tc>
          <w:tcPr>
            <w:tcW w:w="326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Interpretation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IFN Ratio</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22</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5</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w:t>
            </w:r>
          </w:p>
        </w:tc>
        <w:tc>
          <w:tcPr>
            <w:tcW w:w="32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Requires viral suppression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Stress/IFN</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12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16</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2</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1</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Partially VL-dependent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Exhaustion</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8</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8</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5</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10</w:t>
            </w:r>
          </w:p>
        </w:tc>
        <w:tc>
          <w:tcPr>
            <w:tcW w:w="32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Mixed; effectors diverge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Glycolysis</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30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ART-intrinsic rescue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Metabolic Ratio</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27</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1</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1</w:t>
            </w:r>
          </w:p>
        </w:tc>
        <w:tc>
          <w:tcPr>
            <w:tcW w:w="32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ART-intrinsic rescue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Stemness</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5</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17</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2</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Mostly shared improvement</w:t>
            </w:r>
          </w:p>
        </w:tc>
      </w:tr>
    </w:tbl>
    <w:p>
      <w:pPr>
        <w:spacing w:after="120"/>
      </w:pPr>
      <w:r>
        <w:rPr>
          <w:i/>
          <w:iCs/>
          <w:sz w:val="22"/>
          <w:szCs w:val="22"/>
        </w:rPr>
        <w:t>Table 5. Trajectory pattern classification per module.</w:t>
      </w:r>
    </w:p>
    <w:p>
      <w:pPr>
        <w:pStyle w:val="3"/>
      </w:pPr>
      <w:r>
        <w:t>5.3 Sample-Level VL Dose–Response</w:t>
      </w:r>
    </w:p>
    <w:tbl>
      <w:tblPr>
        <w:tblStyle w:val="9"/>
        <w:tblW w:w="7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5"/>
        <w:gridCol w:w="1183"/>
        <w:gridCol w:w="1496"/>
        <w:gridCol w:w="1134"/>
        <w:gridCol w:w="968"/>
        <w:gridCol w:w="1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Sample</w:t>
            </w:r>
          </w:p>
        </w:tc>
        <w:tc>
          <w:tcPr>
            <w:tcW w:w="12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VL</w:t>
            </w:r>
          </w:p>
        </w:tc>
        <w:tc>
          <w:tcPr>
            <w:tcW w:w="15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Timepoint</w:t>
            </w:r>
          </w:p>
        </w:tc>
        <w:tc>
          <w:tcPr>
            <w:tcW w:w="12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IFN Ratio</w:t>
            </w:r>
          </w:p>
        </w:tc>
        <w:tc>
          <w:tcPr>
            <w:tcW w:w="10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Stress</w:t>
            </w:r>
          </w:p>
        </w:tc>
        <w:tc>
          <w:tcPr>
            <w:tcW w:w="1200" w:type="dxa"/>
            <w:tcBorders>
              <w:top w:val="single" w:color="CCCCCC" w:sz="0" w:space="0"/>
              <w:left w:val="single" w:color="CCCCCC" w:sz="0" w:space="0"/>
              <w:bottom w:val="single" w:color="CCCCCC" w:sz="0" w:space="0"/>
              <w:right w:val="single" w:color="CCCCCC" w:sz="0" w:space="0"/>
            </w:tcBorders>
            <w:shd w:val="clear" w:color="auto" w:fill="1B2A4A"/>
            <w:tcMar>
              <w:top w:w="60" w:type="dxa"/>
              <w:left w:w="100" w:type="dxa"/>
              <w:bottom w:w="60" w:type="dxa"/>
              <w:right w:w="100" w:type="dxa"/>
            </w:tcMar>
          </w:tcPr>
          <w:p>
            <w:r>
              <w:rPr>
                <w:rFonts w:ascii="Arial" w:hAnsi="Arial" w:eastAsia="Arial" w:cs="Arial"/>
                <w:b/>
                <w:bCs/>
                <w:color w:val="FFFFFF"/>
                <w:sz w:val="18"/>
                <w:szCs w:val="18"/>
              </w:rPr>
              <w:t>Exhaustion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CP013_12m</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20</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Suppressed</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+0.569</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0.011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CP006_12m</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73</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Suppressed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+0.149</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0.015</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CP003_12m</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503,497</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Unsuppressed</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−0.267</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0.198</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CP003_24m</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489,676</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Unsuppressed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−0.357</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0.510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r>
              <w:rPr>
                <w:rFonts w:ascii="Arial" w:hAnsi="Arial" w:eastAsia="Arial" w:cs="Arial"/>
                <w:sz w:val="18"/>
                <w:szCs w:val="18"/>
              </w:rPr>
              <w:t>0.054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CP020_12m</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6,293,122</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Unsuppressed</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−0.027</w:t>
            </w:r>
          </w:p>
        </w:tc>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0.042</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r>
              <w:rPr>
                <w:rFonts w:ascii="Arial" w:hAnsi="Arial" w:eastAsia="Arial" w:cs="Arial"/>
                <w:sz w:val="18"/>
                <w:szCs w:val="18"/>
              </w:rPr>
              <w:t>0.093</w:t>
            </w:r>
          </w:p>
        </w:tc>
      </w:tr>
    </w:tbl>
    <w:p>
      <w:pPr>
        <w:spacing w:after="120"/>
      </w:pPr>
      <w:r>
        <w:rPr>
          <w:i/>
          <w:iCs/>
          <w:sz w:val="22"/>
          <w:szCs w:val="22"/>
        </w:rPr>
        <w:t>Table 6. Per-sample mean scores. CP003 shows progressive deterioration (IFN Ratio: −0.267 → −0.357; Stress: 0.198 → 0.510). CP013 at 12m = best IFN profile.</w:t>
      </w:r>
    </w:p>
    <w:p>
      <w:pPr>
        <w:spacing w:before="200" w:after="60"/>
      </w:pPr>
      <w:r>
        <w:rPr>
          <w:b/>
          <w:bCs/>
          <w:color w:val="2E75B6"/>
          <w:sz w:val="22"/>
          <w:szCs w:val="22"/>
        </w:rPr>
        <w:t>Figure 5A–5D. Sample-level VL scatter plots</w:t>
      </w:r>
    </w:p>
    <w:p>
      <w:pPr>
        <w:spacing w:after="60"/>
      </w:pPr>
      <w:r>
        <w:rPr>
          <w:sz w:val="20"/>
          <w:szCs w:val="20"/>
        </w:rPr>
        <w:t>Per-sample: log10(VL) vs (A) IFN Ratio, (B) Exhaustion, (C) Stress, (D) Stemness. Each point = one sample, coloured by ART status (PreART/Suppressed/Unsuppressed), labelled by participant ID. Dashed line = linear trend.</w:t>
      </w:r>
    </w:p>
    <w:p>
      <w:pPr>
        <w:spacing w:after="160"/>
      </w:pPr>
      <w:r>
        <w:rPr>
          <w:i/>
          <w:iCs/>
          <w:color w:val="666666"/>
          <w:sz w:val="18"/>
          <w:szCs w:val="18"/>
        </w:rPr>
        <w:t>Files: Fig5A_VL_IFN_Ratio.png, Fig5B_VL_Exhaustion.png, Fig5C_VL_Stress.png, Fig5D_VL_Stemness.png</w:t>
      </w:r>
    </w:p>
    <w:p>
      <w:pPr>
        <w:spacing w:before="200" w:after="60"/>
      </w:pPr>
      <w:r>
        <w:rPr>
          <w:b/>
          <w:bCs/>
          <w:color w:val="2E75B6"/>
          <w:sz w:val="22"/>
          <w:szCs w:val="22"/>
        </w:rPr>
        <w:t>Figure 5E–5F. Two-axis model: Glycolysis vs IFN Ratio (HEI 3-way)</w:t>
      </w:r>
    </w:p>
    <w:p>
      <w:pPr>
        <w:spacing w:after="60"/>
      </w:pPr>
      <w:r>
        <w:rPr>
          <w:sz w:val="20"/>
          <w:szCs w:val="20"/>
        </w:rPr>
        <w:t>4 key clusters (Tscm CD8, Naive 1 CD4, CD122hi NK, Treg). (E) Glycolysis resolves in both suppressed and unsuppressed arms (ART-intrinsic). (F) IFN Ratio improves only in suppressed (requires viral suppression).</w:t>
      </w:r>
    </w:p>
    <w:p>
      <w:pPr>
        <w:spacing w:after="160"/>
      </w:pPr>
      <w:r>
        <w:rPr>
          <w:i/>
          <w:iCs/>
          <w:color w:val="666666"/>
          <w:sz w:val="18"/>
          <w:szCs w:val="18"/>
        </w:rPr>
        <w:t>Files: Fig5E_TwoAxis_Glycolysis.png, Fig5F_TwoAxis_IFNRatio.png</w:t>
      </w:r>
    </w:p>
    <w:p>
      <w:pPr>
        <w:pStyle w:val="3"/>
      </w:pPr>
      <w:r>
        <w:t>5.4 RNA–Protein Concordance</w:t>
      </w:r>
    </w:p>
    <w:p>
      <w:pPr>
        <w:spacing w:after="120"/>
      </w:pPr>
      <w:r>
        <w:rPr>
          <w:sz w:val="22"/>
          <w:szCs w:val="22"/>
        </w:rPr>
        <w:t xml:space="preserve">Stemness shows the best RNA–protein concordance (13/31 clusters concordant, average ρ = 0.233), indicating the </w:t>
      </w:r>
      <w:r>
        <w:rPr>
          <w:rFonts w:ascii="Courier New" w:hAnsi="Courier New" w:eastAsia="Courier New" w:cs="Courier New"/>
          <w:i/>
          <w:iCs/>
          <w:sz w:val="22"/>
          <w:szCs w:val="22"/>
        </w:rPr>
        <w:t>TCF7/SELL/IL7R</w:t>
      </w:r>
      <w:r>
        <w:rPr>
          <w:sz w:val="22"/>
          <w:szCs w:val="22"/>
        </w:rPr>
        <w:t xml:space="preserve"> transcriptional programme reliably translates to surface CD62L/CCR7/CD127 protein. This validates module scoring at both levels.</w:t>
      </w:r>
    </w:p>
    <w:p>
      <w:pPr>
        <w:spacing w:after="120"/>
      </w:pPr>
      <w:r>
        <w:rPr>
          <w:sz w:val="22"/>
          <w:szCs w:val="22"/>
        </w:rPr>
        <w:t>Exhaustion shows poor concordance (6/31 clusters, ρ = 0.094): the RNA exhaustion programme (</w:t>
      </w:r>
      <w:r>
        <w:rPr>
          <w:rFonts w:ascii="Courier New" w:hAnsi="Courier New" w:eastAsia="Courier New" w:cs="Courier New"/>
          <w:i/>
          <w:iCs/>
          <w:sz w:val="22"/>
          <w:szCs w:val="22"/>
        </w:rPr>
        <w:t>TOX, PDCD1, HAVCR2</w:t>
      </w:r>
      <w:r>
        <w:rPr>
          <w:sz w:val="22"/>
          <w:szCs w:val="22"/>
        </w:rPr>
        <w:t>) is active but inhibitory receptors are not fully at the cell surface, suggesting post-transcriptional regulation of checkpoint molecules. This is clinically relevant: checkpoint blockade targets surface proteins, but the transcriptional programme driving exhaustion operates upstream.</w:t>
      </w:r>
    </w:p>
    <w:p>
      <w:pPr>
        <w:spacing w:after="120"/>
      </w:pPr>
      <w:r>
        <w:rPr>
          <w:sz w:val="22"/>
          <w:szCs w:val="22"/>
        </w:rPr>
        <w:t>Senescence has zero concordant clusters (0/31, ρ = 0.038), indicating complete RNA–protein decoupling — KLRG1/CD57 surface expression is regulated independently of the RNA senescence programme.</w:t>
      </w:r>
    </w:p>
    <w:p>
      <w:r>
        <w:br w:type="page"/>
      </w:r>
    </w:p>
    <w:p>
      <w:pPr>
        <w:pStyle w:val="2"/>
      </w:pPr>
      <w:r>
        <w:t>Appendix A. Module Definitions</w:t>
      </w:r>
    </w:p>
    <w:p>
      <w:pPr>
        <w:spacing w:after="120"/>
      </w:pPr>
      <w:r>
        <w:rPr>
          <w:sz w:val="22"/>
          <w:szCs w:val="22"/>
        </w:rPr>
        <w:t>Full gene lists, biological rationale, and interpretation for all 17 RNA modules + 6 protein modules. For detailed per-gene annotations see: Module_Definitions_and_Interpretation_Guide.txt</w:t>
      </w:r>
    </w:p>
    <w:p>
      <w:pPr>
        <w:pStyle w:val="3"/>
      </w:pPr>
      <w:r>
        <w:t>A.1 Type I Interferon (4 modules)</w:t>
      </w:r>
    </w:p>
    <w:p>
      <w:pPr>
        <w:spacing w:after="120"/>
      </w:pPr>
      <w:r>
        <w:rPr>
          <w:b/>
          <w:bCs/>
          <w:sz w:val="22"/>
          <w:szCs w:val="22"/>
        </w:rPr>
        <w:t xml:space="preserve">IFN Memory (10 genes): </w:t>
      </w:r>
      <w:r>
        <w:rPr>
          <w:rFonts w:ascii="Courier New" w:hAnsi="Courier New" w:eastAsia="Courier New" w:cs="Courier New"/>
          <w:i/>
          <w:iCs/>
          <w:sz w:val="22"/>
          <w:szCs w:val="22"/>
        </w:rPr>
        <w:t>IFIT1, IFIT2, IFIT3, ISG15, MX1, MX2, OAS1, OAS2, OAS3, IFI6</w:t>
      </w:r>
      <w:r>
        <w:rPr>
          <w:sz w:val="22"/>
          <w:szCs w:val="22"/>
        </w:rPr>
        <w:t>. Antiviral effector ISGs retained as poised programme. The ‘good’ IFN signature.</w:t>
      </w:r>
    </w:p>
    <w:p>
      <w:pPr>
        <w:spacing w:after="120"/>
      </w:pPr>
      <w:r>
        <w:rPr>
          <w:b/>
          <w:bCs/>
          <w:sz w:val="22"/>
          <w:szCs w:val="22"/>
        </w:rPr>
        <w:t xml:space="preserve">Stress/IFN Acute (6 genes): </w:t>
      </w:r>
      <w:r>
        <w:rPr>
          <w:rFonts w:ascii="Courier New" w:hAnsi="Courier New" w:eastAsia="Courier New" w:cs="Courier New"/>
          <w:i/>
          <w:iCs/>
          <w:sz w:val="22"/>
          <w:szCs w:val="22"/>
        </w:rPr>
        <w:t>HSPA1A, HSPA1B, HSP90AA1, DNAJB1, IFI27, IFI44L</w:t>
      </w:r>
      <w:r>
        <w:rPr>
          <w:sz w:val="22"/>
          <w:szCs w:val="22"/>
        </w:rPr>
        <w:t>. Heat-shock + acute-phase ISGs. The ‘bad’ IFN signature. Dominant suppressed–unsuppressed discriminator (d = −0.61 to −0.68).</w:t>
      </w:r>
    </w:p>
    <w:p>
      <w:pPr>
        <w:spacing w:after="120"/>
      </w:pPr>
      <w:r>
        <w:rPr>
          <w:b/>
          <w:bCs/>
          <w:sz w:val="22"/>
          <w:szCs w:val="22"/>
        </w:rPr>
        <w:t xml:space="preserve">IFN Signalling (6 genes): </w:t>
      </w:r>
      <w:r>
        <w:rPr>
          <w:rFonts w:ascii="Courier New" w:hAnsi="Courier New" w:eastAsia="Courier New" w:cs="Courier New"/>
          <w:i/>
          <w:iCs/>
          <w:sz w:val="22"/>
          <w:szCs w:val="22"/>
        </w:rPr>
        <w:t>STAT1, STAT2, IRF7, IRF9, IRF1, IRF3</w:t>
      </w:r>
      <w:r>
        <w:rPr>
          <w:sz w:val="22"/>
          <w:szCs w:val="22"/>
        </w:rPr>
        <w:t>. Downstream machinery of IFNAR. Depleted by VL (ρ = −0.163 avg).</w:t>
      </w:r>
    </w:p>
    <w:p>
      <w:pPr>
        <w:spacing w:after="120"/>
      </w:pPr>
      <w:r>
        <w:rPr>
          <w:b/>
          <w:bCs/>
          <w:sz w:val="22"/>
          <w:szCs w:val="22"/>
        </w:rPr>
        <w:t xml:space="preserve">IFN Negative Reg (3 genes): </w:t>
      </w:r>
      <w:r>
        <w:rPr>
          <w:rFonts w:ascii="Courier New" w:hAnsi="Courier New" w:eastAsia="Courier New" w:cs="Courier New"/>
          <w:i/>
          <w:iCs/>
          <w:sz w:val="22"/>
          <w:szCs w:val="22"/>
        </w:rPr>
        <w:t>USP18, SOCS1, SOCS3</w:t>
      </w:r>
      <w:r>
        <w:rPr>
          <w:sz w:val="22"/>
          <w:szCs w:val="22"/>
        </w:rPr>
        <w:t>. Feedback inhibitors. Lineage-split VL response.</w:t>
      </w:r>
    </w:p>
    <w:p>
      <w:pPr>
        <w:pStyle w:val="3"/>
      </w:pPr>
      <w:r>
        <w:t>A.2 T Cell Function (5 modules)</w:t>
      </w:r>
    </w:p>
    <w:p>
      <w:pPr>
        <w:spacing w:after="120"/>
      </w:pPr>
      <w:r>
        <w:rPr>
          <w:b/>
          <w:bCs/>
          <w:sz w:val="22"/>
          <w:szCs w:val="22"/>
        </w:rPr>
        <w:t xml:space="preserve">Exhaustion (7 genes): </w:t>
      </w:r>
      <w:r>
        <w:rPr>
          <w:rFonts w:ascii="Courier New" w:hAnsi="Courier New" w:eastAsia="Courier New" w:cs="Courier New"/>
          <w:i/>
          <w:iCs/>
          <w:sz w:val="22"/>
          <w:szCs w:val="22"/>
        </w:rPr>
        <w:t>TOX, PDCD1, HAVCR2, TIGIT, LAG3, CTLA4, ENTPD1</w:t>
      </w:r>
      <w:r>
        <w:rPr>
          <w:sz w:val="22"/>
          <w:szCs w:val="22"/>
        </w:rPr>
        <w:t>. Chronic antigen-driven dysfunction. VL-correlated (ρ = 0.70 in expanding clones).</w:t>
      </w:r>
    </w:p>
    <w:p>
      <w:pPr>
        <w:spacing w:after="120"/>
      </w:pPr>
      <w:r>
        <w:rPr>
          <w:b/>
          <w:bCs/>
          <w:sz w:val="22"/>
          <w:szCs w:val="22"/>
        </w:rPr>
        <w:t xml:space="preserve">Stemness/Naive (9 genes): </w:t>
      </w:r>
      <w:r>
        <w:rPr>
          <w:rFonts w:ascii="Courier New" w:hAnsi="Courier New" w:eastAsia="Courier New" w:cs="Courier New"/>
          <w:i/>
          <w:iCs/>
          <w:sz w:val="22"/>
          <w:szCs w:val="22"/>
        </w:rPr>
        <w:t>TCF7, LEF1, SELL, CCR7, BACH2, IL7R, BCL2, S1PR1, KLF2</w:t>
      </w:r>
      <w:r>
        <w:rPr>
          <w:sz w:val="22"/>
          <w:szCs w:val="22"/>
        </w:rPr>
        <w:t>. Self-renewal. Predicts post-ATI viral control.</w:t>
      </w:r>
    </w:p>
    <w:p>
      <w:pPr>
        <w:spacing w:after="120"/>
      </w:pPr>
      <w:r>
        <w:rPr>
          <w:b/>
          <w:bCs/>
          <w:sz w:val="22"/>
          <w:szCs w:val="22"/>
        </w:rPr>
        <w:t xml:space="preserve">Cytotoxicity (7 genes): </w:t>
      </w:r>
      <w:r>
        <w:rPr>
          <w:rFonts w:ascii="Courier New" w:hAnsi="Courier New" w:eastAsia="Courier New" w:cs="Courier New"/>
          <w:i/>
          <w:iCs/>
          <w:sz w:val="22"/>
          <w:szCs w:val="22"/>
        </w:rPr>
        <w:t>GZMB, GZMA, GZMH, GNLY, PRF1, NKG7, FGFBP2</w:t>
      </w:r>
      <w:r>
        <w:rPr>
          <w:sz w:val="22"/>
          <w:szCs w:val="22"/>
        </w:rPr>
        <w:t>. Direct killing via granzyme/perforin.</w:t>
      </w:r>
    </w:p>
    <w:p>
      <w:pPr>
        <w:spacing w:after="120"/>
      </w:pPr>
      <w:r>
        <w:rPr>
          <w:b/>
          <w:bCs/>
          <w:sz w:val="22"/>
          <w:szCs w:val="22"/>
        </w:rPr>
        <w:t xml:space="preserve">Inflammatory Chemokines (6 genes): </w:t>
      </w:r>
      <w:r>
        <w:rPr>
          <w:rFonts w:ascii="Courier New" w:hAnsi="Courier New" w:eastAsia="Courier New" w:cs="Courier New"/>
          <w:i/>
          <w:iCs/>
          <w:sz w:val="22"/>
          <w:szCs w:val="22"/>
        </w:rPr>
        <w:t>CCL3, CCL4, CCL4L2, CCL5, XCL1, XCL2</w:t>
      </w:r>
      <w:r>
        <w:rPr>
          <w:sz w:val="22"/>
          <w:szCs w:val="22"/>
        </w:rPr>
        <w:t>. Immune recruitment + CCR5 ligands.</w:t>
      </w:r>
    </w:p>
    <w:p>
      <w:pPr>
        <w:spacing w:after="120"/>
      </w:pPr>
      <w:r>
        <w:rPr>
          <w:b/>
          <w:bCs/>
          <w:sz w:val="22"/>
          <w:szCs w:val="22"/>
        </w:rPr>
        <w:t xml:space="preserve">Terminal Differentiation (7 genes): </w:t>
      </w:r>
      <w:r>
        <w:rPr>
          <w:rFonts w:ascii="Courier New" w:hAnsi="Courier New" w:eastAsia="Courier New" w:cs="Courier New"/>
          <w:i/>
          <w:iCs/>
          <w:sz w:val="22"/>
          <w:szCs w:val="22"/>
        </w:rPr>
        <w:t>ZEB2, PRDM1, TBX21, CX3CR1, S1PR5, ID2, EOMES</w:t>
      </w:r>
      <w:r>
        <w:rPr>
          <w:sz w:val="22"/>
          <w:szCs w:val="22"/>
        </w:rPr>
        <w:t>. End-stage effector commitment.</w:t>
      </w:r>
    </w:p>
    <w:p>
      <w:pPr>
        <w:pStyle w:val="3"/>
      </w:pPr>
      <w:r>
        <w:t>A.3 Activation &amp; Cytokines (2 modules)</w:t>
      </w:r>
    </w:p>
    <w:p>
      <w:pPr>
        <w:spacing w:after="120"/>
      </w:pPr>
      <w:r>
        <w:rPr>
          <w:b/>
          <w:bCs/>
          <w:sz w:val="22"/>
          <w:szCs w:val="22"/>
        </w:rPr>
        <w:t xml:space="preserve">Activation (7 genes): </w:t>
      </w:r>
      <w:r>
        <w:rPr>
          <w:rFonts w:ascii="Courier New" w:hAnsi="Courier New" w:eastAsia="Courier New" w:cs="Courier New"/>
          <w:i/>
          <w:iCs/>
          <w:sz w:val="22"/>
          <w:szCs w:val="22"/>
        </w:rPr>
        <w:t>HLA-DRA, HLA-DRB1, CD38, FAS, CD69, ICOS, TNFRSF9</w:t>
      </w:r>
      <w:r>
        <w:rPr>
          <w:sz w:val="22"/>
          <w:szCs w:val="22"/>
        </w:rPr>
        <w:t>. Classic HLA-DR/CD38 activation.</w:t>
      </w:r>
    </w:p>
    <w:p>
      <w:pPr>
        <w:spacing w:after="120"/>
      </w:pPr>
      <w:r>
        <w:rPr>
          <w:b/>
          <w:bCs/>
          <w:sz w:val="22"/>
          <w:szCs w:val="22"/>
        </w:rPr>
        <w:t xml:space="preserve">Inflammatory Cytokines (10 genes): </w:t>
      </w:r>
      <w:r>
        <w:rPr>
          <w:rFonts w:ascii="Courier New" w:hAnsi="Courier New" w:eastAsia="Courier New" w:cs="Courier New"/>
          <w:i/>
          <w:iCs/>
          <w:sz w:val="22"/>
          <w:szCs w:val="22"/>
        </w:rPr>
        <w:t>IL1B, TNF, IL6, CXCL8, IL18, CXCL10, CXCL9, CCL2, CSF2, IFNG</w:t>
      </w:r>
      <w:r>
        <w:rPr>
          <w:sz w:val="22"/>
          <w:szCs w:val="22"/>
        </w:rPr>
        <w:t>. Innate + adaptive inflammatory mediators.</w:t>
      </w:r>
    </w:p>
    <w:p>
      <w:pPr>
        <w:pStyle w:val="3"/>
      </w:pPr>
      <w:r>
        <w:t>A.4 Metabolism (3 modules)</w:t>
      </w:r>
    </w:p>
    <w:p>
      <w:pPr>
        <w:spacing w:after="120"/>
      </w:pPr>
      <w:r>
        <w:rPr>
          <w:b/>
          <w:bCs/>
          <w:sz w:val="22"/>
          <w:szCs w:val="22"/>
        </w:rPr>
        <w:t xml:space="preserve">Glycolysis/Hypoxia (15 genes): </w:t>
      </w:r>
      <w:r>
        <w:rPr>
          <w:rFonts w:ascii="Courier New" w:hAnsi="Courier New" w:eastAsia="Courier New" w:cs="Courier New"/>
          <w:i/>
          <w:iCs/>
          <w:sz w:val="22"/>
          <w:szCs w:val="22"/>
        </w:rPr>
        <w:t>HIF1A, LDHA, PKM, GAPDH, ENO1, PFKFB3, PFKFB4, SLC2A1, SLC2A3, ALDOA, HILPDA, EGLN3, IGFBP2, VEGFA, AK4</w:t>
      </w:r>
      <w:r>
        <w:rPr>
          <w:sz w:val="22"/>
          <w:szCs w:val="22"/>
        </w:rPr>
        <w:t>. Includes manuscript-highlighted viremia-driven naive cluster genes. Universal positive VL correlation.</w:t>
      </w:r>
    </w:p>
    <w:p>
      <w:pPr>
        <w:spacing w:after="120"/>
      </w:pPr>
      <w:r>
        <w:rPr>
          <w:b/>
          <w:bCs/>
          <w:sz w:val="22"/>
          <w:szCs w:val="22"/>
        </w:rPr>
        <w:t xml:space="preserve">OXPHOS (14 genes): </w:t>
      </w:r>
      <w:r>
        <w:rPr>
          <w:rFonts w:ascii="Courier New" w:hAnsi="Courier New" w:eastAsia="Courier New" w:cs="Courier New"/>
          <w:i/>
          <w:iCs/>
          <w:sz w:val="22"/>
          <w:szCs w:val="22"/>
        </w:rPr>
        <w:t>ATP5F1A, ATP5F1B, NDUFA4, NDUFB8, SDHB, UQCRB, COX7A2, COX5A, CS, IDH2, OGDH, MDH2, VDAC1, SOD2</w:t>
      </w:r>
      <w:r>
        <w:rPr>
          <w:sz w:val="22"/>
          <w:szCs w:val="22"/>
        </w:rPr>
        <w:t>. Mitochondrial fitness for memory survival.</w:t>
      </w:r>
    </w:p>
    <w:p>
      <w:pPr>
        <w:spacing w:after="120"/>
      </w:pPr>
      <w:r>
        <w:rPr>
          <w:b/>
          <w:bCs/>
          <w:sz w:val="22"/>
          <w:szCs w:val="22"/>
        </w:rPr>
        <w:t xml:space="preserve">Fatty Acid Oxidation (7 genes): </w:t>
      </w:r>
      <w:r>
        <w:rPr>
          <w:rFonts w:ascii="Courier New" w:hAnsi="Courier New" w:eastAsia="Courier New" w:cs="Courier New"/>
          <w:i/>
          <w:iCs/>
          <w:sz w:val="22"/>
          <w:szCs w:val="22"/>
        </w:rPr>
        <w:t>CPT1A, ACADM, HADHA, ACADVL, PPARA, PPARGC1A, ACSL1</w:t>
      </w:r>
      <w:r>
        <w:rPr>
          <w:sz w:val="22"/>
          <w:szCs w:val="22"/>
        </w:rPr>
        <w:t>. Memory fuel programme.</w:t>
      </w:r>
    </w:p>
    <w:p>
      <w:pPr>
        <w:pStyle w:val="3"/>
      </w:pPr>
      <w:r>
        <w:t>A.5 Cell Fate (3 modules)</w:t>
      </w:r>
    </w:p>
    <w:p>
      <w:pPr>
        <w:spacing w:after="120"/>
      </w:pPr>
      <w:r>
        <w:rPr>
          <w:b/>
          <w:bCs/>
          <w:sz w:val="22"/>
          <w:szCs w:val="22"/>
        </w:rPr>
        <w:t xml:space="preserve">Proliferation (10 genes): </w:t>
      </w:r>
      <w:r>
        <w:rPr>
          <w:rFonts w:ascii="Courier New" w:hAnsi="Courier New" w:eastAsia="Courier New" w:cs="Courier New"/>
          <w:i/>
          <w:iCs/>
          <w:sz w:val="22"/>
          <w:szCs w:val="22"/>
        </w:rPr>
        <w:t>MKI67, TOP2A, PCNA, MCM7, MCM3, TYMS, CDK1, CCNB1, CCNA2, BIRC5</w:t>
      </w:r>
    </w:p>
    <w:p>
      <w:pPr>
        <w:spacing w:after="120"/>
      </w:pPr>
      <w:r>
        <w:rPr>
          <w:b/>
          <w:bCs/>
          <w:sz w:val="22"/>
          <w:szCs w:val="22"/>
        </w:rPr>
        <w:t xml:space="preserve">Apoptosis/Survival (12 genes): </w:t>
      </w:r>
      <w:r>
        <w:rPr>
          <w:rFonts w:ascii="Courier New" w:hAnsi="Courier New" w:eastAsia="Courier New" w:cs="Courier New"/>
          <w:i/>
          <w:iCs/>
          <w:sz w:val="22"/>
          <w:szCs w:val="22"/>
        </w:rPr>
        <w:t>BCL2, BCL2L1, MCL1, BCL2A1, BAX, BAK1, BID, BBC3, FAS, FASLG, CASP3, CASP8</w:t>
      </w:r>
    </w:p>
    <w:p>
      <w:pPr>
        <w:spacing w:after="120"/>
      </w:pPr>
      <w:r>
        <w:rPr>
          <w:b/>
          <w:bCs/>
          <w:sz w:val="22"/>
          <w:szCs w:val="22"/>
        </w:rPr>
        <w:t xml:space="preserve">Senescence (8 genes): </w:t>
      </w:r>
      <w:r>
        <w:rPr>
          <w:rFonts w:ascii="Courier New" w:hAnsi="Courier New" w:eastAsia="Courier New" w:cs="Courier New"/>
          <w:i/>
          <w:iCs/>
          <w:sz w:val="22"/>
          <w:szCs w:val="22"/>
        </w:rPr>
        <w:t>KLRG1, CDKN1A, CDKN2A, B3GAT1, TP53, RB1, LMNB1, HMGA1</w:t>
      </w:r>
    </w:p>
    <w:p>
      <w:pPr>
        <w:pStyle w:val="3"/>
      </w:pPr>
      <w:r>
        <w:t>A.6 Tissue Homing (1 module)</w:t>
      </w:r>
    </w:p>
    <w:p>
      <w:pPr>
        <w:spacing w:after="120"/>
      </w:pPr>
      <w:r>
        <w:rPr>
          <w:b/>
          <w:bCs/>
          <w:sz w:val="22"/>
          <w:szCs w:val="22"/>
        </w:rPr>
        <w:t xml:space="preserve">Tissue Residency (8 genes): </w:t>
      </w:r>
      <w:r>
        <w:rPr>
          <w:rFonts w:ascii="Courier New" w:hAnsi="Courier New" w:eastAsia="Courier New" w:cs="Courier New"/>
          <w:i/>
          <w:iCs/>
          <w:sz w:val="22"/>
          <w:szCs w:val="22"/>
        </w:rPr>
        <w:t>ITGAE, ITGA1, CD69, ITGB7, ZNF683, PRDM1, CXCR6, RUNX3</w:t>
      </w:r>
    </w:p>
    <w:p>
      <w:pPr>
        <w:pStyle w:val="3"/>
      </w:pPr>
      <w:r>
        <w:t>A.7 Protein Modules (6 modules, DSB-normalised ADT)</w:t>
      </w:r>
    </w:p>
    <w:p>
      <w:pPr>
        <w:spacing w:after="120"/>
      </w:pPr>
      <w:r>
        <w:rPr>
          <w:b/>
          <w:bCs/>
          <w:sz w:val="22"/>
          <w:szCs w:val="22"/>
        </w:rPr>
        <w:t xml:space="preserve">PS_Exhaustion (6/7): </w:t>
      </w:r>
      <w:r>
        <w:rPr>
          <w:sz w:val="22"/>
          <w:szCs w:val="22"/>
        </w:rPr>
        <w:t>PDCD1, HAVCR2, TIGIT, LAG3, CTLA4, ENTPD1. Missing: TOX (intracellular).</w:t>
      </w:r>
    </w:p>
    <w:p>
      <w:pPr>
        <w:spacing w:after="120"/>
      </w:pPr>
      <w:r>
        <w:rPr>
          <w:b/>
          <w:bCs/>
          <w:sz w:val="22"/>
          <w:szCs w:val="22"/>
        </w:rPr>
        <w:t xml:space="preserve">PS_Activation (6/7): </w:t>
      </w:r>
      <w:r>
        <w:rPr>
          <w:sz w:val="22"/>
          <w:szCs w:val="22"/>
        </w:rPr>
        <w:t>HLA-DRA, CD38, FAS, CD69, ICOS, TNFRSF9.</w:t>
      </w:r>
    </w:p>
    <w:p>
      <w:pPr>
        <w:spacing w:after="120"/>
      </w:pPr>
      <w:r>
        <w:rPr>
          <w:b/>
          <w:bCs/>
          <w:sz w:val="22"/>
          <w:szCs w:val="22"/>
        </w:rPr>
        <w:t xml:space="preserve">PS_Stemness (3/9): </w:t>
      </w:r>
      <w:r>
        <w:rPr>
          <w:sz w:val="22"/>
          <w:szCs w:val="22"/>
        </w:rPr>
        <w:t>SELL, CCR7, IL7R. Missing: TCF7/LEF1/BACH2/BCL2 (intracellular). Best RNA–protein concordance (ρ = 0.233).</w:t>
      </w:r>
    </w:p>
    <w:p>
      <w:pPr>
        <w:spacing w:after="120"/>
      </w:pPr>
      <w:r>
        <w:rPr>
          <w:b/>
          <w:bCs/>
          <w:sz w:val="22"/>
          <w:szCs w:val="22"/>
        </w:rPr>
        <w:t xml:space="preserve">PS_Tissue_Residency (4/8): </w:t>
      </w:r>
      <w:r>
        <w:rPr>
          <w:sz w:val="22"/>
          <w:szCs w:val="22"/>
        </w:rPr>
        <w:t>ITGAE, ITGA1, CD69, ITGB7.</w:t>
      </w:r>
    </w:p>
    <w:p>
      <w:pPr>
        <w:spacing w:after="120"/>
      </w:pPr>
      <w:r>
        <w:rPr>
          <w:b/>
          <w:bCs/>
          <w:sz w:val="22"/>
          <w:szCs w:val="22"/>
        </w:rPr>
        <w:t xml:space="preserve">PS_Senescence (2/8): </w:t>
      </w:r>
      <w:r>
        <w:rPr>
          <w:sz w:val="22"/>
          <w:szCs w:val="22"/>
        </w:rPr>
        <w:t>KLRG1, B3GAT1. Worst concordance (ρ = 0.038).</w:t>
      </w:r>
    </w:p>
    <w:p>
      <w:pPr>
        <w:spacing w:after="120"/>
      </w:pPr>
      <w:r>
        <w:rPr>
          <w:b/>
          <w:bCs/>
          <w:sz w:val="22"/>
          <w:szCs w:val="22"/>
        </w:rPr>
        <w:t xml:space="preserve">PS_Terminal_Diff (1/7): </w:t>
      </w:r>
      <w:r>
        <w:rPr>
          <w:sz w:val="22"/>
          <w:szCs w:val="22"/>
        </w:rPr>
        <w:t>CX3CR1 only.</w:t>
      </w:r>
    </w:p>
    <w:sectPr>
      <w:pgSz w:w="12240" w:h="15840"/>
      <w:pgMar w:top="1440" w:right="1200" w:bottom="144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compatSetting w:name="compatibilityMode" w:uri="http://schemas.microsoft.com/office/word" w:val="15"/>
  </w:compat>
  <w:rsids>
    <w:rsidRoot w:val="00000000"/>
    <w:rsid w:val="EEEF3A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B2A4A"/>
      <w:sz w:val="32"/>
      <w:szCs w:val="32"/>
    </w:rPr>
  </w:style>
  <w:style w:type="paragraph" w:styleId="3">
    <w:name w:val="heading 2"/>
    <w:next w:val="1"/>
    <w:qFormat/>
    <w:uiPriority w:val="0"/>
    <w:pPr>
      <w:spacing w:before="240" w:after="160"/>
      <w:outlineLvl w:val="1"/>
    </w:pPr>
    <w:rPr>
      <w:rFonts w:ascii="Arial" w:hAnsi="Arial" w:eastAsia="Arial" w:cs="Arial"/>
      <w:b/>
      <w:bCs/>
      <w:color w:val="2E75B6"/>
      <w:sz w:val="26"/>
      <w:szCs w:val="26"/>
    </w:rPr>
  </w:style>
  <w:style w:type="paragraph" w:styleId="4">
    <w:name w:val="heading 3"/>
    <w:next w:val="1"/>
    <w:qFormat/>
    <w:uiPriority w:val="0"/>
    <w:pPr>
      <w:spacing w:before="200" w:after="120"/>
      <w:outlineLvl w:val="2"/>
    </w:pPr>
    <w:rPr>
      <w:rFonts w:ascii="Arial" w:hAnsi="Arial" w:eastAsia="Arial" w:cs="Arial"/>
      <w:b/>
      <w:bCs/>
      <w:color w:val="264653"/>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akshay-iyer</cp:lastModifiedBy>
  <dcterms:modified xsi:type="dcterms:W3CDTF">2026-04-14T22:29:46Z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