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D"/>
          <w:sz w:val="48"/>
        </w:rPr>
        <w:t>Identity and Authorization Backend</w:t>
      </w:r>
    </w:p>
    <w:p>
      <w:pPr>
        <w:jc w:val="center"/>
      </w:pPr>
      <w:r>
        <w:rPr>
          <w:b/>
        </w:rPr>
        <w:t>Improved schema and Cursor implementation guide</w:t>
        <w:br/>
        <w:t>Multitenant marketplace platform</w:t>
      </w:r>
    </w:p>
    <w:p>
      <w:pPr>
        <w:jc w:val="center"/>
      </w:pPr>
      <w:r>
        <w:rPr>
          <w:i/>
        </w:rPr>
        <w:t>Prepared 7 September 2026</w:t>
      </w:r>
    </w:p>
    <w:p>
      <w:r>
        <w:rPr>
          <w:b/>
        </w:rPr>
        <w:t xml:space="preserve">Purpose. </w:t>
      </w:r>
      <w:r>
        <w:t>Use this document as the implementation contract. Give Cursor the selected source documents and prompts in sequence. Do not provide every document at once; that increases ambiguity and causes bounded contexts to be mixed.</w:t>
      </w:r>
    </w:p>
    <w:p>
      <w:pPr>
        <w:pStyle w:val="Heading1"/>
      </w:pPr>
      <w:r>
        <w:t>1. Documents to give Cursor</w:t>
      </w:r>
    </w:p>
    <w:p>
      <w:pPr>
        <w:pStyle w:val="Heading2"/>
      </w:pPr>
      <w:r>
        <w:t>Mandatory initial context</w:t>
      </w:r>
    </w:p>
    <w:p>
      <w:pPr>
        <w:pStyle w:val="ListNumber"/>
      </w:pPr>
      <w:r>
        <w:t>system-overview2.md - system boundaries, deployment, public versus management plane.</w:t>
      </w:r>
    </w:p>
    <w:p>
      <w:pPr>
        <w:pStyle w:val="ListNumber"/>
      </w:pPr>
      <w:r>
        <w:t>identity-domain.md - identity responsibilities, Keycloak topology, and realm lifecycle.</w:t>
      </w:r>
    </w:p>
    <w:p>
      <w:pPr>
        <w:pStyle w:val="ListNumber"/>
      </w:pPr>
      <w:r>
        <w:t>authorization-domain.md - permission model, tenant/platform scope, and RBAC rules.</w:t>
      </w:r>
    </w:p>
    <w:p>
      <w:pPr>
        <w:pStyle w:val="ListNumber"/>
      </w:pPr>
      <w:r>
        <w:t>tenant-domain.md - organization, tenant, and membership ownership.</w:t>
      </w:r>
    </w:p>
    <w:p>
      <w:pPr>
        <w:pStyle w:val="ListNumber"/>
      </w:pPr>
      <w:r>
        <w:t>resource-domain.md - the first vertical slice to protect.</w:t>
      </w:r>
    </w:p>
    <w:p>
      <w:pPr>
        <w:pStyle w:val="Heading2"/>
      </w:pPr>
      <w:r>
        <w:t>Provide later when needed</w:t>
      </w:r>
    </w:p>
    <w:p>
      <w:pPr>
        <w:pStyle w:val="ListBullet"/>
      </w:pPr>
      <w:r>
        <w:t>vendor-plugin-domain.md: only when vendor authorization is implemented.</w:t>
      </w:r>
    </w:p>
    <w:p>
      <w:pPr>
        <w:pStyle w:val="ListBullet"/>
      </w:pPr>
      <w:r>
        <w:t>billing-domain.md: only when billing permissions are implemented.</w:t>
      </w:r>
    </w:p>
    <w:p>
      <w:pPr>
        <w:pStyle w:val="ListBullet"/>
      </w:pPr>
      <w:r>
        <w:t>metering-domain.md: only when usage access is implemented.</w:t>
      </w:r>
    </w:p>
    <w:p>
      <w:pPr>
        <w:pStyle w:val="ListBullet"/>
      </w:pPr>
      <w:r>
        <w:t>Adanpradan_Identity auth tenant vendor_Flow.html: use as a workflow reference after domain rules are fixed.</w:t>
      </w:r>
    </w:p>
    <w:p>
      <w:pPr>
        <w:pStyle w:val="ListBullet"/>
      </w:pPr>
      <w:r>
        <w:t>adanpradan_tenant_vendor_schema.pdf and schema_final_adan pradan.pdf: use to cross-check legacy table names and relationships, not as the primary authority.</w:t>
      </w:r>
    </w:p>
    <w:p>
      <w:pPr>
        <w:pStyle w:val="ListBullet"/>
      </w:pPr>
      <w:r>
        <w:t>multi tenant platform.pdf: use for product-wide context after the bounded-context documents.</w:t>
      </w:r>
    </w:p>
    <w:p>
      <w:r>
        <w:rPr>
          <w:b/>
        </w:rPr>
        <w:t xml:space="preserve">Precedence rule. </w:t>
      </w:r>
      <w:r>
        <w:t>Domain documents define ownership and invariants. Schema PDFs are reference material. If they conflict, Cursor must stop and report the conflict rather than guess.</w:t>
      </w:r>
    </w:p>
    <w:p>
      <w:pPr>
        <w:pStyle w:val="Heading1"/>
      </w:pPr>
      <w:r>
        <w:t>2. Target design decisions</w:t>
      </w:r>
    </w:p>
    <w:p>
      <w:pPr>
        <w:pStyle w:val="ListBullet"/>
      </w:pPr>
      <w:r>
        <w:t>Authentication is external: Keycloak verifies credentials and issues tokens.</w:t>
      </w:r>
    </w:p>
    <w:p>
      <w:pPr>
        <w:pStyle w:val="ListBullet"/>
      </w:pPr>
      <w:r>
        <w:t>The database maps (issuer, subject) to an internal principal_id.</w:t>
      </w:r>
    </w:p>
    <w:p>
      <w:pPr>
        <w:pStyle w:val="ListBullet"/>
      </w:pPr>
      <w:r>
        <w:t>Authorization never trusts roles or permissions from the JWT.</w:t>
      </w:r>
    </w:p>
    <w:p>
      <w:pPr>
        <w:pStyle w:val="ListBullet"/>
      </w:pPr>
      <w:r>
        <w:t>Humans and machine clients share the Principal abstraction.</w:t>
      </w:r>
    </w:p>
    <w:p>
      <w:pPr>
        <w:pStyle w:val="ListBullet"/>
      </w:pPr>
      <w:r>
        <w:t>Tenant membership is owned by Tenant; Authorization only verifies it.</w:t>
      </w:r>
    </w:p>
    <w:p>
      <w:pPr>
        <w:pStyle w:val="ListBullet"/>
      </w:pPr>
      <w:r>
        <w:t>Public API and management API use different audiences, ingress, and permission namespaces.</w:t>
      </w:r>
    </w:p>
    <w:p>
      <w:pPr>
        <w:pStyle w:val="ListBullet"/>
      </w:pPr>
      <w:r>
        <w:t>Default deny applies everywhere.</w:t>
      </w:r>
    </w:p>
    <w:p>
      <w:pPr>
        <w:pStyle w:val="Heading1"/>
      </w:pPr>
      <w:r>
        <w:t>3. Improved identity schema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6EAF8"/>
          </w:tcPr>
          <w:p>
            <w:r>
              <w:rPr>
                <w:b/>
              </w:rPr>
              <w:t>Table</w:t>
            </w:r>
          </w:p>
        </w:tc>
        <w:tc>
          <w:tcPr>
            <w:tcW w:type="dxa" w:w="3312"/>
            <w:shd w:fill="D6EAF8"/>
          </w:tcPr>
          <w:p>
            <w:r>
              <w:rPr>
                <w:b/>
              </w:rPr>
              <w:t>Important columns</w:t>
            </w:r>
          </w:p>
        </w:tc>
        <w:tc>
          <w:tcPr>
            <w:tcW w:type="dxa" w:w="3312"/>
            <w:shd w:fill="D6EAF8"/>
          </w:tcPr>
          <w:p>
            <w:r>
              <w:rPr>
                <w:b/>
              </w:rPr>
              <w:t>Constraints</w:t>
            </w:r>
          </w:p>
        </w:tc>
      </w:tr>
      <w:tr>
        <w:tc>
          <w:tcPr>
            <w:tcW w:type="dxa" w:w="3312"/>
          </w:tcPr>
          <w:p>
            <w:r>
              <w:t>principals</w:t>
            </w:r>
          </w:p>
        </w:tc>
        <w:tc>
          <w:tcPr>
            <w:tcW w:type="dxa" w:w="3312"/>
          </w:tcPr>
          <w:p>
            <w:r>
              <w:t>id, principal_type (user/service_account), status, created_at, updated_at</w:t>
            </w:r>
          </w:p>
        </w:tc>
        <w:tc>
          <w:tcPr>
            <w:tcW w:type="dxa" w:w="3312"/>
          </w:tcPr>
          <w:p>
            <w:r>
              <w:t>UUID primary key; active lifecycle</w:t>
            </w:r>
          </w:p>
        </w:tc>
      </w:tr>
      <w:tr>
        <w:tc>
          <w:tcPr>
            <w:tcW w:type="dxa" w:w="3312"/>
          </w:tcPr>
          <w:p>
            <w:r>
              <w:t>users</w:t>
            </w:r>
          </w:p>
        </w:tc>
        <w:tc>
          <w:tcPr>
            <w:tcW w:type="dxa" w:w="3312"/>
          </w:tcPr>
          <w:p>
            <w:r>
              <w:t>id, principal_id, email, normalized_email, display_name, status</w:t>
            </w:r>
          </w:p>
        </w:tc>
        <w:tc>
          <w:tcPr>
            <w:tcW w:type="dxa" w:w="3312"/>
          </w:tcPr>
          <w:p>
            <w:r>
              <w:t>principal_id unique; normalized_email unique</w:t>
            </w:r>
          </w:p>
        </w:tc>
      </w:tr>
      <w:tr>
        <w:tc>
          <w:tcPr>
            <w:tcW w:type="dxa" w:w="3312"/>
          </w:tcPr>
          <w:p>
            <w:r>
              <w:t>identity_realms</w:t>
            </w:r>
          </w:p>
        </w:tc>
        <w:tc>
          <w:tcPr>
            <w:tcW w:type="dxa" w:w="3312"/>
          </w:tcPr>
          <w:p>
            <w:r>
              <w:t>id, issuer, realm_name, realm_type, keycloak_realm_id, organization_id nullable, status</w:t>
            </w:r>
          </w:p>
        </w:tc>
        <w:tc>
          <w:tcPr>
            <w:tcW w:type="dxa" w:w="3312"/>
          </w:tcPr>
          <w:p>
            <w:r>
              <w:t>issuer unique; realm lifecycle</w:t>
            </w:r>
          </w:p>
        </w:tc>
      </w:tr>
      <w:tr>
        <w:tc>
          <w:tcPr>
            <w:tcW w:type="dxa" w:w="3312"/>
          </w:tcPr>
          <w:p>
            <w:r>
              <w:t>credentials</w:t>
            </w:r>
          </w:p>
        </w:tc>
        <w:tc>
          <w:tcPr>
            <w:tcW w:type="dxa" w:w="3312"/>
          </w:tcPr>
          <w:p>
            <w:r>
              <w:t>id, principal_id, identity_realm_id, keycloak_subject, credential_type, status, last_seen_at</w:t>
            </w:r>
          </w:p>
        </w:tc>
        <w:tc>
          <w:tcPr>
            <w:tcW w:type="dxa" w:w="3312"/>
          </w:tcPr>
          <w:p>
            <w:r>
              <w:t>unique(identity_realm_id, keycloak_subject); never store passwords</w:t>
            </w:r>
          </w:p>
        </w:tc>
      </w:tr>
      <w:tr>
        <w:tc>
          <w:tcPr>
            <w:tcW w:type="dxa" w:w="3312"/>
          </w:tcPr>
          <w:p>
            <w:r>
              <w:t>service_accounts</w:t>
            </w:r>
          </w:p>
        </w:tc>
        <w:tc>
          <w:tcPr>
            <w:tcW w:type="dxa" w:w="3312"/>
          </w:tcPr>
          <w:p>
            <w:r>
              <w:t>id, principal_id, tenant_id, organization_id, name, status, created_by_principal_id</w:t>
            </w:r>
          </w:p>
        </w:tc>
        <w:tc>
          <w:tcPr>
            <w:tcW w:type="dxa" w:w="3312"/>
          </w:tcPr>
          <w:p>
            <w:r>
              <w:t>tenant-bound; revocable</w:t>
            </w:r>
          </w:p>
        </w:tc>
      </w:tr>
      <w:tr>
        <w:tc>
          <w:tcPr>
            <w:tcW w:type="dxa" w:w="3312"/>
          </w:tcPr>
          <w:p>
            <w:r>
              <w:t>api_keys</w:t>
            </w:r>
          </w:p>
        </w:tc>
        <w:tc>
          <w:tcPr>
            <w:tcW w:type="dxa" w:w="3312"/>
          </w:tcPr>
          <w:p>
            <w:r>
              <w:t>id, service_account_id, prefix, key_hash, expires_at, last_used_at, status</w:t>
            </w:r>
          </w:p>
        </w:tc>
        <w:tc>
          <w:tcPr>
            <w:tcW w:type="dxa" w:w="3312"/>
          </w:tcPr>
          <w:p>
            <w:r>
              <w:t>hash only; show raw key once; constant-time verification</w:t>
            </w:r>
          </w:p>
        </w:tc>
      </w:tr>
    </w:tbl>
    <w:p/>
    <w:p>
      <w:r>
        <w:rPr>
          <w:b/>
        </w:rPr>
        <w:t xml:space="preserve">Key improvement: </w:t>
      </w:r>
      <w:r>
        <w:t>Use principal_id in authorization. Do not make authorization depend on user_id or a Keycloak subject.</w:t>
      </w:r>
    </w:p>
    <w:p>
      <w:pPr>
        <w:pStyle w:val="Heading1"/>
      </w:pPr>
      <w:r>
        <w:t>4. Improved authorization schema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6EAF8"/>
          </w:tcPr>
          <w:p>
            <w:r>
              <w:rPr>
                <w:b/>
              </w:rPr>
              <w:t>Table</w:t>
            </w:r>
          </w:p>
        </w:tc>
        <w:tc>
          <w:tcPr>
            <w:tcW w:type="dxa" w:w="3312"/>
            <w:shd w:fill="D6EAF8"/>
          </w:tcPr>
          <w:p>
            <w:r>
              <w:rPr>
                <w:b/>
              </w:rPr>
              <w:t>Important columns</w:t>
            </w:r>
          </w:p>
        </w:tc>
        <w:tc>
          <w:tcPr>
            <w:tcW w:type="dxa" w:w="3312"/>
            <w:shd w:fill="D6EAF8"/>
          </w:tcPr>
          <w:p>
            <w:r>
              <w:rPr>
                <w:b/>
              </w:rPr>
              <w:t>Constraints</w:t>
            </w:r>
          </w:p>
        </w:tc>
      </w:tr>
      <w:tr>
        <w:tc>
          <w:tcPr>
            <w:tcW w:type="dxa" w:w="3312"/>
          </w:tcPr>
          <w:p>
            <w:r>
              <w:t>permissions</w:t>
            </w:r>
          </w:p>
        </w:tc>
        <w:tc>
          <w:tcPr>
            <w:tcW w:type="dxa" w:w="3312"/>
          </w:tcPr>
          <w:p>
            <w:r>
              <w:t>id, code, scope_type, description, status</w:t>
            </w:r>
          </w:p>
        </w:tc>
        <w:tc>
          <w:tcPr>
            <w:tcW w:type="dxa" w:w="3312"/>
          </w:tcPr>
          <w:p>
            <w:r>
              <w:t>code unique; tenant or platform scope</w:t>
            </w:r>
          </w:p>
        </w:tc>
      </w:tr>
      <w:tr>
        <w:tc>
          <w:tcPr>
            <w:tcW w:type="dxa" w:w="3312"/>
          </w:tcPr>
          <w:p>
            <w:r>
              <w:t>roles</w:t>
            </w:r>
          </w:p>
        </w:tc>
        <w:tc>
          <w:tcPr>
            <w:tcW w:type="dxa" w:w="3312"/>
          </w:tcPr>
          <w:p>
            <w:r>
              <w:t>id, name, scope_type, tenant_id nullable, operator_org_id nullable, status, is_system_role</w:t>
            </w:r>
          </w:p>
        </w:tc>
        <w:tc>
          <w:tcPr>
            <w:tcW w:type="dxa" w:w="3312"/>
          </w:tcPr>
          <w:p>
            <w:r>
              <w:t>exactly one scope FK; unique scoped role name</w:t>
            </w:r>
          </w:p>
        </w:tc>
      </w:tr>
      <w:tr>
        <w:tc>
          <w:tcPr>
            <w:tcW w:type="dxa" w:w="3312"/>
          </w:tcPr>
          <w:p>
            <w:r>
              <w:t>role_permissions</w:t>
            </w:r>
          </w:p>
        </w:tc>
        <w:tc>
          <w:tcPr>
            <w:tcW w:type="dxa" w:w="3312"/>
          </w:tcPr>
          <w:p>
            <w:r>
              <w:t>role_id, permission_id</w:t>
            </w:r>
          </w:p>
        </w:tc>
        <w:tc>
          <w:tcPr>
            <w:tcW w:type="dxa" w:w="3312"/>
          </w:tcPr>
          <w:p>
            <w:r>
              <w:t>composite primary key; role and permission scopes must match</w:t>
            </w:r>
          </w:p>
        </w:tc>
      </w:tr>
      <w:tr>
        <w:tc>
          <w:tcPr>
            <w:tcW w:type="dxa" w:w="3312"/>
          </w:tcPr>
          <w:p>
            <w:r>
              <w:t>principal_roles</w:t>
            </w:r>
          </w:p>
        </w:tc>
        <w:tc>
          <w:tcPr>
            <w:tcW w:type="dxa" w:w="3312"/>
          </w:tcPr>
          <w:p>
            <w:r>
              <w:t>id, principal_id, role_id, tenant_id nullable, operator_org_id nullable, status, assigned_by, valid_from, valid_until, revoked_at</w:t>
            </w:r>
          </w:p>
        </w:tc>
        <w:tc>
          <w:tcPr>
            <w:tcW w:type="dxa" w:w="3312"/>
          </w:tcPr>
          <w:p>
            <w:r>
              <w:t>exactly one scope; assignment scope equals role scope</w:t>
            </w:r>
          </w:p>
        </w:tc>
      </w:tr>
      <w:tr>
        <w:tc>
          <w:tcPr>
            <w:tcW w:type="dxa" w:w="3312"/>
          </w:tcPr>
          <w:p>
            <w:r>
              <w:t>authorization_audit_log</w:t>
            </w:r>
          </w:p>
        </w:tc>
        <w:tc>
          <w:tcPr>
            <w:tcW w:type="dxa" w:w="3312"/>
          </w:tcPr>
          <w:p>
            <w:r>
              <w:t>id, principal_id, permission_code, scope_type, scope_id, decision, reason, request_id, created_at</w:t>
            </w:r>
          </w:p>
        </w:tc>
        <w:tc>
          <w:tcPr>
            <w:tcW w:type="dxa" w:w="3312"/>
          </w:tcPr>
          <w:p>
            <w:r>
              <w:t>append-only; log denials and privileged changes</w:t>
            </w:r>
          </w:p>
        </w:tc>
      </w:tr>
    </w:tbl>
    <w:p/>
    <w:p>
      <w:pPr>
        <w:pStyle w:val="Heading2"/>
      </w:pPr>
      <w:r>
        <w:t>PostgreSQL constraints</w:t>
      </w:r>
    </w:p>
    <w:p>
      <w:pPr>
        <w:pStyle w:val="NoSpacing"/>
        <w:ind w:left="360"/>
      </w:pPr>
      <w:r>
        <w:rPr>
          <w:rFonts w:ascii="Consolas" w:hAnsi="Consolas"/>
          <w:sz w:val="17"/>
        </w:rPr>
        <w:t>CHECK ((scope_type = 'tenant' AND tenant_id IS NOT NULL AND operator_org_id IS NULL)</w:t>
        <w:br/>
        <w:t xml:space="preserve">    OR (scope_type = 'platform' AND tenant_id IS NULL AND operator_org_id IS NOT NULL))</w:t>
      </w:r>
    </w:p>
    <w:p>
      <w:pPr>
        <w:pStyle w:val="NoSpacing"/>
        <w:ind w:left="360"/>
      </w:pPr>
      <w:r>
        <w:rPr>
          <w:rFonts w:ascii="Consolas" w:hAnsi="Consolas"/>
          <w:sz w:val="17"/>
        </w:rPr>
        <w:t>CHECK (scope_type = 'tenant' OR permission_code LIKE 'platform.%')</w:t>
      </w:r>
    </w:p>
    <w:p>
      <w:r>
        <w:t>Because a polymorphic scope_id cannot have a real foreign key to both tenants and operator organizations, use explicit nullable columns or a dedicated authorization_scopes table. Explicit columns are simpler for this project.</w:t>
      </w:r>
    </w:p>
    <w:p>
      <w:pPr>
        <w:pStyle w:val="Heading1"/>
      </w:pPr>
      <w:r>
        <w:t>5. Authorization algorithm</w:t>
      </w:r>
    </w:p>
    <w:p>
      <w:pPr>
        <w:pStyle w:val="ListNumber"/>
      </w:pPr>
      <w:r>
        <w:t>Validate JWT signature, issuer, audience, expiry, and algorithm.</w:t>
      </w:r>
    </w:p>
    <w:p>
      <w:pPr>
        <w:pStyle w:val="ListNumber"/>
      </w:pPr>
      <w:r>
        <w:t>Resolve (issuer, sub) to an internal principal.</w:t>
      </w:r>
    </w:p>
    <w:p>
      <w:pPr>
        <w:pStyle w:val="ListNumber"/>
      </w:pPr>
      <w:r>
        <w:t>Determine API surface: public or management.</w:t>
      </w:r>
    </w:p>
    <w:p>
      <w:pPr>
        <w:pStyle w:val="ListNumber"/>
      </w:pPr>
      <w:r>
        <w:t>Resolve tenant or operator organization from trusted routing/context.</w:t>
      </w:r>
    </w:p>
    <w:p>
      <w:pPr>
        <w:pStyle w:val="ListNumber"/>
      </w:pPr>
      <w:r>
        <w:t>Check principal status.</w:t>
      </w:r>
    </w:p>
    <w:p>
      <w:pPr>
        <w:pStyle w:val="ListNumber"/>
      </w:pPr>
      <w:r>
        <w:t>Check active membership in the requested scope.</w:t>
      </w:r>
    </w:p>
    <w:p>
      <w:pPr>
        <w:pStyle w:val="ListNumber"/>
      </w:pPr>
      <w:r>
        <w:t>Load permission from the database.</w:t>
      </w:r>
    </w:p>
    <w:p>
      <w:pPr>
        <w:pStyle w:val="ListNumber"/>
      </w:pPr>
      <w:r>
        <w:t>Load active role assignments in the same scope.</w:t>
      </w:r>
    </w:p>
    <w:p>
      <w:pPr>
        <w:pStyle w:val="ListNumber"/>
      </w:pPr>
      <w:r>
        <w:t>Join role permissions and allow only on an exact permission match.</w:t>
      </w:r>
    </w:p>
    <w:p>
      <w:pPr>
        <w:pStyle w:val="ListNumber"/>
      </w:pPr>
      <w:r>
        <w:t>Default to deny and write an audit event for denials or privileged mutations.</w:t>
      </w:r>
    </w:p>
    <w:p>
      <w:pPr>
        <w:pStyle w:val="Heading1"/>
      </w:pPr>
      <w:r>
        <w:t>6. Cursor prompts</w:t>
      </w:r>
    </w:p>
    <w:p>
      <w:pPr>
        <w:pStyle w:val="Heading2"/>
      </w:pPr>
      <w:r>
        <w:t>Prompt 1 - establish rules</w:t>
      </w:r>
    </w:p>
    <w:p>
      <w:pPr>
        <w:pStyle w:val="NoSpacing"/>
        <w:ind w:left="360"/>
      </w:pPr>
      <w:r>
        <w:rPr>
          <w:rFonts w:ascii="Consolas" w:hAnsi="Consolas"/>
          <w:sz w:val="17"/>
        </w:rPr>
        <w:t>You are implementing a Python FastAPI backend using Clean Architecture and Domain-Driven Design. Read the attached documents: system-overview2.md, identity-domain.md, authorization-domain.md, tenant-domain.md, and resource-domain.md.</w:t>
        <w:br/>
        <w:br/>
        <w:t>Create an implementation decision record. Identify bounded contexts, aggregate ownership, invariants, integration events, and conflicts. Do not write code yet. Treat domain documents as authoritative and schema PDFs as reference only. Stop and list questions for any ambiguity.</w:t>
      </w:r>
    </w:p>
    <w:p>
      <w:pPr>
        <w:pStyle w:val="Heading2"/>
      </w:pPr>
      <w:r>
        <w:t>Prompt 2 - create schema</w:t>
      </w:r>
    </w:p>
    <w:p>
      <w:pPr>
        <w:pStyle w:val="NoSpacing"/>
        <w:ind w:left="360"/>
      </w:pPr>
      <w:r>
        <w:rPr>
          <w:rFonts w:ascii="Consolas" w:hAnsi="Consolas"/>
          <w:sz w:val="17"/>
        </w:rPr>
        <w:t>Design PostgreSQL migrations and SQLAlchemy 2.x models for principals, users, identity_realms, credentials, service_accounts, api_keys, permissions, roles, role_permissions, principal_roles, and authorization_audit_log.</w:t>
        <w:br/>
        <w:br/>
        <w:t>Use UUIDs, timezone-aware timestamps, explicit tenant_id/operator_org_id scope columns, PostgreSQL CHECK constraints, unique constraints, indexes, and foreign keys. Do not use polymorphic scope_id. Do not store passwords, refresh tokens, or raw API keys. Include downgrade migrations and explain every constraint before writing files.</w:t>
      </w:r>
    </w:p>
    <w:p>
      <w:pPr>
        <w:pStyle w:val="Heading2"/>
      </w:pPr>
      <w:r>
        <w:t>Prompt 3 - identity adapter</w:t>
      </w:r>
    </w:p>
    <w:p>
      <w:pPr>
        <w:pStyle w:val="NoSpacing"/>
        <w:ind w:left="360"/>
      </w:pPr>
      <w:r>
        <w:rPr>
          <w:rFonts w:ascii="Consolas" w:hAnsi="Consolas"/>
          <w:sz w:val="17"/>
        </w:rPr>
        <w:t>Implement Keycloak JWT verification as an infrastructure adapter. Validate JWKS signature, RS256 algorithm, issuer, audience, expiration, not-before, and token type. Resolve (iss, sub) through credentials -&gt; principals. Never trust principal_id, roles, permissions, or tenant_id from the JWT. Create a framework-independent AuthenticatedPrincipal DTO and a FastAPI dependency get_authenticated_principal(). Add tests for wrong issuer, wrong audience, expired token, unknown subject, inactive principal, and key rotation.</w:t>
      </w:r>
    </w:p>
    <w:p>
      <w:pPr>
        <w:pStyle w:val="Heading2"/>
      </w:pPr>
      <w:r>
        <w:t>Prompt 4 - authorization domain</w:t>
      </w:r>
    </w:p>
    <w:p>
      <w:pPr>
        <w:pStyle w:val="NoSpacing"/>
        <w:ind w:left="360"/>
      </w:pPr>
      <w:r>
        <w:rPr>
          <w:rFonts w:ascii="Consolas" w:hAnsi="Consolas"/>
          <w:sz w:val="17"/>
        </w:rPr>
        <w:t>Implement AuthorizationService.authorize() with default deny. It must validate principal status, active tenant/operator membership, active tenant, permission scope, role scope, assignment validity dates, role status, permission status, and exact role_permissions match. Public routes may evaluate only tenant permissions. Management routes may evaluate only platform.* permissions. Do not read RBAC roles from JWT. Add repository interfaces in the domain and SQLAlchemy implementations in infrastructure.</w:t>
      </w:r>
    </w:p>
    <w:p>
      <w:pPr>
        <w:pStyle w:val="Heading2"/>
      </w:pPr>
      <w:r>
        <w:t>Prompt 5 - seed catalog</w:t>
      </w:r>
    </w:p>
    <w:p>
      <w:pPr>
        <w:pStyle w:val="NoSpacing"/>
        <w:ind w:left="360"/>
      </w:pPr>
      <w:r>
        <w:rPr>
          <w:rFonts w:ascii="Consolas" w:hAnsi="Consolas"/>
          <w:sz w:val="17"/>
        </w:rPr>
        <w:t>Create an idempotent migration or seed command for the permission catalog and system roles. Use permissions: resource.read, resource.create, resource.update, resource.delete, tenant.member.read, tenant.member.invite, tenant.member.revoke, tenant.settings.update, vendor.read, vendor.manage, billing.invoice.read, platform.tenant.read, platform.tenant.suspend. Prevent tenant roles from receiving platform permissions. Make seed operations safe to rerun.</w:t>
      </w:r>
    </w:p>
    <w:p>
      <w:pPr>
        <w:pStyle w:val="Heading2"/>
      </w:pPr>
      <w:r>
        <w:t>Prompt 6 - vertical slice</w:t>
      </w:r>
    </w:p>
    <w:p>
      <w:pPr>
        <w:pStyle w:val="NoSpacing"/>
        <w:ind w:left="360"/>
      </w:pPr>
      <w:r>
        <w:rPr>
          <w:rFonts w:ascii="Consolas" w:hAnsi="Consolas"/>
          <w:sz w:val="17"/>
        </w:rPr>
        <w:t>Implement the vertical slice POST /api/v1/tenants/{tenant_id}/resources using a command handler, resource aggregate, repository port, SQLAlchemy repository, transaction boundary, and FastAPI route. Require resource.create through AuthorizationService. Verify active membership and tenant status. Every resource query and write must be tenant-scoped. Add tests for success, missing membership, missing permission, revoked role, inactive tenant, tenant A accessing tenant B, and invalid JWT.</w:t>
      </w:r>
    </w:p>
    <w:p>
      <w:pPr>
        <w:pStyle w:val="Heading2"/>
      </w:pPr>
      <w:r>
        <w:t>Prompt 7 - review</w:t>
      </w:r>
    </w:p>
    <w:p>
      <w:pPr>
        <w:pStyle w:val="NoSpacing"/>
        <w:ind w:left="360"/>
      </w:pPr>
      <w:r>
        <w:rPr>
          <w:rFonts w:ascii="Consolas" w:hAnsi="Consolas"/>
          <w:sz w:val="17"/>
        </w:rPr>
        <w:t>Perform a security and architecture review of the implementation. Look for confused-deputy bugs, tenant ID tampering, JWT claim trust, cross-scope role assignment, missing database constraints, transaction/outbox failures, raw secret storage, inconsistent error handling, and imports that violate Clean Architecture. Return findings ordered by severity and then implement only approved fixes.</w:t>
      </w:r>
    </w:p>
    <w:p>
      <w:pPr>
        <w:pStyle w:val="Heading1"/>
      </w:pPr>
      <w:r>
        <w:t>7. Cursor operating rules</w:t>
      </w:r>
    </w:p>
    <w:p>
      <w:pPr>
        <w:pStyle w:val="ListBullet"/>
      </w:pPr>
      <w:r>
        <w:t>Ask Cursor for a plan before changing more than one bounded context.</w:t>
      </w:r>
    </w:p>
    <w:p>
      <w:pPr>
        <w:pStyle w:val="ListBullet"/>
      </w:pPr>
      <w:r>
        <w:t>Make one prompt produce one coherent change set.</w:t>
      </w:r>
    </w:p>
    <w:p>
      <w:pPr>
        <w:pStyle w:val="ListBullet"/>
      </w:pPr>
      <w:r>
        <w:t>Require tests in the same change as production code.</w:t>
      </w:r>
    </w:p>
    <w:p>
      <w:pPr>
        <w:pStyle w:val="ListBullet"/>
      </w:pPr>
      <w:r>
        <w:t>Use migrations rather than silently modifying tables.</w:t>
      </w:r>
    </w:p>
    <w:p>
      <w:pPr>
        <w:pStyle w:val="ListBullet"/>
      </w:pPr>
      <w:r>
        <w:t>Never allow Cursor to invent missing tenant or organization columns.</w:t>
      </w:r>
    </w:p>
    <w:p>
      <w:pPr>
        <w:pStyle w:val="ListBullet"/>
      </w:pPr>
      <w:r>
        <w:t>Keep domain code independent of FastAPI, SQLAlchemy, Keycloak, and Pydantic.</w:t>
      </w:r>
    </w:p>
    <w:p>
      <w:pPr>
        <w:pStyle w:val="ListBullet"/>
      </w:pPr>
      <w:r>
        <w:t>Require explicit file lists and a summary of changed invariants.</w:t>
      </w:r>
    </w:p>
    <w:p>
      <w:pPr>
        <w:pStyle w:val="ListBullet"/>
      </w:pPr>
      <w:r>
        <w:t>Run formatting, type checking, unit tests, integration tests, and migration checks after each slice.</w:t>
      </w:r>
    </w:p>
    <w:p>
      <w:pPr>
        <w:pStyle w:val="Heading1"/>
      </w:pPr>
      <w:r>
        <w:t>8. Recommended implementation order</w:t>
      </w:r>
    </w:p>
    <w:p>
      <w:pPr>
        <w:pStyle w:val="ListNumber"/>
      </w:pPr>
      <w:r>
        <w:t>Decision record and conflict resolution.</w:t>
      </w:r>
    </w:p>
    <w:p>
      <w:pPr>
        <w:pStyle w:val="ListNumber"/>
      </w:pPr>
      <w:r>
        <w:t>Database migrations and models.</w:t>
      </w:r>
    </w:p>
    <w:p>
      <w:pPr>
        <w:pStyle w:val="ListNumber"/>
      </w:pPr>
      <w:r>
        <w:t>Principal and credential repository.</w:t>
      </w:r>
    </w:p>
    <w:p>
      <w:pPr>
        <w:pStyle w:val="ListNumber"/>
      </w:pPr>
      <w:r>
        <w:t>Keycloak JWT verification.</w:t>
      </w:r>
    </w:p>
    <w:p>
      <w:pPr>
        <w:pStyle w:val="ListNumber"/>
      </w:pPr>
      <w:r>
        <w:t>FastAPI authentication dependency.</w:t>
      </w:r>
    </w:p>
    <w:p>
      <w:pPr>
        <w:pStyle w:val="ListNumber"/>
      </w:pPr>
      <w:r>
        <w:t>Tenant membership repository and active-membership policy.</w:t>
      </w:r>
    </w:p>
    <w:p>
      <w:pPr>
        <w:pStyle w:val="ListNumber"/>
      </w:pPr>
      <w:r>
        <w:t>Authorization service and RBAC repositories.</w:t>
      </w:r>
    </w:p>
    <w:p>
      <w:pPr>
        <w:pStyle w:val="ListNumber"/>
      </w:pPr>
      <w:r>
        <w:t>Permission/role seed data.</w:t>
      </w:r>
    </w:p>
    <w:p>
      <w:pPr>
        <w:pStyle w:val="ListNumber"/>
      </w:pPr>
      <w:r>
        <w:t>Resource vertical slice.</w:t>
      </w:r>
    </w:p>
    <w:p>
      <w:pPr>
        <w:pStyle w:val="ListNumber"/>
      </w:pPr>
      <w:r>
        <w:t>Security tests and architecture review.</w:t>
      </w:r>
    </w:p>
    <w:p>
      <w:r>
        <w:rPr>
          <w:b/>
        </w:rPr>
        <w:t xml:space="preserve">Do not begin with organization-realm provisioning. </w:t>
      </w:r>
      <w:r>
        <w:t>First stabilize platform-realm authentication, internal principal mapping, membership checks, and one tenant-scoped resource operation. Add organization realm provisioning after this vertical slice is tested.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Identity and Authorization Backend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18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7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