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rPr>
          <w:b/>
          <w:bCs/>
        </w:rPr>
        <w:t xml:space="preserve">Use-Case Flow: Reserve Charging Slot</w:t>
      </w:r>
    </w:p>
    <w:p>
      <w:pPr>
        <w:spacing w:after="160"/>
      </w:pPr>
      <w:r>
        <w:rPr>
          <w:i/>
          <w:iCs/>
          <w:sz w:val="19"/>
          <w:szCs w:val="19"/>
        </w:rPr>
        <w:t xml:space="preserve">Anushka | PES1UG24CS074 | Section B | EV Charging Station Reservation System (UC-02)</w:t>
      </w:r>
    </w:p>
    <w:p>
      <w:pPr>
        <w:spacing w:after="100"/>
      </w:pPr>
      <w:r>
        <w:rPr>
          <w:b/>
          <w:bCs/>
          <w:sz w:val="21"/>
          <w:szCs w:val="21"/>
        </w:rPr>
        <w:t xml:space="preserve">Primary Actor: </w:t>
      </w:r>
      <w:r>
        <w:rPr>
          <w:sz w:val="21"/>
          <w:szCs w:val="21"/>
        </w:rPr>
        <w:t xml:space="preserve">EV Driver</w:t>
      </w:r>
    </w:p>
    <w:p>
      <w:pPr>
        <w:spacing w:after="100"/>
      </w:pPr>
      <w:r>
        <w:rPr>
          <w:b/>
          <w:bCs/>
          <w:sz w:val="21"/>
          <w:szCs w:val="21"/>
        </w:rPr>
        <w:t xml:space="preserve">Secondary Actors: </w:t>
      </w:r>
      <w:r>
        <w:rPr>
          <w:sz w:val="21"/>
          <w:szCs w:val="21"/>
        </w:rPr>
        <w:t xml:space="preserve">Payment Gateway (via &lt;&lt;include&gt;&gt; Process Payment, UC-03)</w:t>
      </w:r>
    </w:p>
    <w:p>
      <w:pPr>
        <w:spacing w:after="100"/>
      </w:pPr>
      <w:r>
        <w:rPr>
          <w:b/>
          <w:bCs/>
          <w:sz w:val="21"/>
          <w:szCs w:val="21"/>
        </w:rPr>
        <w:t xml:space="preserve">Preconditions: </w:t>
      </w:r>
      <w:r>
        <w:rPr>
          <w:sz w:val="21"/>
          <w:szCs w:val="21"/>
        </w:rPr>
        <w:t xml:space="preserve">The driver is logged into the app, location services are enabled, and at least one charging station has a socket matching the driver's connector type shown as Available.</w:t>
      </w:r>
    </w:p>
    <w:p>
      <w:pPr>
        <w:spacing w:after="100"/>
      </w:pPr>
      <w:r>
        <w:rPr>
          <w:b/>
          <w:bCs/>
          <w:sz w:val="21"/>
          <w:szCs w:val="21"/>
        </w:rPr>
        <w:t xml:space="preserve">Postconditions (Success): </w:t>
      </w:r>
      <w:r>
        <w:rPr>
          <w:sz w:val="21"/>
          <w:szCs w:val="21"/>
        </w:rPr>
        <w:t xml:space="preserve">A 30-minute charging slot is locked to the driver's vehicle, payment is authorized, and a confirmation with a reservation ID is sent to the driver.</w:t>
      </w:r>
    </w:p>
    <w:p>
      <w:pPr>
        <w:spacing w:after="100"/>
      </w:pPr>
      <w:r>
        <w:rPr>
          <w:b/>
          <w:bCs/>
          <w:sz w:val="21"/>
          <w:szCs w:val="21"/>
        </w:rPr>
        <w:t xml:space="preserve">Postconditions (Failure): </w:t>
      </w:r>
      <w:r>
        <w:rPr>
          <w:sz w:val="21"/>
          <w:szCs w:val="21"/>
        </w:rPr>
        <w:t xml:space="preserve">No slot is locked, no payment is captured, and the driver is returned to the search results screen.</w:t>
      </w:r>
    </w:p>
    <w:p>
      <w:pPr>
        <w:pStyle w:val="Heading2"/>
        <w:spacing w:after="80" w:before="160"/>
      </w:pPr>
      <w:r>
        <w:rPr>
          <w:b/>
          <w:bCs/>
          <w:color w:val="1F4E79"/>
        </w:rPr>
        <w:t xml:space="preserve">Main Success Scenario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Driver selects a charging station from the search results (see UC-01) and taps “Reserve Slot.”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System displays available connector types and time slots at that station.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Driver selects a connector type and a start time for the reservation.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System checks the driver's vehicle connector type against the selected charger (FR-001) and confirms compatibility.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System locks the socket for the driver and starts the reservation-hold timer.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System triggers Process Payment (UC-03) via &lt;&lt;include&gt;&gt; to authorize the reservation fee.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Payment Gateway authorizes the payment and returns a success response.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System confirms the 30-minute reservation window and generates a reservation ID.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System sends a confirmation notification to the driver (FR-004) and schedules a reminder for 10 minutes before slot start.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Use case ends successfully.</w:t>
      </w:r>
    </w:p>
    <w:p>
      <w:pPr>
        <w:pStyle w:val="Heading2"/>
        <w:spacing w:after="80" w:before="160"/>
      </w:pPr>
      <w:r>
        <w:rPr>
          <w:b/>
          <w:bCs/>
          <w:color w:val="1F4E79"/>
        </w:rPr>
        <w:t xml:space="preserve">Alternate Flow — 8a: Payment Declined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1"/>
          <w:szCs w:val="21"/>
        </w:rPr>
        <w:t xml:space="preserve">At step 8, the Payment Gateway declines the payment.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1"/>
          <w:szCs w:val="21"/>
        </w:rPr>
        <w:t xml:space="preserve">System displays a “Payment Failed” message and releases the socket lock.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1"/>
          <w:szCs w:val="21"/>
        </w:rPr>
        <w:t xml:space="preserve">Driver is prompted to select a different payment method or retry.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1"/>
          <w:szCs w:val="21"/>
        </w:rPr>
        <w:t xml:space="preserve">If payment fails twice, the reservation attempt is cancelled and the driver is notified and returned to search results.</w:t>
      </w:r>
    </w:p>
    <w:p>
      <w:pPr>
        <w:pStyle w:val="Heading2"/>
        <w:spacing w:after="80" w:before="160"/>
      </w:pPr>
      <w:r>
        <w:rPr>
          <w:b/>
          <w:bCs/>
          <w:color w:val="1F4E79"/>
        </w:rPr>
        <w:t xml:space="preserve">Alternate Flow — 4a: Incompatible Connector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sz w:val="21"/>
          <w:szCs w:val="21"/>
        </w:rPr>
        <w:t xml:space="preserve">At step 4, the selected connector type does not match the driver's vehicle.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sz w:val="21"/>
          <w:szCs w:val="21"/>
        </w:rPr>
        <w:t xml:space="preserve">System hides the incompatible option and displays only compatible connectors, per FR-001.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sz w:val="21"/>
          <w:szCs w:val="21"/>
        </w:rPr>
        <w:t xml:space="preserve">Driver selects a compatible connector and the flow resumes at step 5.</w:t>
      </w:r>
    </w:p>
    <w:sectPr>
      <w:pgSz w:w="11906" w:h="16838" w:orient="portrait"/>
      <w:pgMar w:top="700" w:right="900" w:bottom="7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40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lowerLetter"/>
      <w:lvlText w:val="%1."/>
      <w:lvlJc w:val="start"/>
      <w:pPr>
        <w:ind w:left="760" w:hanging="260"/>
      </w:pPr>
    </w:lvl>
  </w:abstractNum>
  <w:abstractNum w:abstractNumId="4" w15:restartNumberingAfterBreak="0">
    <w:multiLevelType w:val="hybridMultilevel"/>
    <w:lvl w:ilvl="0" w15:tentative="1">
      <w:start w:val="1"/>
      <w:numFmt w:val="lowerLetter"/>
      <w:lvlText w:val="%1."/>
      <w:lvlJc w:val="start"/>
      <w:pPr>
        <w:ind w:left="7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2026-08-25T05:44:58.901Z</dcterms:created>
  <dcterms:modified xsi:type="dcterms:W3CDTF">2026-08-25T05:44:58.901Z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