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CAD65" w14:textId="77777777" w:rsidR="00B22691" w:rsidRPr="00600514" w:rsidRDefault="00B22691" w:rsidP="00600514">
      <w:pPr>
        <w:spacing w:before="1400" w:line="276" w:lineRule="auto"/>
        <w:jc w:val="both"/>
        <w:rPr>
          <w:rFonts w:ascii="Arial" w:hAnsi="Arial" w:cs="Arial"/>
        </w:rPr>
      </w:pPr>
    </w:p>
    <w:p w14:paraId="5454C858" w14:textId="77777777" w:rsidR="00B22691" w:rsidRPr="00D3619D" w:rsidRDefault="00352D7B" w:rsidP="00D3619D">
      <w:pPr>
        <w:spacing w:line="276" w:lineRule="auto"/>
        <w:jc w:val="center"/>
        <w:rPr>
          <w:rFonts w:ascii="Arial" w:hAnsi="Arial" w:cs="Arial"/>
          <w:sz w:val="22"/>
          <w:szCs w:val="22"/>
        </w:rPr>
      </w:pPr>
      <w:proofErr w:type="spellStart"/>
      <w:r w:rsidRPr="00D3619D">
        <w:rPr>
          <w:rFonts w:ascii="Arial" w:hAnsi="Arial" w:cs="Arial"/>
          <w:b/>
          <w:bCs/>
          <w:color w:val="1F3B57"/>
          <w:sz w:val="96"/>
          <w:szCs w:val="96"/>
        </w:rPr>
        <w:t>AgroScout</w:t>
      </w:r>
      <w:proofErr w:type="spellEnd"/>
      <w:r w:rsidRPr="00D3619D">
        <w:rPr>
          <w:rFonts w:ascii="Arial" w:hAnsi="Arial" w:cs="Arial"/>
          <w:b/>
          <w:bCs/>
          <w:color w:val="1F3B57"/>
          <w:sz w:val="96"/>
          <w:szCs w:val="96"/>
        </w:rPr>
        <w:t xml:space="preserve"> IA</w:t>
      </w:r>
    </w:p>
    <w:p w14:paraId="5396AAD7" w14:textId="77777777" w:rsidR="00B22691" w:rsidRPr="00D3619D" w:rsidRDefault="00352D7B" w:rsidP="00D3619D">
      <w:pPr>
        <w:spacing w:before="40" w:after="200" w:line="276" w:lineRule="auto"/>
        <w:jc w:val="center"/>
        <w:rPr>
          <w:rFonts w:ascii="Arial" w:hAnsi="Arial" w:cs="Arial"/>
          <w:sz w:val="22"/>
          <w:szCs w:val="22"/>
        </w:rPr>
      </w:pPr>
      <w:r w:rsidRPr="00D3619D">
        <w:rPr>
          <w:rFonts w:ascii="Arial" w:hAnsi="Arial" w:cs="Arial"/>
          <w:b/>
          <w:bCs/>
          <w:color w:val="8A6D00"/>
          <w:sz w:val="40"/>
          <w:szCs w:val="40"/>
        </w:rPr>
        <w:t>Versión Lite</w:t>
      </w:r>
    </w:p>
    <w:p w14:paraId="5624CFE6" w14:textId="77777777" w:rsidR="00B22691" w:rsidRPr="00D3619D" w:rsidRDefault="00352D7B" w:rsidP="00D3619D">
      <w:pPr>
        <w:spacing w:before="200" w:after="100" w:line="276" w:lineRule="auto"/>
        <w:jc w:val="center"/>
        <w:rPr>
          <w:rFonts w:ascii="Arial" w:hAnsi="Arial" w:cs="Arial"/>
          <w:sz w:val="22"/>
          <w:szCs w:val="22"/>
        </w:rPr>
      </w:pPr>
      <w:r w:rsidRPr="00D3619D">
        <w:rPr>
          <w:rFonts w:ascii="Arial" w:hAnsi="Arial" w:cs="Arial"/>
          <w:b/>
          <w:bCs/>
          <w:color w:val="3F7D4F"/>
          <w:sz w:val="32"/>
          <w:szCs w:val="32"/>
        </w:rPr>
        <w:t>Buscador inteligente de oportunidades de valor agregado</w:t>
      </w:r>
    </w:p>
    <w:p w14:paraId="5D488391" w14:textId="77777777" w:rsidR="00B22691" w:rsidRPr="00D3619D" w:rsidRDefault="00352D7B" w:rsidP="00D3619D">
      <w:pPr>
        <w:spacing w:after="700" w:line="276" w:lineRule="auto"/>
        <w:jc w:val="center"/>
        <w:rPr>
          <w:rFonts w:ascii="Arial" w:hAnsi="Arial" w:cs="Arial"/>
          <w:sz w:val="22"/>
          <w:szCs w:val="22"/>
        </w:rPr>
      </w:pPr>
      <w:r w:rsidRPr="00D3619D">
        <w:rPr>
          <w:rFonts w:ascii="Arial" w:hAnsi="Arial" w:cs="Arial"/>
          <w:b/>
          <w:bCs/>
          <w:color w:val="3F7D4F"/>
          <w:sz w:val="32"/>
          <w:szCs w:val="32"/>
        </w:rPr>
        <w:t>basado exclusivamente en fuentes de datos abiertas y gratuitas</w:t>
      </w:r>
    </w:p>
    <w:p w14:paraId="41EC49C9" w14:textId="77777777" w:rsidR="00B22691" w:rsidRPr="00D3619D" w:rsidRDefault="00352D7B" w:rsidP="00D3619D">
      <w:pPr>
        <w:spacing w:after="60" w:line="276" w:lineRule="auto"/>
        <w:jc w:val="center"/>
        <w:rPr>
          <w:rFonts w:ascii="Arial" w:hAnsi="Arial" w:cs="Arial"/>
          <w:sz w:val="22"/>
          <w:szCs w:val="22"/>
        </w:rPr>
      </w:pPr>
      <w:r w:rsidRPr="00D3619D">
        <w:rPr>
          <w:rFonts w:ascii="Arial" w:hAnsi="Arial" w:cs="Arial"/>
          <w:color w:val="444444"/>
          <w:sz w:val="24"/>
          <w:szCs w:val="24"/>
        </w:rPr>
        <w:t>Propuesta de plataforma con inteligencia artificial — versión de bajo costo</w:t>
      </w:r>
    </w:p>
    <w:p w14:paraId="20D78461" w14:textId="77777777" w:rsidR="00B22691" w:rsidRPr="00D3619D" w:rsidRDefault="00352D7B" w:rsidP="00D3619D">
      <w:pPr>
        <w:spacing w:after="60" w:line="276" w:lineRule="auto"/>
        <w:jc w:val="center"/>
        <w:rPr>
          <w:rFonts w:ascii="Arial" w:hAnsi="Arial" w:cs="Arial"/>
          <w:sz w:val="22"/>
          <w:szCs w:val="22"/>
        </w:rPr>
      </w:pPr>
      <w:r w:rsidRPr="00D3619D">
        <w:rPr>
          <w:rFonts w:ascii="Arial" w:hAnsi="Arial" w:cs="Arial"/>
          <w:color w:val="444444"/>
          <w:sz w:val="24"/>
          <w:szCs w:val="24"/>
        </w:rPr>
        <w:t>Orientada al ecosistema de empresas atendidas por el</w:t>
      </w:r>
    </w:p>
    <w:p w14:paraId="06FE4759" w14:textId="77777777" w:rsidR="00B22691" w:rsidRPr="00D3619D" w:rsidRDefault="00352D7B" w:rsidP="00D3619D">
      <w:pPr>
        <w:spacing w:after="600" w:line="276" w:lineRule="auto"/>
        <w:jc w:val="center"/>
        <w:rPr>
          <w:rFonts w:ascii="Arial" w:hAnsi="Arial" w:cs="Arial"/>
          <w:sz w:val="22"/>
          <w:szCs w:val="22"/>
        </w:rPr>
      </w:pPr>
      <w:r w:rsidRPr="00D3619D">
        <w:rPr>
          <w:rFonts w:ascii="Arial" w:hAnsi="Arial" w:cs="Arial"/>
          <w:b/>
          <w:bCs/>
          <w:color w:val="444444"/>
          <w:sz w:val="24"/>
          <w:szCs w:val="24"/>
        </w:rPr>
        <w:t>CITEagroindustrial Chavimochic — La Libertad, Perú</w:t>
      </w:r>
    </w:p>
    <w:p w14:paraId="6403C718" w14:textId="77777777" w:rsidR="00B22691" w:rsidRPr="00D3619D" w:rsidRDefault="00352D7B" w:rsidP="00D3619D">
      <w:pPr>
        <w:spacing w:line="276" w:lineRule="auto"/>
        <w:jc w:val="center"/>
        <w:rPr>
          <w:rFonts w:ascii="Arial" w:hAnsi="Arial" w:cs="Arial"/>
          <w:sz w:val="22"/>
          <w:szCs w:val="22"/>
        </w:rPr>
      </w:pPr>
      <w:r w:rsidRPr="00D3619D">
        <w:rPr>
          <w:rFonts w:ascii="Arial" w:hAnsi="Arial" w:cs="Arial"/>
          <w:color w:val="5A5A5A"/>
          <w:sz w:val="22"/>
          <w:szCs w:val="22"/>
        </w:rPr>
        <w:t>Julio 2026</w:t>
      </w:r>
    </w:p>
    <w:p w14:paraId="7FF9D289" w14:textId="77777777" w:rsidR="00B22691" w:rsidRPr="00D3619D" w:rsidRDefault="00352D7B" w:rsidP="00D3619D">
      <w:pPr>
        <w:spacing w:line="276" w:lineRule="auto"/>
        <w:jc w:val="center"/>
        <w:rPr>
          <w:rFonts w:ascii="Arial" w:hAnsi="Arial" w:cs="Arial"/>
          <w:sz w:val="22"/>
          <w:szCs w:val="22"/>
        </w:rPr>
      </w:pPr>
      <w:r w:rsidRPr="00D3619D">
        <w:rPr>
          <w:rFonts w:ascii="Arial" w:hAnsi="Arial" w:cs="Arial"/>
          <w:sz w:val="22"/>
          <w:szCs w:val="22"/>
        </w:rPr>
        <w:br w:type="page"/>
      </w:r>
    </w:p>
    <w:p w14:paraId="1F7984F7" w14:textId="77777777" w:rsidR="00600514" w:rsidRPr="00600514" w:rsidRDefault="00600514" w:rsidP="00600514">
      <w:pPr>
        <w:pStyle w:val="Ttulo1"/>
        <w:pBdr>
          <w:bottom w:val="single" w:sz="6" w:space="4" w:color="3F7D4F"/>
        </w:pBdr>
        <w:spacing w:before="360" w:after="160" w:line="276" w:lineRule="auto"/>
        <w:jc w:val="both"/>
        <w:rPr>
          <w:rFonts w:ascii="Arial" w:hAnsi="Arial" w:cs="Arial"/>
          <w:b/>
          <w:bCs/>
          <w:color w:val="1F3B57"/>
          <w:sz w:val="28"/>
          <w:szCs w:val="28"/>
        </w:rPr>
      </w:pPr>
    </w:p>
    <w:p w14:paraId="2E0EC469" w14:textId="1AA0A227" w:rsidR="00B22691" w:rsidRPr="00600514" w:rsidRDefault="00352D7B" w:rsidP="00600514">
      <w:pPr>
        <w:pStyle w:val="Ttulo1"/>
        <w:pBdr>
          <w:bottom w:val="single" w:sz="6" w:space="4" w:color="3F7D4F"/>
        </w:pBdr>
        <w:spacing w:before="360" w:after="160" w:line="276" w:lineRule="auto"/>
        <w:jc w:val="both"/>
        <w:rPr>
          <w:rFonts w:ascii="Arial" w:hAnsi="Arial" w:cs="Arial"/>
        </w:rPr>
      </w:pPr>
      <w:r w:rsidRPr="00600514">
        <w:rPr>
          <w:rFonts w:ascii="Arial" w:hAnsi="Arial" w:cs="Arial"/>
          <w:b/>
          <w:bCs/>
          <w:color w:val="1F3B57"/>
          <w:sz w:val="28"/>
          <w:szCs w:val="28"/>
        </w:rPr>
        <w:t>1. Resumen ejecutivo</w:t>
      </w:r>
    </w:p>
    <w:p w14:paraId="0791C6B1" w14:textId="77777777" w:rsidR="00B22691" w:rsidRPr="00600514" w:rsidRDefault="00352D7B" w:rsidP="00600514">
      <w:pPr>
        <w:spacing w:after="160" w:line="276" w:lineRule="auto"/>
        <w:jc w:val="both"/>
        <w:rPr>
          <w:rFonts w:ascii="Arial" w:hAnsi="Arial" w:cs="Arial"/>
        </w:rPr>
      </w:pPr>
      <w:proofErr w:type="spellStart"/>
      <w:r w:rsidRPr="00600514">
        <w:rPr>
          <w:rFonts w:ascii="Arial" w:hAnsi="Arial" w:cs="Arial"/>
          <w:color w:val="222222"/>
          <w:sz w:val="22"/>
          <w:szCs w:val="22"/>
        </w:rPr>
        <w:t>AgroScout</w:t>
      </w:r>
      <w:proofErr w:type="spellEnd"/>
      <w:r w:rsidRPr="00600514">
        <w:rPr>
          <w:rFonts w:ascii="Arial" w:hAnsi="Arial" w:cs="Arial"/>
          <w:color w:val="222222"/>
          <w:sz w:val="22"/>
          <w:szCs w:val="22"/>
        </w:rPr>
        <w:t xml:space="preserve"> IA Lite es la versión de bajo costo y bajo riesgo técnico de la plataforma </w:t>
      </w:r>
      <w:proofErr w:type="spellStart"/>
      <w:r w:rsidRPr="00600514">
        <w:rPr>
          <w:rFonts w:ascii="Arial" w:hAnsi="Arial" w:cs="Arial"/>
          <w:color w:val="222222"/>
          <w:sz w:val="22"/>
          <w:szCs w:val="22"/>
        </w:rPr>
        <w:t>AgroScout</w:t>
      </w:r>
      <w:proofErr w:type="spellEnd"/>
      <w:r w:rsidRPr="00600514">
        <w:rPr>
          <w:rFonts w:ascii="Arial" w:hAnsi="Arial" w:cs="Arial"/>
          <w:color w:val="222222"/>
          <w:sz w:val="22"/>
          <w:szCs w:val="22"/>
        </w:rPr>
        <w:t xml:space="preserve"> IA. Ayuda a </w:t>
      </w:r>
      <w:proofErr w:type="spellStart"/>
      <w:r w:rsidRPr="00600514">
        <w:rPr>
          <w:rFonts w:ascii="Arial" w:hAnsi="Arial" w:cs="Arial"/>
          <w:color w:val="222222"/>
          <w:sz w:val="22"/>
          <w:szCs w:val="22"/>
        </w:rPr>
        <w:t>mipymes</w:t>
      </w:r>
      <w:proofErr w:type="spellEnd"/>
      <w:r w:rsidRPr="00600514">
        <w:rPr>
          <w:rFonts w:ascii="Arial" w:hAnsi="Arial" w:cs="Arial"/>
          <w:color w:val="222222"/>
          <w:sz w:val="22"/>
          <w:szCs w:val="22"/>
        </w:rPr>
        <w:t>, cooperativas y empresas agroindustriales del norte del país a responder qué producto de valor agregado pueden desarrollar con un insumo o subproducto disponible, apoyándose exclusivamente en fuentes de datos públicas, abiertas y pensadas para ser consultadas por terceros.</w:t>
      </w:r>
    </w:p>
    <w:p w14:paraId="7E801FE8" w14:textId="77777777" w:rsidR="00B22691" w:rsidRPr="00600514" w:rsidRDefault="00352D7B" w:rsidP="00600514">
      <w:pPr>
        <w:spacing w:after="160" w:line="276" w:lineRule="auto"/>
        <w:jc w:val="both"/>
        <w:rPr>
          <w:rFonts w:ascii="Arial" w:hAnsi="Arial" w:cs="Arial"/>
        </w:rPr>
      </w:pPr>
      <w:r w:rsidRPr="00600514">
        <w:rPr>
          <w:rFonts w:ascii="Arial" w:hAnsi="Arial" w:cs="Arial"/>
          <w:color w:val="222222"/>
          <w:sz w:val="22"/>
          <w:szCs w:val="22"/>
        </w:rPr>
        <w:t>A diferencia de la versión completa, esta variante elimina toda dependencia de búsqueda o extracción de datos desde sitios de comercio electrónico, evitando así los riesgos de bloqueo técnico (</w:t>
      </w:r>
      <w:proofErr w:type="spellStart"/>
      <w:r w:rsidRPr="00600514">
        <w:rPr>
          <w:rFonts w:ascii="Arial" w:hAnsi="Arial" w:cs="Arial"/>
          <w:color w:val="222222"/>
          <w:sz w:val="22"/>
          <w:szCs w:val="22"/>
        </w:rPr>
        <w:t>anti-bot</w:t>
      </w:r>
      <w:proofErr w:type="spellEnd"/>
      <w:r w:rsidRPr="00600514">
        <w:rPr>
          <w:rFonts w:ascii="Arial" w:hAnsi="Arial" w:cs="Arial"/>
          <w:color w:val="222222"/>
          <w:sz w:val="22"/>
          <w:szCs w:val="22"/>
        </w:rPr>
        <w:t xml:space="preserve">) y los posibles conflictos legales asociados al </w:t>
      </w:r>
      <w:proofErr w:type="spellStart"/>
      <w:r w:rsidRPr="00600514">
        <w:rPr>
          <w:rFonts w:ascii="Arial" w:hAnsi="Arial" w:cs="Arial"/>
          <w:color w:val="222222"/>
          <w:sz w:val="22"/>
          <w:szCs w:val="22"/>
        </w:rPr>
        <w:t>scraping</w:t>
      </w:r>
      <w:proofErr w:type="spellEnd"/>
      <w:r w:rsidRPr="00600514">
        <w:rPr>
          <w:rFonts w:ascii="Arial" w:hAnsi="Arial" w:cs="Arial"/>
          <w:color w:val="222222"/>
          <w:sz w:val="22"/>
          <w:szCs w:val="22"/>
        </w:rPr>
        <w:t>. El resultado es una plataforma más simple, más barata de construir y mantener, y más rápida de lanzar como MVP.</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B22691" w:rsidRPr="00600514" w14:paraId="307C7511" w14:textId="77777777">
        <w:tblPrEx>
          <w:tblCellMar>
            <w:top w:w="0" w:type="dxa"/>
            <w:bottom w:w="0" w:type="dxa"/>
          </w:tblCellMar>
        </w:tblPrEx>
        <w:tc>
          <w:tcPr>
            <w:tcW w:w="0" w:type="auto"/>
            <w:tcBorders>
              <w:top w:val="single" w:sz="4" w:space="0" w:color="8A6D00"/>
              <w:left w:val="single" w:sz="24" w:space="0" w:color="8A6D00"/>
              <w:bottom w:val="single" w:sz="4" w:space="0" w:color="8A6D00"/>
              <w:right w:val="single" w:sz="4" w:space="0" w:color="8A6D00"/>
            </w:tcBorders>
            <w:shd w:val="clear" w:color="auto" w:fill="FBF3DC"/>
            <w:tcMar>
              <w:top w:w="160" w:type="dxa"/>
              <w:left w:w="200" w:type="dxa"/>
              <w:bottom w:w="160" w:type="dxa"/>
              <w:right w:w="200" w:type="dxa"/>
            </w:tcMar>
          </w:tcPr>
          <w:p w14:paraId="1454FC8C" w14:textId="77777777" w:rsidR="00B22691" w:rsidRPr="00600514" w:rsidRDefault="00352D7B" w:rsidP="00600514">
            <w:pPr>
              <w:spacing w:after="60" w:line="276" w:lineRule="auto"/>
              <w:jc w:val="both"/>
              <w:rPr>
                <w:rFonts w:ascii="Arial" w:hAnsi="Arial" w:cs="Arial"/>
              </w:rPr>
            </w:pPr>
            <w:r w:rsidRPr="00600514">
              <w:rPr>
                <w:rFonts w:ascii="Arial" w:hAnsi="Arial" w:cs="Arial"/>
                <w:b/>
                <w:bCs/>
                <w:color w:val="8A6D00"/>
                <w:sz w:val="21"/>
                <w:szCs w:val="21"/>
              </w:rPr>
              <w:t>Alcance de esta versión</w:t>
            </w:r>
          </w:p>
          <w:p w14:paraId="1B6944AE" w14:textId="77777777" w:rsidR="00B22691" w:rsidRPr="00600514" w:rsidRDefault="00352D7B" w:rsidP="00600514">
            <w:pPr>
              <w:spacing w:line="276" w:lineRule="auto"/>
              <w:jc w:val="both"/>
              <w:rPr>
                <w:rFonts w:ascii="Arial" w:hAnsi="Arial" w:cs="Arial"/>
              </w:rPr>
            </w:pPr>
            <w:proofErr w:type="spellStart"/>
            <w:r w:rsidRPr="00600514">
              <w:rPr>
                <w:rFonts w:ascii="Arial" w:hAnsi="Arial" w:cs="Arial"/>
                <w:color w:val="333333"/>
                <w:sz w:val="21"/>
                <w:szCs w:val="21"/>
              </w:rPr>
              <w:t>AgroScout</w:t>
            </w:r>
            <w:proofErr w:type="spellEnd"/>
            <w:r w:rsidRPr="00600514">
              <w:rPr>
                <w:rFonts w:ascii="Arial" w:hAnsi="Arial" w:cs="Arial"/>
                <w:color w:val="333333"/>
                <w:sz w:val="21"/>
                <w:szCs w:val="21"/>
              </w:rPr>
              <w:t xml:space="preserve"> IA Lite entrega composición, ingredientes y una hipótesis de formulación orientativa. No incluye precio de mercado ni presentación comercial de productos existentes — esa capa se evalúa como fase posterior, una vez que la plataforma tenga tracción y presupuesto para una fuente de datos de </w:t>
            </w:r>
            <w:proofErr w:type="spellStart"/>
            <w:r w:rsidRPr="00600514">
              <w:rPr>
                <w:rFonts w:ascii="Arial" w:hAnsi="Arial" w:cs="Arial"/>
                <w:color w:val="333333"/>
                <w:sz w:val="21"/>
                <w:szCs w:val="21"/>
              </w:rPr>
              <w:t>retail</w:t>
            </w:r>
            <w:proofErr w:type="spellEnd"/>
            <w:r w:rsidRPr="00600514">
              <w:rPr>
                <w:rFonts w:ascii="Arial" w:hAnsi="Arial" w:cs="Arial"/>
                <w:color w:val="333333"/>
                <w:sz w:val="21"/>
                <w:szCs w:val="21"/>
              </w:rPr>
              <w:t xml:space="preserve"> legítima.</w:t>
            </w:r>
          </w:p>
        </w:tc>
      </w:tr>
    </w:tbl>
    <w:p w14:paraId="31A3ED4F" w14:textId="77777777" w:rsidR="00B22691" w:rsidRPr="00600514" w:rsidRDefault="00352D7B" w:rsidP="00600514">
      <w:pPr>
        <w:pStyle w:val="Ttulo1"/>
        <w:pBdr>
          <w:bottom w:val="single" w:sz="6" w:space="4" w:color="3F7D4F"/>
        </w:pBdr>
        <w:spacing w:before="360" w:after="160" w:line="276" w:lineRule="auto"/>
        <w:jc w:val="both"/>
        <w:rPr>
          <w:rFonts w:ascii="Arial" w:hAnsi="Arial" w:cs="Arial"/>
        </w:rPr>
      </w:pPr>
      <w:r w:rsidRPr="00600514">
        <w:rPr>
          <w:rFonts w:ascii="Arial" w:hAnsi="Arial" w:cs="Arial"/>
          <w:b/>
          <w:bCs/>
          <w:color w:val="1F3B57"/>
          <w:sz w:val="28"/>
          <w:szCs w:val="28"/>
        </w:rPr>
        <w:t>2. Contexto y oportunidad</w:t>
      </w:r>
    </w:p>
    <w:p w14:paraId="78D3CB42" w14:textId="77777777" w:rsidR="00B22691" w:rsidRPr="00600514" w:rsidRDefault="00352D7B" w:rsidP="00600514">
      <w:pPr>
        <w:spacing w:after="160" w:line="276" w:lineRule="auto"/>
        <w:jc w:val="both"/>
        <w:rPr>
          <w:rFonts w:ascii="Arial" w:hAnsi="Arial" w:cs="Arial"/>
        </w:rPr>
      </w:pPr>
      <w:r w:rsidRPr="00600514">
        <w:rPr>
          <w:rFonts w:ascii="Arial" w:hAnsi="Arial" w:cs="Arial"/>
          <w:color w:val="222222"/>
          <w:sz w:val="22"/>
          <w:szCs w:val="22"/>
        </w:rPr>
        <w:t xml:space="preserve">El CITEagroindustrial Chavimochic atiende principalmente a la cadena productiva de palto, espárrago, arándano, mango, pimiento piquillo, banano y uva, un enfoque que nació por las limitaciones existentes en el manejo de excedentes y mermas de producción en la región. Su base de clientes está compuesta mayoritariamente por </w:t>
      </w:r>
      <w:proofErr w:type="spellStart"/>
      <w:r w:rsidRPr="00600514">
        <w:rPr>
          <w:rFonts w:ascii="Arial" w:hAnsi="Arial" w:cs="Arial"/>
          <w:color w:val="222222"/>
          <w:sz w:val="22"/>
          <w:szCs w:val="22"/>
        </w:rPr>
        <w:t>mipymes</w:t>
      </w:r>
      <w:proofErr w:type="spellEnd"/>
      <w:r w:rsidRPr="00600514">
        <w:rPr>
          <w:rFonts w:ascii="Arial" w:hAnsi="Arial" w:cs="Arial"/>
          <w:color w:val="222222"/>
          <w:sz w:val="22"/>
          <w:szCs w:val="22"/>
        </w:rPr>
        <w:t>, cooperativas y asociaciones del norte del país, a quienes brinda capacitación, asistencia técnica, ensayos de laboratorio y acompañamiento para el desarrollo de nuevos productos.</w:t>
      </w:r>
    </w:p>
    <w:p w14:paraId="7029A1D4" w14:textId="77777777" w:rsidR="00B22691" w:rsidRPr="00600514" w:rsidRDefault="00352D7B" w:rsidP="00600514">
      <w:pPr>
        <w:spacing w:after="160" w:line="276" w:lineRule="auto"/>
        <w:jc w:val="both"/>
        <w:rPr>
          <w:rFonts w:ascii="Arial" w:hAnsi="Arial" w:cs="Arial"/>
        </w:rPr>
      </w:pPr>
      <w:r w:rsidRPr="00600514">
        <w:rPr>
          <w:rFonts w:ascii="Arial" w:hAnsi="Arial" w:cs="Arial"/>
          <w:color w:val="222222"/>
          <w:sz w:val="22"/>
          <w:szCs w:val="22"/>
        </w:rPr>
        <w:t xml:space="preserve">La capa de inteligencia artificial aplicada a decisiones tempranas de producto es, hoy, un vacío casi total en su oferta. </w:t>
      </w:r>
      <w:proofErr w:type="spellStart"/>
      <w:r w:rsidRPr="00600514">
        <w:rPr>
          <w:rFonts w:ascii="Arial" w:hAnsi="Arial" w:cs="Arial"/>
          <w:color w:val="222222"/>
          <w:sz w:val="22"/>
          <w:szCs w:val="22"/>
        </w:rPr>
        <w:t>AgroScout</w:t>
      </w:r>
      <w:proofErr w:type="spellEnd"/>
      <w:r w:rsidRPr="00600514">
        <w:rPr>
          <w:rFonts w:ascii="Arial" w:hAnsi="Arial" w:cs="Arial"/>
          <w:color w:val="222222"/>
          <w:sz w:val="22"/>
          <w:szCs w:val="22"/>
        </w:rPr>
        <w:t xml:space="preserve"> IA Lite busca cubrir ese vacío con la menor inversión y el menor riesgo técnico posibles, priorizando velocidad de lanzamiento sobre alcance de funcionalidades.</w:t>
      </w:r>
    </w:p>
    <w:p w14:paraId="08322FCA" w14:textId="77777777" w:rsidR="00B22691" w:rsidRPr="00600514" w:rsidRDefault="00352D7B" w:rsidP="00600514">
      <w:pPr>
        <w:pStyle w:val="Ttulo1"/>
        <w:pBdr>
          <w:bottom w:val="single" w:sz="6" w:space="4" w:color="3F7D4F"/>
        </w:pBdr>
        <w:spacing w:before="360" w:after="160" w:line="276" w:lineRule="auto"/>
        <w:jc w:val="both"/>
        <w:rPr>
          <w:rFonts w:ascii="Arial" w:hAnsi="Arial" w:cs="Arial"/>
        </w:rPr>
      </w:pPr>
      <w:r w:rsidRPr="00600514">
        <w:rPr>
          <w:rFonts w:ascii="Arial" w:hAnsi="Arial" w:cs="Arial"/>
          <w:b/>
          <w:bCs/>
          <w:color w:val="1F3B57"/>
          <w:sz w:val="28"/>
          <w:szCs w:val="28"/>
        </w:rPr>
        <w:t>3. El problema</w:t>
      </w:r>
    </w:p>
    <w:p w14:paraId="08600FE9" w14:textId="77777777" w:rsidR="00B22691" w:rsidRPr="00600514" w:rsidRDefault="00352D7B" w:rsidP="00600514">
      <w:pPr>
        <w:pStyle w:val="Prrafodelista"/>
        <w:numPr>
          <w:ilvl w:val="0"/>
          <w:numId w:val="2"/>
        </w:numPr>
        <w:spacing w:after="100" w:line="276" w:lineRule="auto"/>
        <w:jc w:val="both"/>
        <w:rPr>
          <w:rFonts w:ascii="Arial" w:hAnsi="Arial" w:cs="Arial"/>
        </w:rPr>
      </w:pPr>
      <w:r w:rsidRPr="00600514">
        <w:rPr>
          <w:rFonts w:ascii="Arial" w:hAnsi="Arial" w:cs="Arial"/>
          <w:color w:val="222222"/>
          <w:sz w:val="22"/>
          <w:szCs w:val="22"/>
        </w:rPr>
        <w:t xml:space="preserve">Una </w:t>
      </w:r>
      <w:proofErr w:type="spellStart"/>
      <w:r w:rsidRPr="00600514">
        <w:rPr>
          <w:rFonts w:ascii="Arial" w:hAnsi="Arial" w:cs="Arial"/>
          <w:color w:val="222222"/>
          <w:sz w:val="22"/>
          <w:szCs w:val="22"/>
        </w:rPr>
        <w:t>mipyme</w:t>
      </w:r>
      <w:proofErr w:type="spellEnd"/>
      <w:r w:rsidRPr="00600514">
        <w:rPr>
          <w:rFonts w:ascii="Arial" w:hAnsi="Arial" w:cs="Arial"/>
          <w:color w:val="222222"/>
          <w:sz w:val="22"/>
          <w:szCs w:val="22"/>
        </w:rPr>
        <w:t xml:space="preserve"> o cooperativa con un subproducto disponible no tiene forma fácil de saber qué se hace ya con ese insumo en el mercado ni con qué ingredientes se suele combinar.</w:t>
      </w:r>
    </w:p>
    <w:p w14:paraId="684F019C" w14:textId="77777777" w:rsidR="00B22691" w:rsidRPr="00600514" w:rsidRDefault="00352D7B" w:rsidP="00600514">
      <w:pPr>
        <w:pStyle w:val="Prrafodelista"/>
        <w:numPr>
          <w:ilvl w:val="0"/>
          <w:numId w:val="2"/>
        </w:numPr>
        <w:spacing w:after="100" w:line="276" w:lineRule="auto"/>
        <w:jc w:val="both"/>
        <w:rPr>
          <w:rFonts w:ascii="Arial" w:hAnsi="Arial" w:cs="Arial"/>
        </w:rPr>
      </w:pPr>
      <w:r w:rsidRPr="00600514">
        <w:rPr>
          <w:rFonts w:ascii="Arial" w:hAnsi="Arial" w:cs="Arial"/>
          <w:color w:val="222222"/>
          <w:sz w:val="22"/>
          <w:szCs w:val="22"/>
        </w:rPr>
        <w:t>Definir un nuevo producto se hace hoy por ensayo y error, consumiendo tiempo y recursos del laboratorio en hipótesis que muchas veces ya existían en el mercado.</w:t>
      </w:r>
    </w:p>
    <w:p w14:paraId="39FD9EB4" w14:textId="77777777" w:rsidR="00B22691" w:rsidRPr="00600514" w:rsidRDefault="00352D7B" w:rsidP="00600514">
      <w:pPr>
        <w:pStyle w:val="Prrafodelista"/>
        <w:numPr>
          <w:ilvl w:val="0"/>
          <w:numId w:val="2"/>
        </w:numPr>
        <w:spacing w:after="100" w:line="276" w:lineRule="auto"/>
        <w:jc w:val="both"/>
        <w:rPr>
          <w:rFonts w:ascii="Arial" w:hAnsi="Arial" w:cs="Arial"/>
        </w:rPr>
      </w:pPr>
      <w:r w:rsidRPr="00600514">
        <w:rPr>
          <w:rFonts w:ascii="Arial" w:hAnsi="Arial" w:cs="Arial"/>
          <w:color w:val="222222"/>
          <w:sz w:val="22"/>
          <w:szCs w:val="22"/>
        </w:rPr>
        <w:t>No hay una forma accesible de conocer, de manera orientativa y temprana, si existen consideraciones regulatorias relevantes antes de invertir tiempo en desarrollo.</w:t>
      </w:r>
    </w:p>
    <w:p w14:paraId="347F5F36" w14:textId="77777777" w:rsidR="00600514" w:rsidRPr="00600514" w:rsidRDefault="00600514" w:rsidP="00600514">
      <w:pPr>
        <w:spacing w:after="100" w:line="276" w:lineRule="auto"/>
        <w:jc w:val="both"/>
        <w:rPr>
          <w:rFonts w:ascii="Arial" w:hAnsi="Arial" w:cs="Arial"/>
        </w:rPr>
      </w:pPr>
    </w:p>
    <w:p w14:paraId="51BE41D8" w14:textId="77777777" w:rsidR="00B22691" w:rsidRPr="00600514" w:rsidRDefault="00352D7B" w:rsidP="00600514">
      <w:pPr>
        <w:pStyle w:val="Ttulo1"/>
        <w:pBdr>
          <w:bottom w:val="single" w:sz="6" w:space="4" w:color="3F7D4F"/>
        </w:pBdr>
        <w:spacing w:before="360" w:after="160" w:line="276" w:lineRule="auto"/>
        <w:jc w:val="both"/>
        <w:rPr>
          <w:rFonts w:ascii="Arial" w:hAnsi="Arial" w:cs="Arial"/>
        </w:rPr>
      </w:pPr>
      <w:r w:rsidRPr="00600514">
        <w:rPr>
          <w:rFonts w:ascii="Arial" w:hAnsi="Arial" w:cs="Arial"/>
          <w:b/>
          <w:bCs/>
          <w:color w:val="1F3B57"/>
          <w:sz w:val="28"/>
          <w:szCs w:val="28"/>
        </w:rPr>
        <w:lastRenderedPageBreak/>
        <w:t>4. La solución: arquitectura del embudo Lite</w:t>
      </w:r>
    </w:p>
    <w:p w14:paraId="0AF0EF3D" w14:textId="77777777" w:rsidR="00B22691" w:rsidRPr="00600514" w:rsidRDefault="00352D7B" w:rsidP="00600514">
      <w:pPr>
        <w:spacing w:after="160" w:line="276" w:lineRule="auto"/>
        <w:jc w:val="both"/>
        <w:rPr>
          <w:rFonts w:ascii="Arial" w:hAnsi="Arial" w:cs="Arial"/>
        </w:rPr>
      </w:pPr>
      <w:proofErr w:type="spellStart"/>
      <w:r w:rsidRPr="00600514">
        <w:rPr>
          <w:rFonts w:ascii="Arial" w:hAnsi="Arial" w:cs="Arial"/>
          <w:color w:val="222222"/>
          <w:sz w:val="22"/>
          <w:szCs w:val="22"/>
        </w:rPr>
        <w:t>AgroScout</w:t>
      </w:r>
      <w:proofErr w:type="spellEnd"/>
      <w:r w:rsidRPr="00600514">
        <w:rPr>
          <w:rFonts w:ascii="Arial" w:hAnsi="Arial" w:cs="Arial"/>
          <w:color w:val="222222"/>
          <w:sz w:val="22"/>
          <w:szCs w:val="22"/>
        </w:rPr>
        <w:t xml:space="preserve"> IA Lite reduce el embudo original a seis etapas, todas construidas sobre fuentes de datos públicas o documentación propia, sin ningún componente que dependa de navegar sitios de e-</w:t>
      </w:r>
      <w:proofErr w:type="spellStart"/>
      <w:r w:rsidRPr="00600514">
        <w:rPr>
          <w:rFonts w:ascii="Arial" w:hAnsi="Arial" w:cs="Arial"/>
          <w:color w:val="222222"/>
          <w:sz w:val="22"/>
          <w:szCs w:val="22"/>
        </w:rPr>
        <w:t>commerce</w:t>
      </w:r>
      <w:proofErr w:type="spellEnd"/>
      <w:r w:rsidRPr="00600514">
        <w:rPr>
          <w:rFonts w:ascii="Arial" w:hAnsi="Arial" w:cs="Arial"/>
          <w:color w:val="222222"/>
          <w:sz w:val="22"/>
          <w:szCs w:val="22"/>
        </w:rPr>
        <w:t xml:space="preserve"> en tiempo real.</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600"/>
        <w:gridCol w:w="3734"/>
      </w:tblGrid>
      <w:tr w:rsidR="00B22691" w:rsidRPr="00600514" w14:paraId="23885305" w14:textId="77777777" w:rsidTr="00D3619D">
        <w:tblPrEx>
          <w:tblCellMar>
            <w:top w:w="0" w:type="dxa"/>
            <w:bottom w:w="0" w:type="dxa"/>
          </w:tblCellMar>
        </w:tblPrEx>
        <w:trPr>
          <w:tblHeader/>
        </w:trPr>
        <w:tc>
          <w:tcPr>
            <w:tcW w:w="2300" w:type="dxa"/>
            <w:shd w:val="clear" w:color="auto" w:fill="1F3B57"/>
            <w:tcMar>
              <w:top w:w="100" w:type="dxa"/>
              <w:left w:w="120" w:type="dxa"/>
              <w:bottom w:w="100" w:type="dxa"/>
              <w:right w:w="120" w:type="dxa"/>
            </w:tcMar>
            <w:vAlign w:val="center"/>
          </w:tcPr>
          <w:p w14:paraId="58169CA0" w14:textId="77777777" w:rsidR="00B22691" w:rsidRPr="00600514" w:rsidRDefault="00352D7B" w:rsidP="00600514">
            <w:pPr>
              <w:spacing w:line="276" w:lineRule="auto"/>
              <w:jc w:val="both"/>
              <w:rPr>
                <w:rFonts w:ascii="Arial" w:hAnsi="Arial" w:cs="Arial"/>
              </w:rPr>
            </w:pPr>
            <w:r w:rsidRPr="00600514">
              <w:rPr>
                <w:rFonts w:ascii="Arial" w:hAnsi="Arial" w:cs="Arial"/>
                <w:b/>
                <w:bCs/>
                <w:color w:val="FFFFFF"/>
              </w:rPr>
              <w:t>Etapa</w:t>
            </w:r>
          </w:p>
        </w:tc>
        <w:tc>
          <w:tcPr>
            <w:tcW w:w="3600" w:type="dxa"/>
            <w:shd w:val="clear" w:color="auto" w:fill="1F3B57"/>
            <w:tcMar>
              <w:top w:w="100" w:type="dxa"/>
              <w:left w:w="120" w:type="dxa"/>
              <w:bottom w:w="100" w:type="dxa"/>
              <w:right w:w="120" w:type="dxa"/>
            </w:tcMar>
            <w:vAlign w:val="center"/>
          </w:tcPr>
          <w:p w14:paraId="76837911" w14:textId="77777777" w:rsidR="00B22691" w:rsidRPr="00600514" w:rsidRDefault="00352D7B" w:rsidP="00600514">
            <w:pPr>
              <w:spacing w:line="276" w:lineRule="auto"/>
              <w:jc w:val="both"/>
              <w:rPr>
                <w:rFonts w:ascii="Arial" w:hAnsi="Arial" w:cs="Arial"/>
              </w:rPr>
            </w:pPr>
            <w:r w:rsidRPr="00600514">
              <w:rPr>
                <w:rFonts w:ascii="Arial" w:hAnsi="Arial" w:cs="Arial"/>
                <w:b/>
                <w:bCs/>
                <w:color w:val="FFFFFF"/>
              </w:rPr>
              <w:t>Qué hace</w:t>
            </w:r>
          </w:p>
        </w:tc>
        <w:tc>
          <w:tcPr>
            <w:tcW w:w="3734" w:type="dxa"/>
            <w:shd w:val="clear" w:color="auto" w:fill="1F3B57"/>
            <w:tcMar>
              <w:top w:w="100" w:type="dxa"/>
              <w:left w:w="120" w:type="dxa"/>
              <w:bottom w:w="100" w:type="dxa"/>
              <w:right w:w="120" w:type="dxa"/>
            </w:tcMar>
            <w:vAlign w:val="center"/>
          </w:tcPr>
          <w:p w14:paraId="2CC8844D" w14:textId="77777777" w:rsidR="00B22691" w:rsidRPr="00600514" w:rsidRDefault="00352D7B" w:rsidP="00600514">
            <w:pPr>
              <w:spacing w:line="276" w:lineRule="auto"/>
              <w:jc w:val="both"/>
              <w:rPr>
                <w:rFonts w:ascii="Arial" w:hAnsi="Arial" w:cs="Arial"/>
              </w:rPr>
            </w:pPr>
            <w:r w:rsidRPr="00600514">
              <w:rPr>
                <w:rFonts w:ascii="Arial" w:hAnsi="Arial" w:cs="Arial"/>
                <w:b/>
                <w:bCs/>
                <w:color w:val="FFFFFF"/>
              </w:rPr>
              <w:t>Dónde está la IA (y qué tipo)</w:t>
            </w:r>
          </w:p>
        </w:tc>
      </w:tr>
      <w:tr w:rsidR="00B22691" w:rsidRPr="00600514" w14:paraId="37C2D7E5" w14:textId="77777777" w:rsidTr="00D3619D">
        <w:tblPrEx>
          <w:tblCellMar>
            <w:top w:w="0" w:type="dxa"/>
            <w:bottom w:w="0" w:type="dxa"/>
          </w:tblCellMar>
        </w:tblPrEx>
        <w:tc>
          <w:tcPr>
            <w:tcW w:w="2300" w:type="dxa"/>
            <w:shd w:val="clear" w:color="auto" w:fill="FFFFFF"/>
            <w:tcMar>
              <w:top w:w="100" w:type="dxa"/>
              <w:left w:w="120" w:type="dxa"/>
              <w:bottom w:w="100" w:type="dxa"/>
              <w:right w:w="120" w:type="dxa"/>
            </w:tcMar>
            <w:vAlign w:val="center"/>
          </w:tcPr>
          <w:p w14:paraId="3FE5A083" w14:textId="77777777" w:rsidR="00B22691" w:rsidRPr="00600514" w:rsidRDefault="00352D7B" w:rsidP="00D3619D">
            <w:pPr>
              <w:spacing w:line="276" w:lineRule="auto"/>
              <w:rPr>
                <w:rFonts w:ascii="Arial" w:hAnsi="Arial" w:cs="Arial"/>
              </w:rPr>
            </w:pPr>
            <w:r w:rsidRPr="00600514">
              <w:rPr>
                <w:rFonts w:ascii="Arial" w:hAnsi="Arial" w:cs="Arial"/>
                <w:color w:val="222222"/>
                <w:sz w:val="19"/>
                <w:szCs w:val="19"/>
              </w:rPr>
              <w:t>1. Interpretación del insumo</w:t>
            </w:r>
          </w:p>
        </w:tc>
        <w:tc>
          <w:tcPr>
            <w:tcW w:w="3600" w:type="dxa"/>
            <w:shd w:val="clear" w:color="auto" w:fill="FFFFFF"/>
            <w:tcMar>
              <w:top w:w="100" w:type="dxa"/>
              <w:left w:w="120" w:type="dxa"/>
              <w:bottom w:w="100" w:type="dxa"/>
              <w:right w:w="120" w:type="dxa"/>
            </w:tcMar>
            <w:vAlign w:val="center"/>
          </w:tcPr>
          <w:p w14:paraId="674B962F"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El usuario ingresa el insumo o subproducto disponible (ej. cáscara de mango, descarte de espárrago).</w:t>
            </w:r>
          </w:p>
        </w:tc>
        <w:tc>
          <w:tcPr>
            <w:tcW w:w="3734" w:type="dxa"/>
            <w:shd w:val="clear" w:color="auto" w:fill="FFFFFF"/>
            <w:tcMar>
              <w:top w:w="100" w:type="dxa"/>
              <w:left w:w="120" w:type="dxa"/>
              <w:bottom w:w="100" w:type="dxa"/>
              <w:right w:w="120" w:type="dxa"/>
            </w:tcMar>
            <w:vAlign w:val="center"/>
          </w:tcPr>
          <w:p w14:paraId="59CD65AF"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LLM: expande el término a sinónimos técnicos y nombres alternativos (español/inglés) para mejorar la búsqueda posterior.</w:t>
            </w:r>
          </w:p>
        </w:tc>
      </w:tr>
      <w:tr w:rsidR="00B22691" w:rsidRPr="00600514" w14:paraId="70F80B2C" w14:textId="77777777" w:rsidTr="00D3619D">
        <w:tblPrEx>
          <w:tblCellMar>
            <w:top w:w="0" w:type="dxa"/>
            <w:bottom w:w="0" w:type="dxa"/>
          </w:tblCellMar>
        </w:tblPrEx>
        <w:tc>
          <w:tcPr>
            <w:tcW w:w="2300" w:type="dxa"/>
            <w:shd w:val="clear" w:color="auto" w:fill="EAF3EC"/>
            <w:tcMar>
              <w:top w:w="100" w:type="dxa"/>
              <w:left w:w="120" w:type="dxa"/>
              <w:bottom w:w="100" w:type="dxa"/>
              <w:right w:w="120" w:type="dxa"/>
            </w:tcMar>
            <w:vAlign w:val="center"/>
          </w:tcPr>
          <w:p w14:paraId="48E1468E" w14:textId="77777777" w:rsidR="00B22691" w:rsidRPr="00600514" w:rsidRDefault="00352D7B" w:rsidP="00D3619D">
            <w:pPr>
              <w:spacing w:line="276" w:lineRule="auto"/>
              <w:rPr>
                <w:rFonts w:ascii="Arial" w:hAnsi="Arial" w:cs="Arial"/>
              </w:rPr>
            </w:pPr>
            <w:r w:rsidRPr="00600514">
              <w:rPr>
                <w:rFonts w:ascii="Arial" w:hAnsi="Arial" w:cs="Arial"/>
                <w:color w:val="222222"/>
                <w:sz w:val="19"/>
                <w:szCs w:val="19"/>
              </w:rPr>
              <w:t>2. Búsqueda semántica en bases abiertas</w:t>
            </w:r>
          </w:p>
        </w:tc>
        <w:tc>
          <w:tcPr>
            <w:tcW w:w="3600" w:type="dxa"/>
            <w:shd w:val="clear" w:color="auto" w:fill="EAF3EC"/>
            <w:tcMar>
              <w:top w:w="100" w:type="dxa"/>
              <w:left w:w="120" w:type="dxa"/>
              <w:bottom w:w="100" w:type="dxa"/>
              <w:right w:w="120" w:type="dxa"/>
            </w:tcMar>
            <w:vAlign w:val="center"/>
          </w:tcPr>
          <w:p w14:paraId="055C91AD"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 xml:space="preserve">Se consulta Open </w:t>
            </w:r>
            <w:proofErr w:type="spellStart"/>
            <w:r w:rsidRPr="00600514">
              <w:rPr>
                <w:rFonts w:ascii="Arial" w:hAnsi="Arial" w:cs="Arial"/>
                <w:color w:val="222222"/>
                <w:sz w:val="19"/>
                <w:szCs w:val="19"/>
              </w:rPr>
              <w:t>Food</w:t>
            </w:r>
            <w:proofErr w:type="spellEnd"/>
            <w:r w:rsidRPr="00600514">
              <w:rPr>
                <w:rFonts w:ascii="Arial" w:hAnsi="Arial" w:cs="Arial"/>
                <w:color w:val="222222"/>
                <w:sz w:val="19"/>
                <w:szCs w:val="19"/>
              </w:rPr>
              <w:t xml:space="preserve"> </w:t>
            </w:r>
            <w:proofErr w:type="spellStart"/>
            <w:r w:rsidRPr="00600514">
              <w:rPr>
                <w:rFonts w:ascii="Arial" w:hAnsi="Arial" w:cs="Arial"/>
                <w:color w:val="222222"/>
                <w:sz w:val="19"/>
                <w:szCs w:val="19"/>
              </w:rPr>
              <w:t>Facts</w:t>
            </w:r>
            <w:proofErr w:type="spellEnd"/>
            <w:r w:rsidRPr="00600514">
              <w:rPr>
                <w:rFonts w:ascii="Arial" w:hAnsi="Arial" w:cs="Arial"/>
                <w:color w:val="222222"/>
                <w:sz w:val="19"/>
                <w:szCs w:val="19"/>
              </w:rPr>
              <w:t xml:space="preserve"> y USDA </w:t>
            </w:r>
            <w:proofErr w:type="spellStart"/>
            <w:r w:rsidRPr="00600514">
              <w:rPr>
                <w:rFonts w:ascii="Arial" w:hAnsi="Arial" w:cs="Arial"/>
                <w:color w:val="222222"/>
                <w:sz w:val="19"/>
                <w:szCs w:val="19"/>
              </w:rPr>
              <w:t>FoodData</w:t>
            </w:r>
            <w:proofErr w:type="spellEnd"/>
            <w:r w:rsidRPr="00600514">
              <w:rPr>
                <w:rFonts w:ascii="Arial" w:hAnsi="Arial" w:cs="Arial"/>
                <w:color w:val="222222"/>
                <w:sz w:val="19"/>
                <w:szCs w:val="19"/>
              </w:rPr>
              <w:t xml:space="preserve"> Central en busca de productos existentes hechos con ese insumo o insumos similares.</w:t>
            </w:r>
          </w:p>
        </w:tc>
        <w:tc>
          <w:tcPr>
            <w:tcW w:w="3734" w:type="dxa"/>
            <w:shd w:val="clear" w:color="auto" w:fill="EAF3EC"/>
            <w:tcMar>
              <w:top w:w="100" w:type="dxa"/>
              <w:left w:w="120" w:type="dxa"/>
              <w:bottom w:w="100" w:type="dxa"/>
              <w:right w:w="120" w:type="dxa"/>
            </w:tcMar>
            <w:vAlign w:val="center"/>
          </w:tcPr>
          <w:p w14:paraId="4B4D5664" w14:textId="77777777" w:rsidR="00B22691" w:rsidRPr="00600514" w:rsidRDefault="00352D7B" w:rsidP="00600514">
            <w:pPr>
              <w:spacing w:line="276" w:lineRule="auto"/>
              <w:jc w:val="both"/>
              <w:rPr>
                <w:rFonts w:ascii="Arial" w:hAnsi="Arial" w:cs="Arial"/>
              </w:rPr>
            </w:pPr>
            <w:proofErr w:type="spellStart"/>
            <w:r w:rsidRPr="00600514">
              <w:rPr>
                <w:rFonts w:ascii="Arial" w:hAnsi="Arial" w:cs="Arial"/>
                <w:color w:val="222222"/>
                <w:sz w:val="19"/>
                <w:szCs w:val="19"/>
              </w:rPr>
              <w:t>Embeddings</w:t>
            </w:r>
            <w:proofErr w:type="spellEnd"/>
            <w:r w:rsidRPr="00600514">
              <w:rPr>
                <w:rFonts w:ascii="Arial" w:hAnsi="Arial" w:cs="Arial"/>
                <w:color w:val="222222"/>
                <w:sz w:val="19"/>
                <w:szCs w:val="19"/>
              </w:rPr>
              <w:t>: búsqueda por similitud semántica sobre datos ya descargados, sin navegar la web en vivo.</w:t>
            </w:r>
          </w:p>
        </w:tc>
      </w:tr>
      <w:tr w:rsidR="00B22691" w:rsidRPr="00600514" w14:paraId="0F04D22E" w14:textId="77777777" w:rsidTr="00D3619D">
        <w:tblPrEx>
          <w:tblCellMar>
            <w:top w:w="0" w:type="dxa"/>
            <w:bottom w:w="0" w:type="dxa"/>
          </w:tblCellMar>
        </w:tblPrEx>
        <w:tc>
          <w:tcPr>
            <w:tcW w:w="2300" w:type="dxa"/>
            <w:shd w:val="clear" w:color="auto" w:fill="FFFFFF"/>
            <w:tcMar>
              <w:top w:w="100" w:type="dxa"/>
              <w:left w:w="120" w:type="dxa"/>
              <w:bottom w:w="100" w:type="dxa"/>
              <w:right w:w="120" w:type="dxa"/>
            </w:tcMar>
            <w:vAlign w:val="center"/>
          </w:tcPr>
          <w:p w14:paraId="76D196CF" w14:textId="77777777" w:rsidR="00B22691" w:rsidRPr="00600514" w:rsidRDefault="00352D7B" w:rsidP="00D3619D">
            <w:pPr>
              <w:spacing w:line="276" w:lineRule="auto"/>
              <w:rPr>
                <w:rFonts w:ascii="Arial" w:hAnsi="Arial" w:cs="Arial"/>
              </w:rPr>
            </w:pPr>
            <w:r w:rsidRPr="00600514">
              <w:rPr>
                <w:rFonts w:ascii="Arial" w:hAnsi="Arial" w:cs="Arial"/>
                <w:color w:val="222222"/>
                <w:sz w:val="19"/>
                <w:szCs w:val="19"/>
              </w:rPr>
              <w:t xml:space="preserve">3. </w:t>
            </w:r>
            <w:proofErr w:type="spellStart"/>
            <w:r w:rsidRPr="00600514">
              <w:rPr>
                <w:rFonts w:ascii="Arial" w:hAnsi="Arial" w:cs="Arial"/>
                <w:color w:val="222222"/>
                <w:sz w:val="19"/>
                <w:szCs w:val="19"/>
              </w:rPr>
              <w:t>Insight</w:t>
            </w:r>
            <w:proofErr w:type="spellEnd"/>
            <w:r w:rsidRPr="00600514">
              <w:rPr>
                <w:rFonts w:ascii="Arial" w:hAnsi="Arial" w:cs="Arial"/>
                <w:color w:val="222222"/>
                <w:sz w:val="19"/>
                <w:szCs w:val="19"/>
              </w:rPr>
              <w:t xml:space="preserve"> y comparación</w:t>
            </w:r>
          </w:p>
        </w:tc>
        <w:tc>
          <w:tcPr>
            <w:tcW w:w="3600" w:type="dxa"/>
            <w:shd w:val="clear" w:color="auto" w:fill="FFFFFF"/>
            <w:tcMar>
              <w:top w:w="100" w:type="dxa"/>
              <w:left w:w="120" w:type="dxa"/>
              <w:bottom w:w="100" w:type="dxa"/>
              <w:right w:w="120" w:type="dxa"/>
            </w:tcMar>
            <w:vAlign w:val="center"/>
          </w:tcPr>
          <w:p w14:paraId="61937EE7"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Genera un resumen de categorías de producto existentes, formatos comunes y qué tan cubierto está el insumo.</w:t>
            </w:r>
          </w:p>
        </w:tc>
        <w:tc>
          <w:tcPr>
            <w:tcW w:w="3734" w:type="dxa"/>
            <w:shd w:val="clear" w:color="auto" w:fill="FFFFFF"/>
            <w:tcMar>
              <w:top w:w="100" w:type="dxa"/>
              <w:left w:w="120" w:type="dxa"/>
              <w:bottom w:w="100" w:type="dxa"/>
              <w:right w:w="120" w:type="dxa"/>
            </w:tcMar>
            <w:vAlign w:val="center"/>
          </w:tcPr>
          <w:p w14:paraId="72785FEC"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LLM: redacta a partir de datos ya estructurados y verificados en el paso 2, sin inventar cifras.</w:t>
            </w:r>
          </w:p>
        </w:tc>
      </w:tr>
      <w:tr w:rsidR="00B22691" w:rsidRPr="00600514" w14:paraId="5CA36759" w14:textId="77777777" w:rsidTr="00D3619D">
        <w:tblPrEx>
          <w:tblCellMar>
            <w:top w:w="0" w:type="dxa"/>
            <w:bottom w:w="0" w:type="dxa"/>
          </w:tblCellMar>
        </w:tblPrEx>
        <w:tc>
          <w:tcPr>
            <w:tcW w:w="2300" w:type="dxa"/>
            <w:shd w:val="clear" w:color="auto" w:fill="EAF3EC"/>
            <w:tcMar>
              <w:top w:w="100" w:type="dxa"/>
              <w:left w:w="120" w:type="dxa"/>
              <w:bottom w:w="100" w:type="dxa"/>
              <w:right w:w="120" w:type="dxa"/>
            </w:tcMar>
            <w:vAlign w:val="center"/>
          </w:tcPr>
          <w:p w14:paraId="46FFE27C" w14:textId="77777777" w:rsidR="00B22691" w:rsidRPr="00600514" w:rsidRDefault="00352D7B" w:rsidP="00D3619D">
            <w:pPr>
              <w:spacing w:line="276" w:lineRule="auto"/>
              <w:rPr>
                <w:rFonts w:ascii="Arial" w:hAnsi="Arial" w:cs="Arial"/>
              </w:rPr>
            </w:pPr>
            <w:r w:rsidRPr="00600514">
              <w:rPr>
                <w:rFonts w:ascii="Arial" w:hAnsi="Arial" w:cs="Arial"/>
                <w:color w:val="222222"/>
                <w:sz w:val="19"/>
                <w:szCs w:val="19"/>
              </w:rPr>
              <w:t>4. Hipótesis de formulación (ingeniería inversa de ingredientes)</w:t>
            </w:r>
          </w:p>
        </w:tc>
        <w:tc>
          <w:tcPr>
            <w:tcW w:w="3600" w:type="dxa"/>
            <w:shd w:val="clear" w:color="auto" w:fill="EAF3EC"/>
            <w:tcMar>
              <w:top w:w="100" w:type="dxa"/>
              <w:left w:w="120" w:type="dxa"/>
              <w:bottom w:w="100" w:type="dxa"/>
              <w:right w:w="120" w:type="dxa"/>
            </w:tcMar>
            <w:vAlign w:val="center"/>
          </w:tcPr>
          <w:p w14:paraId="61A09C97"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Analiza en conjunto las listas de ingredientes de los productos similares encontrados para proponer un punto de partida de formulación.</w:t>
            </w:r>
          </w:p>
        </w:tc>
        <w:tc>
          <w:tcPr>
            <w:tcW w:w="3734" w:type="dxa"/>
            <w:shd w:val="clear" w:color="auto" w:fill="EAF3EC"/>
            <w:tcMar>
              <w:top w:w="100" w:type="dxa"/>
              <w:left w:w="120" w:type="dxa"/>
              <w:bottom w:w="100" w:type="dxa"/>
              <w:right w:w="120" w:type="dxa"/>
            </w:tcMar>
            <w:vAlign w:val="center"/>
          </w:tcPr>
          <w:p w14:paraId="69A43C1F"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NLP / análisis de patrones sobre ingredientes ya incluidos en la base abierta — no requiere fuente de datos adicional.</w:t>
            </w:r>
          </w:p>
        </w:tc>
      </w:tr>
      <w:tr w:rsidR="00B22691" w:rsidRPr="00600514" w14:paraId="17F93F0A" w14:textId="77777777" w:rsidTr="00D3619D">
        <w:tblPrEx>
          <w:tblCellMar>
            <w:top w:w="0" w:type="dxa"/>
            <w:bottom w:w="0" w:type="dxa"/>
          </w:tblCellMar>
        </w:tblPrEx>
        <w:tc>
          <w:tcPr>
            <w:tcW w:w="2300" w:type="dxa"/>
            <w:shd w:val="clear" w:color="auto" w:fill="FFFFFF"/>
            <w:tcMar>
              <w:top w:w="100" w:type="dxa"/>
              <w:left w:w="120" w:type="dxa"/>
              <w:bottom w:w="100" w:type="dxa"/>
              <w:right w:w="120" w:type="dxa"/>
            </w:tcMar>
            <w:vAlign w:val="center"/>
          </w:tcPr>
          <w:p w14:paraId="03C0A55E" w14:textId="77777777" w:rsidR="00B22691" w:rsidRPr="00600514" w:rsidRDefault="00352D7B" w:rsidP="00D3619D">
            <w:pPr>
              <w:spacing w:line="276" w:lineRule="auto"/>
              <w:rPr>
                <w:rFonts w:ascii="Arial" w:hAnsi="Arial" w:cs="Arial"/>
              </w:rPr>
            </w:pPr>
            <w:r w:rsidRPr="00600514">
              <w:rPr>
                <w:rFonts w:ascii="Arial" w:hAnsi="Arial" w:cs="Arial"/>
                <w:color w:val="222222"/>
                <w:sz w:val="19"/>
                <w:szCs w:val="19"/>
              </w:rPr>
              <w:t>5. Verificación regulatoria orientativa</w:t>
            </w:r>
          </w:p>
        </w:tc>
        <w:tc>
          <w:tcPr>
            <w:tcW w:w="3600" w:type="dxa"/>
            <w:shd w:val="clear" w:color="auto" w:fill="FFFFFF"/>
            <w:tcMar>
              <w:top w:w="100" w:type="dxa"/>
              <w:left w:w="120" w:type="dxa"/>
              <w:bottom w:w="100" w:type="dxa"/>
              <w:right w:w="120" w:type="dxa"/>
            </w:tcMar>
            <w:vAlign w:val="center"/>
          </w:tcPr>
          <w:p w14:paraId="1094A712"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 xml:space="preserve">Revisa si el insumo o tipo de producto tiene consideraciones regulatorias conocidas en el mercado de interés (EE.UU. vía </w:t>
            </w:r>
            <w:proofErr w:type="spellStart"/>
            <w:r w:rsidRPr="00600514">
              <w:rPr>
                <w:rFonts w:ascii="Arial" w:hAnsi="Arial" w:cs="Arial"/>
                <w:color w:val="222222"/>
                <w:sz w:val="19"/>
                <w:szCs w:val="19"/>
              </w:rPr>
              <w:t>openFDA</w:t>
            </w:r>
            <w:proofErr w:type="spellEnd"/>
            <w:r w:rsidRPr="00600514">
              <w:rPr>
                <w:rFonts w:ascii="Arial" w:hAnsi="Arial" w:cs="Arial"/>
                <w:color w:val="222222"/>
                <w:sz w:val="19"/>
                <w:szCs w:val="19"/>
              </w:rPr>
              <w:t>; UE y Perú vía base documental propia).</w:t>
            </w:r>
          </w:p>
        </w:tc>
        <w:tc>
          <w:tcPr>
            <w:tcW w:w="3734" w:type="dxa"/>
            <w:shd w:val="clear" w:color="auto" w:fill="FFFFFF"/>
            <w:tcMar>
              <w:top w:w="100" w:type="dxa"/>
              <w:left w:w="120" w:type="dxa"/>
              <w:bottom w:w="100" w:type="dxa"/>
              <w:right w:w="120" w:type="dxa"/>
            </w:tcMar>
            <w:vAlign w:val="center"/>
          </w:tcPr>
          <w:p w14:paraId="31DA1F8D"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 xml:space="preserve">Para EE.UU.: consulta a la API oficial </w:t>
            </w:r>
            <w:proofErr w:type="spellStart"/>
            <w:r w:rsidRPr="00600514">
              <w:rPr>
                <w:rFonts w:ascii="Arial" w:hAnsi="Arial" w:cs="Arial"/>
                <w:color w:val="222222"/>
                <w:sz w:val="19"/>
                <w:szCs w:val="19"/>
              </w:rPr>
              <w:t>openFDA</w:t>
            </w:r>
            <w:proofErr w:type="spellEnd"/>
            <w:r w:rsidRPr="00600514">
              <w:rPr>
                <w:rFonts w:ascii="Arial" w:hAnsi="Arial" w:cs="Arial"/>
                <w:color w:val="222222"/>
                <w:sz w:val="19"/>
                <w:szCs w:val="19"/>
              </w:rPr>
              <w:t xml:space="preserve">. Para UE/Perú: RAG (búsqueda semántica) sobre una base documental propia de guías públicas (Codex </w:t>
            </w:r>
            <w:proofErr w:type="spellStart"/>
            <w:r w:rsidRPr="00600514">
              <w:rPr>
                <w:rFonts w:ascii="Arial" w:hAnsi="Arial" w:cs="Arial"/>
                <w:color w:val="222222"/>
                <w:sz w:val="19"/>
                <w:szCs w:val="19"/>
              </w:rPr>
              <w:t>Alimentarius</w:t>
            </w:r>
            <w:proofErr w:type="spellEnd"/>
            <w:r w:rsidRPr="00600514">
              <w:rPr>
                <w:rFonts w:ascii="Arial" w:hAnsi="Arial" w:cs="Arial"/>
                <w:color w:val="222222"/>
                <w:sz w:val="19"/>
                <w:szCs w:val="19"/>
              </w:rPr>
              <w:t>, DIGESA, EFSA).</w:t>
            </w:r>
          </w:p>
        </w:tc>
      </w:tr>
      <w:tr w:rsidR="00B22691" w:rsidRPr="00600514" w14:paraId="1AF3598F" w14:textId="77777777" w:rsidTr="00D3619D">
        <w:tblPrEx>
          <w:tblCellMar>
            <w:top w:w="0" w:type="dxa"/>
            <w:bottom w:w="0" w:type="dxa"/>
          </w:tblCellMar>
        </w:tblPrEx>
        <w:tc>
          <w:tcPr>
            <w:tcW w:w="2300" w:type="dxa"/>
            <w:shd w:val="clear" w:color="auto" w:fill="EAF3EC"/>
            <w:tcMar>
              <w:top w:w="100" w:type="dxa"/>
              <w:left w:w="120" w:type="dxa"/>
              <w:bottom w:w="100" w:type="dxa"/>
              <w:right w:w="120" w:type="dxa"/>
            </w:tcMar>
            <w:vAlign w:val="center"/>
          </w:tcPr>
          <w:p w14:paraId="4FF41BCD" w14:textId="77777777" w:rsidR="00B22691" w:rsidRPr="00600514" w:rsidRDefault="00352D7B" w:rsidP="00D3619D">
            <w:pPr>
              <w:spacing w:line="276" w:lineRule="auto"/>
              <w:rPr>
                <w:rFonts w:ascii="Arial" w:hAnsi="Arial" w:cs="Arial"/>
              </w:rPr>
            </w:pPr>
            <w:r w:rsidRPr="00600514">
              <w:rPr>
                <w:rFonts w:ascii="Arial" w:hAnsi="Arial" w:cs="Arial"/>
                <w:color w:val="222222"/>
                <w:sz w:val="19"/>
                <w:szCs w:val="19"/>
              </w:rPr>
              <w:t>6. Validación final</w:t>
            </w:r>
          </w:p>
        </w:tc>
        <w:tc>
          <w:tcPr>
            <w:tcW w:w="3600" w:type="dxa"/>
            <w:shd w:val="clear" w:color="auto" w:fill="EAF3EC"/>
            <w:tcMar>
              <w:top w:w="100" w:type="dxa"/>
              <w:left w:w="120" w:type="dxa"/>
              <w:bottom w:w="100" w:type="dxa"/>
              <w:right w:w="120" w:type="dxa"/>
            </w:tcMar>
            <w:vAlign w:val="center"/>
          </w:tcPr>
          <w:p w14:paraId="62DB7803"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El productor lleva la hipótesis ya filtrada al laboratorio del CITE para su confirmación con datos reales de su materia prima.</w:t>
            </w:r>
          </w:p>
        </w:tc>
        <w:tc>
          <w:tcPr>
            <w:tcW w:w="3734" w:type="dxa"/>
            <w:shd w:val="clear" w:color="auto" w:fill="EAF3EC"/>
            <w:tcMar>
              <w:top w:w="100" w:type="dxa"/>
              <w:left w:w="120" w:type="dxa"/>
              <w:bottom w:w="100" w:type="dxa"/>
              <w:right w:w="120" w:type="dxa"/>
            </w:tcMar>
            <w:vAlign w:val="center"/>
          </w:tcPr>
          <w:p w14:paraId="1898048D"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Sin IA — es el cierre humano/técnico del embudo, y es intencional que lo sea.</w:t>
            </w:r>
          </w:p>
        </w:tc>
      </w:tr>
    </w:tbl>
    <w:p w14:paraId="04BF8F9B" w14:textId="77777777" w:rsidR="00B22691" w:rsidRPr="00600514" w:rsidRDefault="00B22691" w:rsidP="00600514">
      <w:pPr>
        <w:spacing w:before="240" w:line="276" w:lineRule="auto"/>
        <w:jc w:val="both"/>
        <w:rPr>
          <w:rFonts w:ascii="Arial" w:hAnsi="Arial" w:cs="Arial"/>
        </w:rPr>
      </w:pPr>
    </w:p>
    <w:p w14:paraId="43F4D9D1" w14:textId="77777777" w:rsidR="00B22691" w:rsidRPr="00600514" w:rsidRDefault="00352D7B" w:rsidP="00600514">
      <w:pPr>
        <w:spacing w:after="160" w:line="276" w:lineRule="auto"/>
        <w:jc w:val="both"/>
        <w:rPr>
          <w:rFonts w:ascii="Arial" w:hAnsi="Arial" w:cs="Arial"/>
        </w:rPr>
      </w:pPr>
      <w:r w:rsidRPr="00600514">
        <w:rPr>
          <w:rFonts w:ascii="Arial" w:hAnsi="Arial" w:cs="Arial"/>
          <w:color w:val="222222"/>
          <w:sz w:val="22"/>
          <w:szCs w:val="22"/>
        </w:rPr>
        <w:t>El mismo principio de diseño de la versión completa se mantiene: el LLM nunca inventa cifras, ingredientes ni datos regulatorios. Su rol es interpretar, buscar por similitud, agrupar patrones y redactar a partir de información ya verificada. La validación final la sigue haciendo el laboratorio del CITE.</w:t>
      </w:r>
    </w:p>
    <w:p w14:paraId="2354FCB9" w14:textId="77777777" w:rsidR="00B22691" w:rsidRPr="00600514" w:rsidRDefault="00352D7B" w:rsidP="00600514">
      <w:pPr>
        <w:pStyle w:val="Ttulo2"/>
        <w:spacing w:before="260" w:after="120" w:line="276" w:lineRule="auto"/>
        <w:jc w:val="both"/>
        <w:rPr>
          <w:rFonts w:ascii="Arial" w:hAnsi="Arial" w:cs="Arial"/>
        </w:rPr>
      </w:pPr>
      <w:r w:rsidRPr="00600514">
        <w:rPr>
          <w:rFonts w:ascii="Arial" w:hAnsi="Arial" w:cs="Arial"/>
          <w:b/>
          <w:bCs/>
          <w:color w:val="3F7D4F"/>
          <w:sz w:val="24"/>
          <w:szCs w:val="24"/>
        </w:rPr>
        <w:t>Sobre la detección de tendencias (capa pospuesta)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B22691" w:rsidRPr="00600514" w14:paraId="0EE2747B" w14:textId="77777777">
        <w:tblPrEx>
          <w:tblCellMar>
            <w:top w:w="0" w:type="dxa"/>
            <w:bottom w:w="0" w:type="dxa"/>
          </w:tblCellMar>
        </w:tblPrEx>
        <w:tc>
          <w:tcPr>
            <w:tcW w:w="0" w:type="auto"/>
            <w:tcBorders>
              <w:top w:val="single" w:sz="4" w:space="0" w:color="8A6D00"/>
              <w:left w:val="single" w:sz="24" w:space="0" w:color="8A6D00"/>
              <w:bottom w:val="single" w:sz="4" w:space="0" w:color="8A6D00"/>
              <w:right w:val="single" w:sz="4" w:space="0" w:color="8A6D00"/>
            </w:tcBorders>
            <w:shd w:val="clear" w:color="auto" w:fill="FBF3DC"/>
            <w:tcMar>
              <w:top w:w="160" w:type="dxa"/>
              <w:left w:w="200" w:type="dxa"/>
              <w:bottom w:w="160" w:type="dxa"/>
              <w:right w:w="200" w:type="dxa"/>
            </w:tcMar>
          </w:tcPr>
          <w:p w14:paraId="0E6FF7DD" w14:textId="77777777" w:rsidR="00B22691" w:rsidRPr="00600514" w:rsidRDefault="00352D7B" w:rsidP="00600514">
            <w:pPr>
              <w:spacing w:after="60" w:line="276" w:lineRule="auto"/>
              <w:jc w:val="both"/>
              <w:rPr>
                <w:rFonts w:ascii="Arial" w:hAnsi="Arial" w:cs="Arial"/>
              </w:rPr>
            </w:pPr>
            <w:r w:rsidRPr="00600514">
              <w:rPr>
                <w:rFonts w:ascii="Arial" w:hAnsi="Arial" w:cs="Arial"/>
                <w:b/>
                <w:bCs/>
                <w:color w:val="8A6D00"/>
                <w:sz w:val="21"/>
                <w:szCs w:val="21"/>
              </w:rPr>
              <w:t>Por qué no está incluida aún</w:t>
            </w:r>
          </w:p>
          <w:p w14:paraId="788484AA" w14:textId="77777777" w:rsidR="00B22691" w:rsidRPr="00600514" w:rsidRDefault="00352D7B" w:rsidP="00600514">
            <w:pPr>
              <w:spacing w:line="276" w:lineRule="auto"/>
              <w:jc w:val="both"/>
              <w:rPr>
                <w:rFonts w:ascii="Arial" w:hAnsi="Arial" w:cs="Arial"/>
              </w:rPr>
            </w:pPr>
            <w:r w:rsidRPr="00600514">
              <w:rPr>
                <w:rFonts w:ascii="Arial" w:hAnsi="Arial" w:cs="Arial"/>
                <w:color w:val="333333"/>
                <w:sz w:val="21"/>
                <w:szCs w:val="21"/>
              </w:rPr>
              <w:t xml:space="preserve">La fuente natural para esto sería Google </w:t>
            </w:r>
            <w:proofErr w:type="spellStart"/>
            <w:r w:rsidRPr="00600514">
              <w:rPr>
                <w:rFonts w:ascii="Arial" w:hAnsi="Arial" w:cs="Arial"/>
                <w:color w:val="333333"/>
                <w:sz w:val="21"/>
                <w:szCs w:val="21"/>
              </w:rPr>
              <w:t>Trends</w:t>
            </w:r>
            <w:proofErr w:type="spellEnd"/>
            <w:r w:rsidRPr="00600514">
              <w:rPr>
                <w:rFonts w:ascii="Arial" w:hAnsi="Arial" w:cs="Arial"/>
                <w:color w:val="333333"/>
                <w:sz w:val="21"/>
                <w:szCs w:val="21"/>
              </w:rPr>
              <w:t>, pero su API oficial sigue en fase alfa con acceso restringido a un grupo limitado de desarrolladores; las alternativas no oficiales tienen el mismo riesgo de fragilidad que ya se descartó para el e-</w:t>
            </w:r>
            <w:proofErr w:type="spellStart"/>
            <w:r w:rsidRPr="00600514">
              <w:rPr>
                <w:rFonts w:ascii="Arial" w:hAnsi="Arial" w:cs="Arial"/>
                <w:color w:val="333333"/>
                <w:sz w:val="21"/>
                <w:szCs w:val="21"/>
              </w:rPr>
              <w:t>commerce</w:t>
            </w:r>
            <w:proofErr w:type="spellEnd"/>
            <w:r w:rsidRPr="00600514">
              <w:rPr>
                <w:rFonts w:ascii="Arial" w:hAnsi="Arial" w:cs="Arial"/>
                <w:color w:val="333333"/>
                <w:sz w:val="21"/>
                <w:szCs w:val="21"/>
              </w:rPr>
              <w:t xml:space="preserve">. Como sustituto de bajo costo, se puede usar la fecha de alta de productos en Open </w:t>
            </w:r>
            <w:proofErr w:type="spellStart"/>
            <w:r w:rsidRPr="00600514">
              <w:rPr>
                <w:rFonts w:ascii="Arial" w:hAnsi="Arial" w:cs="Arial"/>
                <w:color w:val="333333"/>
                <w:sz w:val="21"/>
                <w:szCs w:val="21"/>
              </w:rPr>
              <w:t>Food</w:t>
            </w:r>
            <w:proofErr w:type="spellEnd"/>
            <w:r w:rsidRPr="00600514">
              <w:rPr>
                <w:rFonts w:ascii="Arial" w:hAnsi="Arial" w:cs="Arial"/>
                <w:color w:val="333333"/>
                <w:sz w:val="21"/>
                <w:szCs w:val="21"/>
              </w:rPr>
              <w:t xml:space="preserve"> </w:t>
            </w:r>
            <w:proofErr w:type="spellStart"/>
            <w:r w:rsidRPr="00600514">
              <w:rPr>
                <w:rFonts w:ascii="Arial" w:hAnsi="Arial" w:cs="Arial"/>
                <w:color w:val="333333"/>
                <w:sz w:val="21"/>
                <w:szCs w:val="21"/>
              </w:rPr>
              <w:t>Facts</w:t>
            </w:r>
            <w:proofErr w:type="spellEnd"/>
            <w:r w:rsidRPr="00600514">
              <w:rPr>
                <w:rFonts w:ascii="Arial" w:hAnsi="Arial" w:cs="Arial"/>
                <w:color w:val="333333"/>
                <w:sz w:val="21"/>
                <w:szCs w:val="21"/>
              </w:rPr>
              <w:t xml:space="preserve"> como una señal simple de cuántos </w:t>
            </w:r>
            <w:r w:rsidRPr="00600514">
              <w:rPr>
                <w:rFonts w:ascii="Arial" w:hAnsi="Arial" w:cs="Arial"/>
                <w:color w:val="333333"/>
                <w:sz w:val="21"/>
                <w:szCs w:val="21"/>
              </w:rPr>
              <w:lastRenderedPageBreak/>
              <w:t xml:space="preserve">productos nuevos se han registrado para un insumo dado —menos precisa, pero gratuita y sin riesgo técnico. Se recomienda incorporar la señal de tendencias real cuando la </w:t>
            </w:r>
            <w:r w:rsidRPr="00600514">
              <w:rPr>
                <w:rFonts w:ascii="Arial" w:hAnsi="Arial" w:cs="Arial"/>
                <w:color w:val="333333"/>
                <w:sz w:val="21"/>
                <w:szCs w:val="21"/>
              </w:rPr>
              <w:t>API oficial salga de fase alfa o exista presupuesto para una alternativa de pago confiable.</w:t>
            </w:r>
          </w:p>
        </w:tc>
      </w:tr>
    </w:tbl>
    <w:p w14:paraId="209B5CF1" w14:textId="77777777" w:rsidR="00B22691" w:rsidRPr="00600514" w:rsidRDefault="00352D7B" w:rsidP="00600514">
      <w:pPr>
        <w:pStyle w:val="Ttulo1"/>
        <w:pBdr>
          <w:bottom w:val="single" w:sz="6" w:space="4" w:color="3F7D4F"/>
        </w:pBdr>
        <w:spacing w:before="360" w:after="160" w:line="276" w:lineRule="auto"/>
        <w:jc w:val="both"/>
        <w:rPr>
          <w:rFonts w:ascii="Arial" w:hAnsi="Arial" w:cs="Arial"/>
        </w:rPr>
      </w:pPr>
      <w:r w:rsidRPr="00600514">
        <w:rPr>
          <w:rFonts w:ascii="Arial" w:hAnsi="Arial" w:cs="Arial"/>
          <w:b/>
          <w:bCs/>
          <w:color w:val="1F3B57"/>
          <w:sz w:val="28"/>
          <w:szCs w:val="28"/>
        </w:rPr>
        <w:lastRenderedPageBreak/>
        <w:t>5. Fuentes de datos</w:t>
      </w:r>
    </w:p>
    <w:p w14:paraId="03493D41" w14:textId="77777777" w:rsidR="00B22691" w:rsidRPr="00600514" w:rsidRDefault="00352D7B" w:rsidP="00600514">
      <w:pPr>
        <w:spacing w:after="160" w:line="276" w:lineRule="auto"/>
        <w:jc w:val="both"/>
        <w:rPr>
          <w:rFonts w:ascii="Arial" w:hAnsi="Arial" w:cs="Arial"/>
        </w:rPr>
      </w:pPr>
      <w:r w:rsidRPr="00600514">
        <w:rPr>
          <w:rFonts w:ascii="Arial" w:hAnsi="Arial" w:cs="Arial"/>
          <w:color w:val="222222"/>
          <w:sz w:val="22"/>
          <w:szCs w:val="22"/>
        </w:rPr>
        <w:t>Todas las fuentes utilizadas están explícitamente pensadas para ser consultadas por terceros, ya sea por licencia abierta o por tratarse de información de dominio público.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200"/>
      </w:tblGrid>
      <w:tr w:rsidR="00B22691" w:rsidRPr="00600514" w14:paraId="2A61F0F8" w14:textId="77777777">
        <w:tblPrEx>
          <w:tblCellMar>
            <w:top w:w="0" w:type="dxa"/>
            <w:bottom w:w="0" w:type="dxa"/>
          </w:tblCellMar>
        </w:tblPrEx>
        <w:trPr>
          <w:tblHeader/>
        </w:trPr>
        <w:tc>
          <w:tcPr>
            <w:tcW w:w="2600" w:type="dxa"/>
            <w:shd w:val="clear" w:color="auto" w:fill="1F3B57"/>
            <w:tcMar>
              <w:top w:w="100" w:type="dxa"/>
              <w:left w:w="120" w:type="dxa"/>
              <w:bottom w:w="100" w:type="dxa"/>
              <w:right w:w="120" w:type="dxa"/>
            </w:tcMar>
            <w:vAlign w:val="center"/>
          </w:tcPr>
          <w:p w14:paraId="2BBFA6D4" w14:textId="77777777" w:rsidR="00B22691" w:rsidRPr="00600514" w:rsidRDefault="00352D7B" w:rsidP="00600514">
            <w:pPr>
              <w:spacing w:line="276" w:lineRule="auto"/>
              <w:jc w:val="both"/>
              <w:rPr>
                <w:rFonts w:ascii="Arial" w:hAnsi="Arial" w:cs="Arial"/>
              </w:rPr>
            </w:pPr>
            <w:r w:rsidRPr="00600514">
              <w:rPr>
                <w:rFonts w:ascii="Arial" w:hAnsi="Arial" w:cs="Arial"/>
                <w:b/>
                <w:bCs/>
                <w:color w:val="FFFFFF"/>
              </w:rPr>
              <w:t>Fuente</w:t>
            </w:r>
          </w:p>
        </w:tc>
        <w:tc>
          <w:tcPr>
            <w:tcW w:w="3600" w:type="dxa"/>
            <w:shd w:val="clear" w:color="auto" w:fill="1F3B57"/>
            <w:tcMar>
              <w:top w:w="100" w:type="dxa"/>
              <w:left w:w="120" w:type="dxa"/>
              <w:bottom w:w="100" w:type="dxa"/>
              <w:right w:w="120" w:type="dxa"/>
            </w:tcMar>
            <w:vAlign w:val="center"/>
          </w:tcPr>
          <w:p w14:paraId="726FE00B" w14:textId="77777777" w:rsidR="00B22691" w:rsidRPr="00600514" w:rsidRDefault="00352D7B" w:rsidP="00600514">
            <w:pPr>
              <w:spacing w:line="276" w:lineRule="auto"/>
              <w:jc w:val="both"/>
              <w:rPr>
                <w:rFonts w:ascii="Arial" w:hAnsi="Arial" w:cs="Arial"/>
              </w:rPr>
            </w:pPr>
            <w:r w:rsidRPr="00600514">
              <w:rPr>
                <w:rFonts w:ascii="Arial" w:hAnsi="Arial" w:cs="Arial"/>
                <w:b/>
                <w:bCs/>
                <w:color w:val="FFFFFF"/>
              </w:rPr>
              <w:t>Qué aporta</w:t>
            </w:r>
          </w:p>
        </w:tc>
        <w:tc>
          <w:tcPr>
            <w:tcW w:w="3200" w:type="dxa"/>
            <w:shd w:val="clear" w:color="auto" w:fill="1F3B57"/>
            <w:tcMar>
              <w:top w:w="100" w:type="dxa"/>
              <w:left w:w="120" w:type="dxa"/>
              <w:bottom w:w="100" w:type="dxa"/>
              <w:right w:w="120" w:type="dxa"/>
            </w:tcMar>
            <w:vAlign w:val="center"/>
          </w:tcPr>
          <w:p w14:paraId="48F2EC59" w14:textId="77777777" w:rsidR="00B22691" w:rsidRPr="00600514" w:rsidRDefault="00352D7B" w:rsidP="00600514">
            <w:pPr>
              <w:spacing w:line="276" w:lineRule="auto"/>
              <w:jc w:val="both"/>
              <w:rPr>
                <w:rFonts w:ascii="Arial" w:hAnsi="Arial" w:cs="Arial"/>
              </w:rPr>
            </w:pPr>
            <w:r w:rsidRPr="00600514">
              <w:rPr>
                <w:rFonts w:ascii="Arial" w:hAnsi="Arial" w:cs="Arial"/>
                <w:b/>
                <w:bCs/>
                <w:color w:val="FFFFFF"/>
              </w:rPr>
              <w:t>Naturaleza</w:t>
            </w:r>
          </w:p>
        </w:tc>
      </w:tr>
      <w:tr w:rsidR="00B22691" w:rsidRPr="00600514" w14:paraId="0401AA3D"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0A661D62"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 xml:space="preserve">Open </w:t>
            </w:r>
            <w:proofErr w:type="spellStart"/>
            <w:r w:rsidRPr="00600514">
              <w:rPr>
                <w:rFonts w:ascii="Arial" w:hAnsi="Arial" w:cs="Arial"/>
                <w:color w:val="222222"/>
                <w:sz w:val="19"/>
                <w:szCs w:val="19"/>
              </w:rPr>
              <w:t>Food</w:t>
            </w:r>
            <w:proofErr w:type="spellEnd"/>
            <w:r w:rsidRPr="00600514">
              <w:rPr>
                <w:rFonts w:ascii="Arial" w:hAnsi="Arial" w:cs="Arial"/>
                <w:color w:val="222222"/>
                <w:sz w:val="19"/>
                <w:szCs w:val="19"/>
              </w:rPr>
              <w:t xml:space="preserve"> </w:t>
            </w:r>
            <w:proofErr w:type="spellStart"/>
            <w:r w:rsidRPr="00600514">
              <w:rPr>
                <w:rFonts w:ascii="Arial" w:hAnsi="Arial" w:cs="Arial"/>
                <w:color w:val="222222"/>
                <w:sz w:val="19"/>
                <w:szCs w:val="19"/>
              </w:rPr>
              <w:t>Facts</w:t>
            </w:r>
            <w:proofErr w:type="spellEnd"/>
          </w:p>
        </w:tc>
        <w:tc>
          <w:tcPr>
            <w:tcW w:w="3600" w:type="dxa"/>
            <w:shd w:val="clear" w:color="auto" w:fill="FFFFFF"/>
            <w:tcMar>
              <w:top w:w="100" w:type="dxa"/>
              <w:left w:w="120" w:type="dxa"/>
              <w:bottom w:w="100" w:type="dxa"/>
              <w:right w:w="120" w:type="dxa"/>
            </w:tcMar>
            <w:vAlign w:val="center"/>
          </w:tcPr>
          <w:p w14:paraId="0A81F06D"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Ingredientes, información nutricional y categorías de miles de productos alimenticios del mundo.</w:t>
            </w:r>
          </w:p>
        </w:tc>
        <w:tc>
          <w:tcPr>
            <w:tcW w:w="3200" w:type="dxa"/>
            <w:shd w:val="clear" w:color="auto" w:fill="FFFFFF"/>
            <w:tcMar>
              <w:top w:w="100" w:type="dxa"/>
              <w:left w:w="120" w:type="dxa"/>
              <w:bottom w:w="100" w:type="dxa"/>
              <w:right w:w="120" w:type="dxa"/>
            </w:tcMar>
            <w:vAlign w:val="center"/>
          </w:tcPr>
          <w:p w14:paraId="35F14570"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 xml:space="preserve">Base colaborativa abierta (licencia </w:t>
            </w:r>
            <w:proofErr w:type="spellStart"/>
            <w:r w:rsidRPr="00600514">
              <w:rPr>
                <w:rFonts w:ascii="Arial" w:hAnsi="Arial" w:cs="Arial"/>
                <w:color w:val="222222"/>
                <w:sz w:val="19"/>
                <w:szCs w:val="19"/>
              </w:rPr>
              <w:t>ODbL</w:t>
            </w:r>
            <w:proofErr w:type="spellEnd"/>
            <w:r w:rsidRPr="00600514">
              <w:rPr>
                <w:rFonts w:ascii="Arial" w:hAnsi="Arial" w:cs="Arial"/>
                <w:color w:val="222222"/>
                <w:sz w:val="19"/>
                <w:szCs w:val="19"/>
              </w:rPr>
              <w:t>), API gratuita y exportaciones completas descargables, sin necesidad de registro.</w:t>
            </w:r>
          </w:p>
        </w:tc>
      </w:tr>
      <w:tr w:rsidR="00B22691" w:rsidRPr="00600514" w14:paraId="3B6ADF28" w14:textId="77777777">
        <w:tblPrEx>
          <w:tblCellMar>
            <w:top w:w="0" w:type="dxa"/>
            <w:bottom w:w="0" w:type="dxa"/>
          </w:tblCellMar>
        </w:tblPrEx>
        <w:tc>
          <w:tcPr>
            <w:tcW w:w="2600" w:type="dxa"/>
            <w:shd w:val="clear" w:color="auto" w:fill="EAF3EC"/>
            <w:tcMar>
              <w:top w:w="100" w:type="dxa"/>
              <w:left w:w="120" w:type="dxa"/>
              <w:bottom w:w="100" w:type="dxa"/>
              <w:right w:w="120" w:type="dxa"/>
            </w:tcMar>
            <w:vAlign w:val="center"/>
          </w:tcPr>
          <w:p w14:paraId="4EECA3C0"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 xml:space="preserve">USDA </w:t>
            </w:r>
            <w:proofErr w:type="spellStart"/>
            <w:r w:rsidRPr="00600514">
              <w:rPr>
                <w:rFonts w:ascii="Arial" w:hAnsi="Arial" w:cs="Arial"/>
                <w:color w:val="222222"/>
                <w:sz w:val="19"/>
                <w:szCs w:val="19"/>
              </w:rPr>
              <w:t>FoodData</w:t>
            </w:r>
            <w:proofErr w:type="spellEnd"/>
            <w:r w:rsidRPr="00600514">
              <w:rPr>
                <w:rFonts w:ascii="Arial" w:hAnsi="Arial" w:cs="Arial"/>
                <w:color w:val="222222"/>
                <w:sz w:val="19"/>
                <w:szCs w:val="19"/>
              </w:rPr>
              <w:t xml:space="preserve"> Central</w:t>
            </w:r>
          </w:p>
        </w:tc>
        <w:tc>
          <w:tcPr>
            <w:tcW w:w="3600" w:type="dxa"/>
            <w:shd w:val="clear" w:color="auto" w:fill="EAF3EC"/>
            <w:tcMar>
              <w:top w:w="100" w:type="dxa"/>
              <w:left w:w="120" w:type="dxa"/>
              <w:bottom w:w="100" w:type="dxa"/>
              <w:right w:w="120" w:type="dxa"/>
            </w:tcMar>
            <w:vAlign w:val="center"/>
          </w:tcPr>
          <w:p w14:paraId="6752E26D"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Composición nutricional detallada y estandarizada.</w:t>
            </w:r>
          </w:p>
        </w:tc>
        <w:tc>
          <w:tcPr>
            <w:tcW w:w="3200" w:type="dxa"/>
            <w:shd w:val="clear" w:color="auto" w:fill="EAF3EC"/>
            <w:tcMar>
              <w:top w:w="100" w:type="dxa"/>
              <w:left w:w="120" w:type="dxa"/>
              <w:bottom w:w="100" w:type="dxa"/>
              <w:right w:w="120" w:type="dxa"/>
            </w:tcMar>
            <w:vAlign w:val="center"/>
          </w:tcPr>
          <w:p w14:paraId="71C55C17"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Datos de dominio público (licencia CC0), API gratuita con registro inmediato, límite generoso de consultas por hora.</w:t>
            </w:r>
          </w:p>
        </w:tc>
      </w:tr>
      <w:tr w:rsidR="00B22691" w:rsidRPr="00600514" w14:paraId="5BD29599"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0DFFE4AA" w14:textId="77777777" w:rsidR="00B22691" w:rsidRPr="00600514" w:rsidRDefault="00352D7B" w:rsidP="00600514">
            <w:pPr>
              <w:spacing w:line="276" w:lineRule="auto"/>
              <w:jc w:val="both"/>
              <w:rPr>
                <w:rFonts w:ascii="Arial" w:hAnsi="Arial" w:cs="Arial"/>
              </w:rPr>
            </w:pPr>
            <w:proofErr w:type="spellStart"/>
            <w:r w:rsidRPr="00600514">
              <w:rPr>
                <w:rFonts w:ascii="Arial" w:hAnsi="Arial" w:cs="Arial"/>
                <w:color w:val="222222"/>
                <w:sz w:val="19"/>
                <w:szCs w:val="19"/>
              </w:rPr>
              <w:t>openFDA</w:t>
            </w:r>
            <w:proofErr w:type="spellEnd"/>
            <w:r w:rsidRPr="00600514">
              <w:rPr>
                <w:rFonts w:ascii="Arial" w:hAnsi="Arial" w:cs="Arial"/>
                <w:color w:val="222222"/>
                <w:sz w:val="19"/>
                <w:szCs w:val="19"/>
              </w:rPr>
              <w:t xml:space="preserve"> (FDA, EE.UU.)</w:t>
            </w:r>
          </w:p>
        </w:tc>
        <w:tc>
          <w:tcPr>
            <w:tcW w:w="3600" w:type="dxa"/>
            <w:shd w:val="clear" w:color="auto" w:fill="FFFFFF"/>
            <w:tcMar>
              <w:top w:w="100" w:type="dxa"/>
              <w:left w:w="120" w:type="dxa"/>
              <w:bottom w:w="100" w:type="dxa"/>
              <w:right w:w="120" w:type="dxa"/>
            </w:tcMar>
            <w:vAlign w:val="center"/>
          </w:tcPr>
          <w:p w14:paraId="2CF40D26"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Información regulatoria oficial sobre ingredientes y aditivos en el mercado estadounidense.</w:t>
            </w:r>
          </w:p>
        </w:tc>
        <w:tc>
          <w:tcPr>
            <w:tcW w:w="3200" w:type="dxa"/>
            <w:shd w:val="clear" w:color="auto" w:fill="FFFFFF"/>
            <w:tcMar>
              <w:top w:w="100" w:type="dxa"/>
              <w:left w:w="120" w:type="dxa"/>
              <w:bottom w:w="100" w:type="dxa"/>
              <w:right w:w="120" w:type="dxa"/>
            </w:tcMar>
            <w:vAlign w:val="center"/>
          </w:tcPr>
          <w:p w14:paraId="29A937E8"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API oficial y gratuita del gobierno de EE.UU.</w:t>
            </w:r>
          </w:p>
        </w:tc>
      </w:tr>
      <w:tr w:rsidR="00B22691" w:rsidRPr="00600514" w14:paraId="36B73FAA" w14:textId="77777777">
        <w:tblPrEx>
          <w:tblCellMar>
            <w:top w:w="0" w:type="dxa"/>
            <w:bottom w:w="0" w:type="dxa"/>
          </w:tblCellMar>
        </w:tblPrEx>
        <w:tc>
          <w:tcPr>
            <w:tcW w:w="2600" w:type="dxa"/>
            <w:shd w:val="clear" w:color="auto" w:fill="EAF3EC"/>
            <w:tcMar>
              <w:top w:w="100" w:type="dxa"/>
              <w:left w:w="120" w:type="dxa"/>
              <w:bottom w:w="100" w:type="dxa"/>
              <w:right w:w="120" w:type="dxa"/>
            </w:tcMar>
            <w:vAlign w:val="center"/>
          </w:tcPr>
          <w:p w14:paraId="38C1F203"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 xml:space="preserve">Base documental propia (Codex </w:t>
            </w:r>
            <w:proofErr w:type="spellStart"/>
            <w:r w:rsidRPr="00600514">
              <w:rPr>
                <w:rFonts w:ascii="Arial" w:hAnsi="Arial" w:cs="Arial"/>
                <w:color w:val="222222"/>
                <w:sz w:val="19"/>
                <w:szCs w:val="19"/>
              </w:rPr>
              <w:t>Alimentarius</w:t>
            </w:r>
            <w:proofErr w:type="spellEnd"/>
            <w:r w:rsidRPr="00600514">
              <w:rPr>
                <w:rFonts w:ascii="Arial" w:hAnsi="Arial" w:cs="Arial"/>
                <w:color w:val="222222"/>
                <w:sz w:val="19"/>
                <w:szCs w:val="19"/>
              </w:rPr>
              <w:t>, guías DIGESA, EFSA)</w:t>
            </w:r>
          </w:p>
        </w:tc>
        <w:tc>
          <w:tcPr>
            <w:tcW w:w="3600" w:type="dxa"/>
            <w:shd w:val="clear" w:color="auto" w:fill="EAF3EC"/>
            <w:tcMar>
              <w:top w:w="100" w:type="dxa"/>
              <w:left w:w="120" w:type="dxa"/>
              <w:bottom w:w="100" w:type="dxa"/>
              <w:right w:w="120" w:type="dxa"/>
            </w:tcMar>
            <w:vAlign w:val="center"/>
          </w:tcPr>
          <w:p w14:paraId="036E385B"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 xml:space="preserve">Referencia regulatoria para Perú y la Unión Europea, donde no existen </w:t>
            </w:r>
            <w:proofErr w:type="spellStart"/>
            <w:r w:rsidRPr="00600514">
              <w:rPr>
                <w:rFonts w:ascii="Arial" w:hAnsi="Arial" w:cs="Arial"/>
                <w:color w:val="222222"/>
                <w:sz w:val="19"/>
                <w:szCs w:val="19"/>
              </w:rPr>
              <w:t>APIs</w:t>
            </w:r>
            <w:proofErr w:type="spellEnd"/>
            <w:r w:rsidRPr="00600514">
              <w:rPr>
                <w:rFonts w:ascii="Arial" w:hAnsi="Arial" w:cs="Arial"/>
                <w:color w:val="222222"/>
                <w:sz w:val="19"/>
                <w:szCs w:val="19"/>
              </w:rPr>
              <w:t xml:space="preserve"> oficiales.</w:t>
            </w:r>
          </w:p>
        </w:tc>
        <w:tc>
          <w:tcPr>
            <w:tcW w:w="3200" w:type="dxa"/>
            <w:shd w:val="clear" w:color="auto" w:fill="EAF3EC"/>
            <w:tcMar>
              <w:top w:w="100" w:type="dxa"/>
              <w:left w:w="120" w:type="dxa"/>
              <w:bottom w:w="100" w:type="dxa"/>
              <w:right w:w="120" w:type="dxa"/>
            </w:tcMar>
            <w:vAlign w:val="center"/>
          </w:tcPr>
          <w:p w14:paraId="3674B7AD"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Documentos públicos descargados una vez y consultados por búsqueda semántica propia; se actualiza periódicamente, no en tiempo real.</w:t>
            </w:r>
          </w:p>
        </w:tc>
      </w:tr>
    </w:tbl>
    <w:p w14:paraId="2F12321A" w14:textId="77777777" w:rsidR="00B22691" w:rsidRPr="00600514" w:rsidRDefault="00352D7B" w:rsidP="00600514">
      <w:pPr>
        <w:pStyle w:val="Ttulo1"/>
        <w:pBdr>
          <w:bottom w:val="single" w:sz="6" w:space="4" w:color="3F7D4F"/>
        </w:pBdr>
        <w:spacing w:before="360" w:after="160" w:line="276" w:lineRule="auto"/>
        <w:jc w:val="both"/>
        <w:rPr>
          <w:rFonts w:ascii="Arial" w:hAnsi="Arial" w:cs="Arial"/>
        </w:rPr>
      </w:pPr>
      <w:r w:rsidRPr="00600514">
        <w:rPr>
          <w:rFonts w:ascii="Arial" w:hAnsi="Arial" w:cs="Arial"/>
          <w:b/>
          <w:bCs/>
          <w:color w:val="1F3B57"/>
          <w:sz w:val="28"/>
          <w:szCs w:val="28"/>
        </w:rPr>
        <w:t>6. Modelo de negocio</w:t>
      </w:r>
    </w:p>
    <w:p w14:paraId="6818E503" w14:textId="77777777" w:rsidR="00B22691" w:rsidRPr="00600514" w:rsidRDefault="00352D7B" w:rsidP="00600514">
      <w:pPr>
        <w:spacing w:after="160" w:line="276" w:lineRule="auto"/>
        <w:jc w:val="both"/>
        <w:rPr>
          <w:rFonts w:ascii="Arial" w:hAnsi="Arial" w:cs="Arial"/>
        </w:rPr>
      </w:pPr>
      <w:r w:rsidRPr="00600514">
        <w:rPr>
          <w:rFonts w:ascii="Arial" w:hAnsi="Arial" w:cs="Arial"/>
          <w:color w:val="222222"/>
          <w:sz w:val="22"/>
          <w:szCs w:val="22"/>
        </w:rPr>
        <w:t>El modelo de suscripción se mantiene, con un costo operativo mucho menor por usuario al no depender de búsquedas web pagadas ni licencias de datos comerciales.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800"/>
      </w:tblGrid>
      <w:tr w:rsidR="00B22691" w:rsidRPr="00600514" w14:paraId="4E572E43" w14:textId="77777777">
        <w:tblPrEx>
          <w:tblCellMar>
            <w:top w:w="0" w:type="dxa"/>
            <w:bottom w:w="0" w:type="dxa"/>
          </w:tblCellMar>
        </w:tblPrEx>
        <w:trPr>
          <w:tblHeader/>
        </w:trPr>
        <w:tc>
          <w:tcPr>
            <w:tcW w:w="1800" w:type="dxa"/>
            <w:shd w:val="clear" w:color="auto" w:fill="3F7D4F"/>
            <w:tcMar>
              <w:top w:w="100" w:type="dxa"/>
              <w:left w:w="120" w:type="dxa"/>
              <w:bottom w:w="100" w:type="dxa"/>
              <w:right w:w="120" w:type="dxa"/>
            </w:tcMar>
            <w:vAlign w:val="center"/>
          </w:tcPr>
          <w:p w14:paraId="1E168E91" w14:textId="77777777" w:rsidR="00B22691" w:rsidRPr="00600514" w:rsidRDefault="00352D7B" w:rsidP="00600514">
            <w:pPr>
              <w:spacing w:line="276" w:lineRule="auto"/>
              <w:jc w:val="both"/>
              <w:rPr>
                <w:rFonts w:ascii="Arial" w:hAnsi="Arial" w:cs="Arial"/>
              </w:rPr>
            </w:pPr>
            <w:r w:rsidRPr="00600514">
              <w:rPr>
                <w:rFonts w:ascii="Arial" w:hAnsi="Arial" w:cs="Arial"/>
                <w:b/>
                <w:bCs/>
                <w:color w:val="FFFFFF"/>
              </w:rPr>
              <w:t>Plan</w:t>
            </w:r>
          </w:p>
        </w:tc>
        <w:tc>
          <w:tcPr>
            <w:tcW w:w="2800" w:type="dxa"/>
            <w:shd w:val="clear" w:color="auto" w:fill="3F7D4F"/>
            <w:tcMar>
              <w:top w:w="100" w:type="dxa"/>
              <w:left w:w="120" w:type="dxa"/>
              <w:bottom w:w="100" w:type="dxa"/>
              <w:right w:w="120" w:type="dxa"/>
            </w:tcMar>
            <w:vAlign w:val="center"/>
          </w:tcPr>
          <w:p w14:paraId="6268086C" w14:textId="77777777" w:rsidR="00B22691" w:rsidRPr="00600514" w:rsidRDefault="00352D7B" w:rsidP="00600514">
            <w:pPr>
              <w:spacing w:line="276" w:lineRule="auto"/>
              <w:jc w:val="both"/>
              <w:rPr>
                <w:rFonts w:ascii="Arial" w:hAnsi="Arial" w:cs="Arial"/>
              </w:rPr>
            </w:pPr>
            <w:r w:rsidRPr="00600514">
              <w:rPr>
                <w:rFonts w:ascii="Arial" w:hAnsi="Arial" w:cs="Arial"/>
                <w:b/>
                <w:bCs/>
                <w:color w:val="FFFFFF"/>
              </w:rPr>
              <w:t>Para quién</w:t>
            </w:r>
          </w:p>
        </w:tc>
        <w:tc>
          <w:tcPr>
            <w:tcW w:w="4800" w:type="dxa"/>
            <w:shd w:val="clear" w:color="auto" w:fill="3F7D4F"/>
            <w:tcMar>
              <w:top w:w="100" w:type="dxa"/>
              <w:left w:w="120" w:type="dxa"/>
              <w:bottom w:w="100" w:type="dxa"/>
              <w:right w:w="120" w:type="dxa"/>
            </w:tcMar>
            <w:vAlign w:val="center"/>
          </w:tcPr>
          <w:p w14:paraId="4C17F678" w14:textId="77777777" w:rsidR="00B22691" w:rsidRPr="00600514" w:rsidRDefault="00352D7B" w:rsidP="00600514">
            <w:pPr>
              <w:spacing w:line="276" w:lineRule="auto"/>
              <w:jc w:val="both"/>
              <w:rPr>
                <w:rFonts w:ascii="Arial" w:hAnsi="Arial" w:cs="Arial"/>
              </w:rPr>
            </w:pPr>
            <w:r w:rsidRPr="00600514">
              <w:rPr>
                <w:rFonts w:ascii="Arial" w:hAnsi="Arial" w:cs="Arial"/>
                <w:b/>
                <w:bCs/>
                <w:color w:val="FFFFFF"/>
              </w:rPr>
              <w:t>Incluye</w:t>
            </w:r>
          </w:p>
        </w:tc>
      </w:tr>
      <w:tr w:rsidR="00B22691" w:rsidRPr="00600514" w14:paraId="6F3CF45B" w14:textId="77777777">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14:paraId="0196A3EC" w14:textId="77777777" w:rsidR="00B22691" w:rsidRPr="00600514" w:rsidRDefault="00352D7B" w:rsidP="00600514">
            <w:pPr>
              <w:spacing w:line="276" w:lineRule="auto"/>
              <w:jc w:val="both"/>
              <w:rPr>
                <w:rFonts w:ascii="Arial" w:hAnsi="Arial" w:cs="Arial"/>
              </w:rPr>
            </w:pPr>
            <w:r w:rsidRPr="00600514">
              <w:rPr>
                <w:rFonts w:ascii="Arial" w:hAnsi="Arial" w:cs="Arial"/>
                <w:b/>
                <w:bCs/>
                <w:color w:val="1F3B57"/>
                <w:sz w:val="19"/>
                <w:szCs w:val="19"/>
              </w:rPr>
              <w:t>Básico</w:t>
            </w:r>
          </w:p>
        </w:tc>
        <w:tc>
          <w:tcPr>
            <w:tcW w:w="2800" w:type="dxa"/>
            <w:shd w:val="clear" w:color="auto" w:fill="FFFFFF"/>
            <w:tcMar>
              <w:top w:w="100" w:type="dxa"/>
              <w:left w:w="120" w:type="dxa"/>
              <w:bottom w:w="100" w:type="dxa"/>
              <w:right w:w="120" w:type="dxa"/>
            </w:tcMar>
            <w:vAlign w:val="center"/>
          </w:tcPr>
          <w:p w14:paraId="0B1B5793" w14:textId="77777777" w:rsidR="00B22691" w:rsidRPr="00600514" w:rsidRDefault="00352D7B" w:rsidP="00600514">
            <w:pPr>
              <w:spacing w:line="276" w:lineRule="auto"/>
              <w:jc w:val="both"/>
              <w:rPr>
                <w:rFonts w:ascii="Arial" w:hAnsi="Arial" w:cs="Arial"/>
              </w:rPr>
            </w:pPr>
            <w:proofErr w:type="spellStart"/>
            <w:r w:rsidRPr="00600514">
              <w:rPr>
                <w:rFonts w:ascii="Arial" w:hAnsi="Arial" w:cs="Arial"/>
                <w:color w:val="222222"/>
                <w:sz w:val="19"/>
                <w:szCs w:val="19"/>
              </w:rPr>
              <w:t>Mipyme</w:t>
            </w:r>
            <w:proofErr w:type="spellEnd"/>
            <w:r w:rsidRPr="00600514">
              <w:rPr>
                <w:rFonts w:ascii="Arial" w:hAnsi="Arial" w:cs="Arial"/>
                <w:color w:val="222222"/>
                <w:sz w:val="19"/>
                <w:szCs w:val="19"/>
              </w:rPr>
              <w:t xml:space="preserve"> / productor individual</w:t>
            </w:r>
          </w:p>
        </w:tc>
        <w:tc>
          <w:tcPr>
            <w:tcW w:w="4800" w:type="dxa"/>
            <w:shd w:val="clear" w:color="auto" w:fill="FFFFFF"/>
            <w:tcMar>
              <w:top w:w="100" w:type="dxa"/>
              <w:left w:w="120" w:type="dxa"/>
              <w:bottom w:w="100" w:type="dxa"/>
              <w:right w:w="120" w:type="dxa"/>
            </w:tcMar>
            <w:vAlign w:val="center"/>
          </w:tcPr>
          <w:p w14:paraId="32FB56C8"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Consultas mensuales limitadas + informe de formulación orientativa.</w:t>
            </w:r>
          </w:p>
        </w:tc>
      </w:tr>
      <w:tr w:rsidR="00B22691" w:rsidRPr="00600514" w14:paraId="26AF9729" w14:textId="77777777">
        <w:tblPrEx>
          <w:tblCellMar>
            <w:top w:w="0" w:type="dxa"/>
            <w:bottom w:w="0" w:type="dxa"/>
          </w:tblCellMar>
        </w:tblPrEx>
        <w:tc>
          <w:tcPr>
            <w:tcW w:w="1800" w:type="dxa"/>
            <w:shd w:val="clear" w:color="auto" w:fill="F2F2F2"/>
            <w:tcMar>
              <w:top w:w="100" w:type="dxa"/>
              <w:left w:w="120" w:type="dxa"/>
              <w:bottom w:w="100" w:type="dxa"/>
              <w:right w:w="120" w:type="dxa"/>
            </w:tcMar>
            <w:vAlign w:val="center"/>
          </w:tcPr>
          <w:p w14:paraId="10774A60" w14:textId="77777777" w:rsidR="00B22691" w:rsidRPr="00600514" w:rsidRDefault="00352D7B" w:rsidP="00600514">
            <w:pPr>
              <w:spacing w:line="276" w:lineRule="auto"/>
              <w:jc w:val="both"/>
              <w:rPr>
                <w:rFonts w:ascii="Arial" w:hAnsi="Arial" w:cs="Arial"/>
              </w:rPr>
            </w:pPr>
            <w:r w:rsidRPr="00600514">
              <w:rPr>
                <w:rFonts w:ascii="Arial" w:hAnsi="Arial" w:cs="Arial"/>
                <w:b/>
                <w:bCs/>
                <w:color w:val="1F3B57"/>
                <w:sz w:val="19"/>
                <w:szCs w:val="19"/>
              </w:rPr>
              <w:t>Avanzado</w:t>
            </w:r>
          </w:p>
        </w:tc>
        <w:tc>
          <w:tcPr>
            <w:tcW w:w="2800" w:type="dxa"/>
            <w:shd w:val="clear" w:color="auto" w:fill="F2F2F2"/>
            <w:tcMar>
              <w:top w:w="100" w:type="dxa"/>
              <w:left w:w="120" w:type="dxa"/>
              <w:bottom w:w="100" w:type="dxa"/>
              <w:right w:w="120" w:type="dxa"/>
            </w:tcMar>
            <w:vAlign w:val="center"/>
          </w:tcPr>
          <w:p w14:paraId="4B6CF1C2"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Cooperativa / empresa agroexportadora</w:t>
            </w:r>
          </w:p>
        </w:tc>
        <w:tc>
          <w:tcPr>
            <w:tcW w:w="4800" w:type="dxa"/>
            <w:shd w:val="clear" w:color="auto" w:fill="F2F2F2"/>
            <w:tcMar>
              <w:top w:w="100" w:type="dxa"/>
              <w:left w:w="120" w:type="dxa"/>
              <w:bottom w:w="100" w:type="dxa"/>
              <w:right w:w="120" w:type="dxa"/>
            </w:tcMar>
            <w:vAlign w:val="center"/>
          </w:tcPr>
          <w:p w14:paraId="2D8371C0"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Consultas ilimitadas + verificación regulatoria orientativa + informes exportables en PDF.</w:t>
            </w:r>
          </w:p>
        </w:tc>
      </w:tr>
      <w:tr w:rsidR="00B22691" w:rsidRPr="00600514" w14:paraId="02E05B99" w14:textId="77777777">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14:paraId="3946D384" w14:textId="77777777" w:rsidR="00B22691" w:rsidRPr="00600514" w:rsidRDefault="00352D7B" w:rsidP="00600514">
            <w:pPr>
              <w:spacing w:line="276" w:lineRule="auto"/>
              <w:jc w:val="both"/>
              <w:rPr>
                <w:rFonts w:ascii="Arial" w:hAnsi="Arial" w:cs="Arial"/>
              </w:rPr>
            </w:pPr>
            <w:r w:rsidRPr="00600514">
              <w:rPr>
                <w:rFonts w:ascii="Arial" w:hAnsi="Arial" w:cs="Arial"/>
                <w:b/>
                <w:bCs/>
                <w:color w:val="1F3B57"/>
                <w:sz w:val="19"/>
                <w:szCs w:val="19"/>
              </w:rPr>
              <w:t>Institucional</w:t>
            </w:r>
          </w:p>
        </w:tc>
        <w:tc>
          <w:tcPr>
            <w:tcW w:w="2800" w:type="dxa"/>
            <w:shd w:val="clear" w:color="auto" w:fill="FFFFFF"/>
            <w:tcMar>
              <w:top w:w="100" w:type="dxa"/>
              <w:left w:w="120" w:type="dxa"/>
              <w:bottom w:w="100" w:type="dxa"/>
              <w:right w:w="120" w:type="dxa"/>
            </w:tcMar>
            <w:vAlign w:val="center"/>
          </w:tcPr>
          <w:p w14:paraId="6D2D3DB3"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 xml:space="preserve">CITE Chavimochic / red de </w:t>
            </w:r>
            <w:proofErr w:type="spellStart"/>
            <w:r w:rsidRPr="00600514">
              <w:rPr>
                <w:rFonts w:ascii="Arial" w:hAnsi="Arial" w:cs="Arial"/>
                <w:color w:val="222222"/>
                <w:sz w:val="19"/>
                <w:szCs w:val="19"/>
              </w:rPr>
              <w:t>CITEs</w:t>
            </w:r>
            <w:proofErr w:type="spellEnd"/>
          </w:p>
        </w:tc>
        <w:tc>
          <w:tcPr>
            <w:tcW w:w="4800" w:type="dxa"/>
            <w:shd w:val="clear" w:color="auto" w:fill="FFFFFF"/>
            <w:tcMar>
              <w:top w:w="100" w:type="dxa"/>
              <w:left w:w="120" w:type="dxa"/>
              <w:bottom w:w="100" w:type="dxa"/>
              <w:right w:w="120" w:type="dxa"/>
            </w:tcMar>
            <w:vAlign w:val="center"/>
          </w:tcPr>
          <w:p w14:paraId="7BA4F88E"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Panel de uso para consultores como primer filtro antes de laboratorio; reporte agregado de insumos más consultados por región.</w:t>
            </w:r>
          </w:p>
        </w:tc>
      </w:tr>
    </w:tbl>
    <w:p w14:paraId="7426A15E" w14:textId="77777777" w:rsidR="00B22691" w:rsidRPr="00600514" w:rsidRDefault="00352D7B" w:rsidP="00600514">
      <w:pPr>
        <w:pStyle w:val="Ttulo1"/>
        <w:pBdr>
          <w:bottom w:val="single" w:sz="6" w:space="4" w:color="3F7D4F"/>
        </w:pBdr>
        <w:spacing w:before="360" w:after="160" w:line="276" w:lineRule="auto"/>
        <w:jc w:val="both"/>
        <w:rPr>
          <w:rFonts w:ascii="Arial" w:hAnsi="Arial" w:cs="Arial"/>
        </w:rPr>
      </w:pPr>
      <w:r w:rsidRPr="00600514">
        <w:rPr>
          <w:rFonts w:ascii="Arial" w:hAnsi="Arial" w:cs="Arial"/>
          <w:b/>
          <w:bCs/>
          <w:color w:val="1F3B57"/>
          <w:sz w:val="28"/>
          <w:szCs w:val="28"/>
        </w:rPr>
        <w:lastRenderedPageBreak/>
        <w:t>7. Encaje estratégico con el CITEagroindustrial Chavimochic</w:t>
      </w:r>
    </w:p>
    <w:p w14:paraId="09099A7A" w14:textId="77777777" w:rsidR="00B22691" w:rsidRPr="00600514" w:rsidRDefault="00352D7B" w:rsidP="00600514">
      <w:pPr>
        <w:pStyle w:val="Prrafodelista"/>
        <w:numPr>
          <w:ilvl w:val="0"/>
          <w:numId w:val="2"/>
        </w:numPr>
        <w:spacing w:after="100" w:line="276" w:lineRule="auto"/>
        <w:jc w:val="both"/>
        <w:rPr>
          <w:rFonts w:ascii="Arial" w:hAnsi="Arial" w:cs="Arial"/>
        </w:rPr>
      </w:pPr>
      <w:r w:rsidRPr="00600514">
        <w:rPr>
          <w:rFonts w:ascii="Arial" w:hAnsi="Arial" w:cs="Arial"/>
          <w:color w:val="222222"/>
          <w:sz w:val="22"/>
          <w:szCs w:val="22"/>
        </w:rPr>
        <w:t>Amplifica la función de información tecnológica especializada que el CITE ya presta hoy de forma manual, sin requerir inversión en infraestructura compleja.</w:t>
      </w:r>
    </w:p>
    <w:p w14:paraId="5077E029" w14:textId="77777777" w:rsidR="00B22691" w:rsidRPr="00600514" w:rsidRDefault="00352D7B" w:rsidP="00600514">
      <w:pPr>
        <w:pStyle w:val="Prrafodelista"/>
        <w:numPr>
          <w:ilvl w:val="0"/>
          <w:numId w:val="2"/>
        </w:numPr>
        <w:spacing w:after="100" w:line="276" w:lineRule="auto"/>
        <w:jc w:val="both"/>
        <w:rPr>
          <w:rFonts w:ascii="Arial" w:hAnsi="Arial" w:cs="Arial"/>
        </w:rPr>
      </w:pPr>
      <w:r w:rsidRPr="00600514">
        <w:rPr>
          <w:rFonts w:ascii="Arial" w:hAnsi="Arial" w:cs="Arial"/>
          <w:color w:val="222222"/>
          <w:sz w:val="22"/>
          <w:szCs w:val="22"/>
        </w:rPr>
        <w:t>Reduce el tiempo que sus técnicos dedican a búsquedas repetitivas de composición e ingredientes, permitiéndoles enfocarse en la validación de laboratorio.</w:t>
      </w:r>
    </w:p>
    <w:p w14:paraId="21DF5452" w14:textId="77777777" w:rsidR="00B22691" w:rsidRPr="00600514" w:rsidRDefault="00352D7B" w:rsidP="00600514">
      <w:pPr>
        <w:pStyle w:val="Prrafodelista"/>
        <w:numPr>
          <w:ilvl w:val="0"/>
          <w:numId w:val="2"/>
        </w:numPr>
        <w:spacing w:after="100" w:line="276" w:lineRule="auto"/>
        <w:jc w:val="both"/>
        <w:rPr>
          <w:rFonts w:ascii="Arial" w:hAnsi="Arial" w:cs="Arial"/>
        </w:rPr>
      </w:pPr>
      <w:r w:rsidRPr="00600514">
        <w:rPr>
          <w:rFonts w:ascii="Arial" w:hAnsi="Arial" w:cs="Arial"/>
          <w:color w:val="222222"/>
          <w:sz w:val="22"/>
          <w:szCs w:val="22"/>
        </w:rPr>
        <w:t xml:space="preserve">Es escalable a otros </w:t>
      </w:r>
      <w:proofErr w:type="spellStart"/>
      <w:r w:rsidRPr="00600514">
        <w:rPr>
          <w:rFonts w:ascii="Arial" w:hAnsi="Arial" w:cs="Arial"/>
          <w:color w:val="222222"/>
          <w:sz w:val="22"/>
          <w:szCs w:val="22"/>
        </w:rPr>
        <w:t>CITEs</w:t>
      </w:r>
      <w:proofErr w:type="spellEnd"/>
      <w:r w:rsidRPr="00600514">
        <w:rPr>
          <w:rFonts w:ascii="Arial" w:hAnsi="Arial" w:cs="Arial"/>
          <w:color w:val="222222"/>
          <w:sz w:val="22"/>
          <w:szCs w:val="22"/>
        </w:rPr>
        <w:t xml:space="preserve"> de la red ITP sin rediseñar el producto, solo ajustando los insumos base de cada región.</w:t>
      </w:r>
    </w:p>
    <w:p w14:paraId="0FB295F3" w14:textId="77777777" w:rsidR="00B22691" w:rsidRPr="00600514" w:rsidRDefault="00352D7B" w:rsidP="00600514">
      <w:pPr>
        <w:pStyle w:val="Prrafodelista"/>
        <w:numPr>
          <w:ilvl w:val="0"/>
          <w:numId w:val="2"/>
        </w:numPr>
        <w:spacing w:after="100" w:line="276" w:lineRule="auto"/>
        <w:jc w:val="both"/>
        <w:rPr>
          <w:rFonts w:ascii="Arial" w:hAnsi="Arial" w:cs="Arial"/>
        </w:rPr>
      </w:pPr>
      <w:r w:rsidRPr="00600514">
        <w:rPr>
          <w:rFonts w:ascii="Arial" w:hAnsi="Arial" w:cs="Arial"/>
          <w:color w:val="222222"/>
          <w:sz w:val="22"/>
          <w:szCs w:val="22"/>
        </w:rPr>
        <w:t>Al no depender de licencias de datos de pago, es viable de sostener incluso con presupuesto de financiamiento inicial reducido.</w:t>
      </w:r>
    </w:p>
    <w:p w14:paraId="512F3BAE" w14:textId="77777777" w:rsidR="00B22691" w:rsidRPr="00600514" w:rsidRDefault="00352D7B" w:rsidP="00600514">
      <w:pPr>
        <w:pStyle w:val="Ttulo1"/>
        <w:pBdr>
          <w:bottom w:val="single" w:sz="6" w:space="4" w:color="3F7D4F"/>
        </w:pBdr>
        <w:spacing w:before="360" w:after="160" w:line="276" w:lineRule="auto"/>
        <w:jc w:val="both"/>
        <w:rPr>
          <w:rFonts w:ascii="Arial" w:hAnsi="Arial" w:cs="Arial"/>
        </w:rPr>
      </w:pPr>
      <w:r w:rsidRPr="00600514">
        <w:rPr>
          <w:rFonts w:ascii="Arial" w:hAnsi="Arial" w:cs="Arial"/>
          <w:b/>
          <w:bCs/>
          <w:color w:val="1F3B57"/>
          <w:sz w:val="28"/>
          <w:szCs w:val="28"/>
        </w:rPr>
        <w:t xml:space="preserve">8. </w:t>
      </w:r>
      <w:proofErr w:type="spellStart"/>
      <w:r w:rsidRPr="00600514">
        <w:rPr>
          <w:rFonts w:ascii="Arial" w:hAnsi="Arial" w:cs="Arial"/>
          <w:b/>
          <w:bCs/>
          <w:color w:val="1F3B57"/>
          <w:sz w:val="28"/>
          <w:szCs w:val="28"/>
        </w:rPr>
        <w:t>Roadmap</w:t>
      </w:r>
      <w:proofErr w:type="spellEnd"/>
      <w:r w:rsidRPr="00600514">
        <w:rPr>
          <w:rFonts w:ascii="Arial" w:hAnsi="Arial" w:cs="Arial"/>
          <w:b/>
          <w:bCs/>
          <w:color w:val="1F3B57"/>
          <w:sz w:val="28"/>
          <w:szCs w:val="28"/>
        </w:rPr>
        <w:t xml:space="preserve"> de implementación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200"/>
      </w:tblGrid>
      <w:tr w:rsidR="00B22691" w:rsidRPr="00600514" w14:paraId="2B03B323" w14:textId="77777777">
        <w:tblPrEx>
          <w:tblCellMar>
            <w:top w:w="0" w:type="dxa"/>
            <w:bottom w:w="0" w:type="dxa"/>
          </w:tblCellMar>
        </w:tblPrEx>
        <w:trPr>
          <w:tblHeader/>
        </w:trPr>
        <w:tc>
          <w:tcPr>
            <w:tcW w:w="2200" w:type="dxa"/>
            <w:shd w:val="clear" w:color="auto" w:fill="1F3B57"/>
            <w:tcMar>
              <w:top w:w="100" w:type="dxa"/>
              <w:left w:w="120" w:type="dxa"/>
              <w:bottom w:w="100" w:type="dxa"/>
              <w:right w:w="120" w:type="dxa"/>
            </w:tcMar>
            <w:vAlign w:val="center"/>
          </w:tcPr>
          <w:p w14:paraId="1C116917" w14:textId="77777777" w:rsidR="00B22691" w:rsidRPr="00600514" w:rsidRDefault="00352D7B" w:rsidP="00600514">
            <w:pPr>
              <w:spacing w:line="276" w:lineRule="auto"/>
              <w:jc w:val="both"/>
              <w:rPr>
                <w:rFonts w:ascii="Arial" w:hAnsi="Arial" w:cs="Arial"/>
              </w:rPr>
            </w:pPr>
            <w:r w:rsidRPr="00600514">
              <w:rPr>
                <w:rFonts w:ascii="Arial" w:hAnsi="Arial" w:cs="Arial"/>
                <w:b/>
                <w:bCs/>
                <w:color w:val="FFFFFF"/>
              </w:rPr>
              <w:t>Fase</w:t>
            </w:r>
          </w:p>
        </w:tc>
        <w:tc>
          <w:tcPr>
            <w:tcW w:w="2000" w:type="dxa"/>
            <w:shd w:val="clear" w:color="auto" w:fill="1F3B57"/>
            <w:tcMar>
              <w:top w:w="100" w:type="dxa"/>
              <w:left w:w="120" w:type="dxa"/>
              <w:bottom w:w="100" w:type="dxa"/>
              <w:right w:w="120" w:type="dxa"/>
            </w:tcMar>
            <w:vAlign w:val="center"/>
          </w:tcPr>
          <w:p w14:paraId="62F959E4" w14:textId="77777777" w:rsidR="00B22691" w:rsidRPr="00600514" w:rsidRDefault="00352D7B" w:rsidP="00600514">
            <w:pPr>
              <w:spacing w:line="276" w:lineRule="auto"/>
              <w:jc w:val="both"/>
              <w:rPr>
                <w:rFonts w:ascii="Arial" w:hAnsi="Arial" w:cs="Arial"/>
              </w:rPr>
            </w:pPr>
            <w:r w:rsidRPr="00600514">
              <w:rPr>
                <w:rFonts w:ascii="Arial" w:hAnsi="Arial" w:cs="Arial"/>
                <w:b/>
                <w:bCs/>
                <w:color w:val="FFFFFF"/>
              </w:rPr>
              <w:t>Duración estimada</w:t>
            </w:r>
          </w:p>
        </w:tc>
        <w:tc>
          <w:tcPr>
            <w:tcW w:w="5200" w:type="dxa"/>
            <w:shd w:val="clear" w:color="auto" w:fill="1F3B57"/>
            <w:tcMar>
              <w:top w:w="100" w:type="dxa"/>
              <w:left w:w="120" w:type="dxa"/>
              <w:bottom w:w="100" w:type="dxa"/>
              <w:right w:w="120" w:type="dxa"/>
            </w:tcMar>
            <w:vAlign w:val="center"/>
          </w:tcPr>
          <w:p w14:paraId="12FA650F" w14:textId="77777777" w:rsidR="00B22691" w:rsidRPr="00600514" w:rsidRDefault="00352D7B" w:rsidP="00600514">
            <w:pPr>
              <w:spacing w:line="276" w:lineRule="auto"/>
              <w:jc w:val="both"/>
              <w:rPr>
                <w:rFonts w:ascii="Arial" w:hAnsi="Arial" w:cs="Arial"/>
              </w:rPr>
            </w:pPr>
            <w:r w:rsidRPr="00600514">
              <w:rPr>
                <w:rFonts w:ascii="Arial" w:hAnsi="Arial" w:cs="Arial"/>
                <w:b/>
                <w:bCs/>
                <w:color w:val="FFFFFF"/>
              </w:rPr>
              <w:t>Entregable</w:t>
            </w:r>
          </w:p>
        </w:tc>
      </w:tr>
      <w:tr w:rsidR="00B22691" w:rsidRPr="00600514" w14:paraId="22EC4618"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47FC1284" w14:textId="77777777" w:rsidR="00B22691" w:rsidRPr="00600514" w:rsidRDefault="00352D7B" w:rsidP="00D3619D">
            <w:pPr>
              <w:spacing w:line="276" w:lineRule="auto"/>
              <w:rPr>
                <w:rFonts w:ascii="Arial" w:hAnsi="Arial" w:cs="Arial"/>
              </w:rPr>
            </w:pPr>
            <w:r w:rsidRPr="00600514">
              <w:rPr>
                <w:rFonts w:ascii="Arial" w:hAnsi="Arial" w:cs="Arial"/>
                <w:b/>
                <w:bCs/>
                <w:color w:val="1F3B57"/>
                <w:sz w:val="19"/>
                <w:szCs w:val="19"/>
              </w:rPr>
              <w:t>1. Preparación de datos</w:t>
            </w:r>
          </w:p>
        </w:tc>
        <w:tc>
          <w:tcPr>
            <w:tcW w:w="2000" w:type="dxa"/>
            <w:shd w:val="clear" w:color="auto" w:fill="FFFFFF"/>
            <w:tcMar>
              <w:top w:w="100" w:type="dxa"/>
              <w:left w:w="120" w:type="dxa"/>
              <w:bottom w:w="100" w:type="dxa"/>
              <w:right w:w="120" w:type="dxa"/>
            </w:tcMar>
            <w:vAlign w:val="center"/>
          </w:tcPr>
          <w:p w14:paraId="2C5F32C3"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2-3 semanas</w:t>
            </w:r>
          </w:p>
        </w:tc>
        <w:tc>
          <w:tcPr>
            <w:tcW w:w="5200" w:type="dxa"/>
            <w:shd w:val="clear" w:color="auto" w:fill="FFFFFF"/>
            <w:tcMar>
              <w:top w:w="100" w:type="dxa"/>
              <w:left w:w="120" w:type="dxa"/>
              <w:bottom w:w="100" w:type="dxa"/>
              <w:right w:w="120" w:type="dxa"/>
            </w:tcMar>
            <w:vAlign w:val="center"/>
          </w:tcPr>
          <w:p w14:paraId="5B2B3064"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 xml:space="preserve">Descarga y filtrado de Open </w:t>
            </w:r>
            <w:proofErr w:type="spellStart"/>
            <w:r w:rsidRPr="00600514">
              <w:rPr>
                <w:rFonts w:ascii="Arial" w:hAnsi="Arial" w:cs="Arial"/>
                <w:color w:val="222222"/>
                <w:sz w:val="19"/>
                <w:szCs w:val="19"/>
              </w:rPr>
              <w:t>Food</w:t>
            </w:r>
            <w:proofErr w:type="spellEnd"/>
            <w:r w:rsidRPr="00600514">
              <w:rPr>
                <w:rFonts w:ascii="Arial" w:hAnsi="Arial" w:cs="Arial"/>
                <w:color w:val="222222"/>
                <w:sz w:val="19"/>
                <w:szCs w:val="19"/>
              </w:rPr>
              <w:t xml:space="preserve"> </w:t>
            </w:r>
            <w:proofErr w:type="spellStart"/>
            <w:r w:rsidRPr="00600514">
              <w:rPr>
                <w:rFonts w:ascii="Arial" w:hAnsi="Arial" w:cs="Arial"/>
                <w:color w:val="222222"/>
                <w:sz w:val="19"/>
                <w:szCs w:val="19"/>
              </w:rPr>
              <w:t>Facts</w:t>
            </w:r>
            <w:proofErr w:type="spellEnd"/>
            <w:r w:rsidRPr="00600514">
              <w:rPr>
                <w:rFonts w:ascii="Arial" w:hAnsi="Arial" w:cs="Arial"/>
                <w:color w:val="222222"/>
                <w:sz w:val="19"/>
                <w:szCs w:val="19"/>
              </w:rPr>
              <w:t xml:space="preserve"> y USDA </w:t>
            </w:r>
            <w:proofErr w:type="spellStart"/>
            <w:r w:rsidRPr="00600514">
              <w:rPr>
                <w:rFonts w:ascii="Arial" w:hAnsi="Arial" w:cs="Arial"/>
                <w:color w:val="222222"/>
                <w:sz w:val="19"/>
                <w:szCs w:val="19"/>
              </w:rPr>
              <w:t>FoodData</w:t>
            </w:r>
            <w:proofErr w:type="spellEnd"/>
            <w:r w:rsidRPr="00600514">
              <w:rPr>
                <w:rFonts w:ascii="Arial" w:hAnsi="Arial" w:cs="Arial"/>
                <w:color w:val="222222"/>
                <w:sz w:val="19"/>
                <w:szCs w:val="19"/>
              </w:rPr>
              <w:t xml:space="preserve"> Central para los insumos prioritarios (palto, espárrago, arándano, mango, piquillo, banano, uva); base documental regulatoria inicial (Codex, DIGESA, EFSA).</w:t>
            </w:r>
          </w:p>
        </w:tc>
      </w:tr>
      <w:tr w:rsidR="00B22691" w:rsidRPr="00600514" w14:paraId="0FB40D83" w14:textId="77777777">
        <w:tblPrEx>
          <w:tblCellMar>
            <w:top w:w="0" w:type="dxa"/>
            <w:bottom w:w="0" w:type="dxa"/>
          </w:tblCellMar>
        </w:tblPrEx>
        <w:tc>
          <w:tcPr>
            <w:tcW w:w="2200" w:type="dxa"/>
            <w:shd w:val="clear" w:color="auto" w:fill="EAF3EC"/>
            <w:tcMar>
              <w:top w:w="100" w:type="dxa"/>
              <w:left w:w="120" w:type="dxa"/>
              <w:bottom w:w="100" w:type="dxa"/>
              <w:right w:w="120" w:type="dxa"/>
            </w:tcMar>
            <w:vAlign w:val="center"/>
          </w:tcPr>
          <w:p w14:paraId="5D49D16C" w14:textId="77777777" w:rsidR="00B22691" w:rsidRPr="00600514" w:rsidRDefault="00352D7B" w:rsidP="00D3619D">
            <w:pPr>
              <w:spacing w:line="276" w:lineRule="auto"/>
              <w:rPr>
                <w:rFonts w:ascii="Arial" w:hAnsi="Arial" w:cs="Arial"/>
              </w:rPr>
            </w:pPr>
            <w:r w:rsidRPr="00600514">
              <w:rPr>
                <w:rFonts w:ascii="Arial" w:hAnsi="Arial" w:cs="Arial"/>
                <w:b/>
                <w:bCs/>
                <w:color w:val="1F3B57"/>
                <w:sz w:val="19"/>
                <w:szCs w:val="19"/>
              </w:rPr>
              <w:t>2. MVP del buscador</w:t>
            </w:r>
          </w:p>
        </w:tc>
        <w:tc>
          <w:tcPr>
            <w:tcW w:w="2000" w:type="dxa"/>
            <w:shd w:val="clear" w:color="auto" w:fill="EAF3EC"/>
            <w:tcMar>
              <w:top w:w="100" w:type="dxa"/>
              <w:left w:w="120" w:type="dxa"/>
              <w:bottom w:w="100" w:type="dxa"/>
              <w:right w:w="120" w:type="dxa"/>
            </w:tcMar>
            <w:vAlign w:val="center"/>
          </w:tcPr>
          <w:p w14:paraId="73F3F9BE"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4-6 semanas</w:t>
            </w:r>
          </w:p>
        </w:tc>
        <w:tc>
          <w:tcPr>
            <w:tcW w:w="5200" w:type="dxa"/>
            <w:shd w:val="clear" w:color="auto" w:fill="EAF3EC"/>
            <w:tcMar>
              <w:top w:w="100" w:type="dxa"/>
              <w:left w:w="120" w:type="dxa"/>
              <w:bottom w:w="100" w:type="dxa"/>
              <w:right w:w="120" w:type="dxa"/>
            </w:tcMar>
            <w:vAlign w:val="center"/>
          </w:tcPr>
          <w:p w14:paraId="71C0E23C"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 xml:space="preserve">Etapas 1 a 3 funcionando: interpretación de insumo, búsqueda semántica e </w:t>
            </w:r>
            <w:proofErr w:type="spellStart"/>
            <w:r w:rsidRPr="00600514">
              <w:rPr>
                <w:rFonts w:ascii="Arial" w:hAnsi="Arial" w:cs="Arial"/>
                <w:color w:val="222222"/>
                <w:sz w:val="19"/>
                <w:szCs w:val="19"/>
              </w:rPr>
              <w:t>insight</w:t>
            </w:r>
            <w:proofErr w:type="spellEnd"/>
            <w:r w:rsidRPr="00600514">
              <w:rPr>
                <w:rFonts w:ascii="Arial" w:hAnsi="Arial" w:cs="Arial"/>
                <w:color w:val="222222"/>
                <w:sz w:val="19"/>
                <w:szCs w:val="19"/>
              </w:rPr>
              <w:t xml:space="preserve"> comparativo, con 2-3 cooperativas piloto.</w:t>
            </w:r>
          </w:p>
        </w:tc>
      </w:tr>
      <w:tr w:rsidR="00B22691" w:rsidRPr="00600514" w14:paraId="4B5A6F3E"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09771BDB" w14:textId="77777777" w:rsidR="00B22691" w:rsidRPr="00600514" w:rsidRDefault="00352D7B" w:rsidP="00D3619D">
            <w:pPr>
              <w:spacing w:line="276" w:lineRule="auto"/>
              <w:rPr>
                <w:rFonts w:ascii="Arial" w:hAnsi="Arial" w:cs="Arial"/>
              </w:rPr>
            </w:pPr>
            <w:r w:rsidRPr="00600514">
              <w:rPr>
                <w:rFonts w:ascii="Arial" w:hAnsi="Arial" w:cs="Arial"/>
                <w:b/>
                <w:bCs/>
                <w:color w:val="1F3B57"/>
                <w:sz w:val="19"/>
                <w:szCs w:val="19"/>
              </w:rPr>
              <w:t>3. Hipótesis de formulación y verificación regulatoria</w:t>
            </w:r>
          </w:p>
        </w:tc>
        <w:tc>
          <w:tcPr>
            <w:tcW w:w="2000" w:type="dxa"/>
            <w:shd w:val="clear" w:color="auto" w:fill="FFFFFF"/>
            <w:tcMar>
              <w:top w:w="100" w:type="dxa"/>
              <w:left w:w="120" w:type="dxa"/>
              <w:bottom w:w="100" w:type="dxa"/>
              <w:right w:w="120" w:type="dxa"/>
            </w:tcMar>
            <w:vAlign w:val="center"/>
          </w:tcPr>
          <w:p w14:paraId="39745C0D"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3-4 semanas</w:t>
            </w:r>
          </w:p>
        </w:tc>
        <w:tc>
          <w:tcPr>
            <w:tcW w:w="5200" w:type="dxa"/>
            <w:shd w:val="clear" w:color="auto" w:fill="FFFFFF"/>
            <w:tcMar>
              <w:top w:w="100" w:type="dxa"/>
              <w:left w:w="120" w:type="dxa"/>
              <w:bottom w:w="100" w:type="dxa"/>
              <w:right w:w="120" w:type="dxa"/>
            </w:tcMar>
            <w:vAlign w:val="center"/>
          </w:tcPr>
          <w:p w14:paraId="3FFC411B"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Etapas 4 y 5: análisis de patrones de ingredientes y consulta regulatoria orientativa.</w:t>
            </w:r>
          </w:p>
        </w:tc>
      </w:tr>
      <w:tr w:rsidR="00B22691" w:rsidRPr="00600514" w14:paraId="12CFDDBB" w14:textId="77777777">
        <w:tblPrEx>
          <w:tblCellMar>
            <w:top w:w="0" w:type="dxa"/>
            <w:bottom w:w="0" w:type="dxa"/>
          </w:tblCellMar>
        </w:tblPrEx>
        <w:tc>
          <w:tcPr>
            <w:tcW w:w="2200" w:type="dxa"/>
            <w:shd w:val="clear" w:color="auto" w:fill="EAF3EC"/>
            <w:tcMar>
              <w:top w:w="100" w:type="dxa"/>
              <w:left w:w="120" w:type="dxa"/>
              <w:bottom w:w="100" w:type="dxa"/>
              <w:right w:w="120" w:type="dxa"/>
            </w:tcMar>
            <w:vAlign w:val="center"/>
          </w:tcPr>
          <w:p w14:paraId="676A6D78" w14:textId="77777777" w:rsidR="00B22691" w:rsidRPr="00600514" w:rsidRDefault="00352D7B" w:rsidP="00D3619D">
            <w:pPr>
              <w:spacing w:line="276" w:lineRule="auto"/>
              <w:rPr>
                <w:rFonts w:ascii="Arial" w:hAnsi="Arial" w:cs="Arial"/>
              </w:rPr>
            </w:pPr>
            <w:r w:rsidRPr="00600514">
              <w:rPr>
                <w:rFonts w:ascii="Arial" w:hAnsi="Arial" w:cs="Arial"/>
                <w:b/>
                <w:bCs/>
                <w:color w:val="1F3B57"/>
                <w:sz w:val="19"/>
                <w:szCs w:val="19"/>
              </w:rPr>
              <w:t>4. Integración institucional</w:t>
            </w:r>
          </w:p>
        </w:tc>
        <w:tc>
          <w:tcPr>
            <w:tcW w:w="2000" w:type="dxa"/>
            <w:shd w:val="clear" w:color="auto" w:fill="EAF3EC"/>
            <w:tcMar>
              <w:top w:w="100" w:type="dxa"/>
              <w:left w:w="120" w:type="dxa"/>
              <w:bottom w:w="100" w:type="dxa"/>
              <w:right w:w="120" w:type="dxa"/>
            </w:tcMar>
            <w:vAlign w:val="center"/>
          </w:tcPr>
          <w:p w14:paraId="78F68D86"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3-4 semanas</w:t>
            </w:r>
          </w:p>
        </w:tc>
        <w:tc>
          <w:tcPr>
            <w:tcW w:w="5200" w:type="dxa"/>
            <w:shd w:val="clear" w:color="auto" w:fill="EAF3EC"/>
            <w:tcMar>
              <w:top w:w="100" w:type="dxa"/>
              <w:left w:w="120" w:type="dxa"/>
              <w:bottom w:w="100" w:type="dxa"/>
              <w:right w:w="120" w:type="dxa"/>
            </w:tcMar>
            <w:vAlign w:val="center"/>
          </w:tcPr>
          <w:p w14:paraId="25A05454"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Conexión de flujo con el laboratorio del CITE (etapa 6), plan de suscripción activo.</w:t>
            </w:r>
          </w:p>
        </w:tc>
      </w:tr>
      <w:tr w:rsidR="00B22691" w:rsidRPr="00600514" w14:paraId="168D588F" w14:textId="77777777">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14:paraId="4B79FFC9" w14:textId="77777777" w:rsidR="00B22691" w:rsidRPr="00600514" w:rsidRDefault="00352D7B" w:rsidP="00D3619D">
            <w:pPr>
              <w:spacing w:line="276" w:lineRule="auto"/>
              <w:rPr>
                <w:rFonts w:ascii="Arial" w:hAnsi="Arial" w:cs="Arial"/>
              </w:rPr>
            </w:pPr>
            <w:r w:rsidRPr="00600514">
              <w:rPr>
                <w:rFonts w:ascii="Arial" w:hAnsi="Arial" w:cs="Arial"/>
                <w:b/>
                <w:bCs/>
                <w:color w:val="1F3B57"/>
                <w:sz w:val="19"/>
                <w:szCs w:val="19"/>
              </w:rPr>
              <w:t>5. Escalamiento</w:t>
            </w:r>
          </w:p>
        </w:tc>
        <w:tc>
          <w:tcPr>
            <w:tcW w:w="2000" w:type="dxa"/>
            <w:shd w:val="clear" w:color="auto" w:fill="FFFFFF"/>
            <w:tcMar>
              <w:top w:w="100" w:type="dxa"/>
              <w:left w:w="120" w:type="dxa"/>
              <w:bottom w:w="100" w:type="dxa"/>
              <w:right w:w="120" w:type="dxa"/>
            </w:tcMar>
            <w:vAlign w:val="center"/>
          </w:tcPr>
          <w:p w14:paraId="2256AC58"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Continuo</w:t>
            </w:r>
          </w:p>
        </w:tc>
        <w:tc>
          <w:tcPr>
            <w:tcW w:w="5200" w:type="dxa"/>
            <w:shd w:val="clear" w:color="auto" w:fill="FFFFFF"/>
            <w:tcMar>
              <w:top w:w="100" w:type="dxa"/>
              <w:left w:w="120" w:type="dxa"/>
              <w:bottom w:w="100" w:type="dxa"/>
              <w:right w:w="120" w:type="dxa"/>
            </w:tcMar>
            <w:vAlign w:val="center"/>
          </w:tcPr>
          <w:p w14:paraId="721E7C24"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Más insumos, más idiomas de búsqueda, evaluación de fuentes de precio de pago cuando haya tracción.</w:t>
            </w:r>
          </w:p>
        </w:tc>
      </w:tr>
    </w:tbl>
    <w:p w14:paraId="478B1395" w14:textId="77777777" w:rsidR="00B22691" w:rsidRPr="00600514" w:rsidRDefault="00352D7B" w:rsidP="00600514">
      <w:pPr>
        <w:pStyle w:val="Ttulo1"/>
        <w:pBdr>
          <w:bottom w:val="single" w:sz="6" w:space="4" w:color="3F7D4F"/>
        </w:pBdr>
        <w:spacing w:before="360" w:after="160" w:line="276" w:lineRule="auto"/>
        <w:jc w:val="both"/>
        <w:rPr>
          <w:rFonts w:ascii="Arial" w:hAnsi="Arial" w:cs="Arial"/>
        </w:rPr>
      </w:pPr>
      <w:r w:rsidRPr="00600514">
        <w:rPr>
          <w:rFonts w:ascii="Arial" w:hAnsi="Arial" w:cs="Arial"/>
          <w:b/>
          <w:bCs/>
          <w:color w:val="1F3B57"/>
          <w:sz w:val="28"/>
          <w:szCs w:val="28"/>
        </w:rPr>
        <w:t>9. Comparación de costos frente a la versión completa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00"/>
        <w:gridCol w:w="3300"/>
      </w:tblGrid>
      <w:tr w:rsidR="00B22691" w:rsidRPr="00600514" w14:paraId="173D4CE8" w14:textId="77777777">
        <w:tblPrEx>
          <w:tblCellMar>
            <w:top w:w="0" w:type="dxa"/>
            <w:bottom w:w="0" w:type="dxa"/>
          </w:tblCellMar>
        </w:tblPrEx>
        <w:trPr>
          <w:tblHeader/>
        </w:trPr>
        <w:tc>
          <w:tcPr>
            <w:tcW w:w="2400" w:type="dxa"/>
            <w:shd w:val="clear" w:color="auto" w:fill="1F3B57"/>
            <w:tcMar>
              <w:top w:w="100" w:type="dxa"/>
              <w:left w:w="120" w:type="dxa"/>
              <w:bottom w:w="100" w:type="dxa"/>
              <w:right w:w="120" w:type="dxa"/>
            </w:tcMar>
            <w:vAlign w:val="center"/>
          </w:tcPr>
          <w:p w14:paraId="3D7B065B" w14:textId="77777777" w:rsidR="00B22691" w:rsidRPr="00600514" w:rsidRDefault="00352D7B" w:rsidP="00600514">
            <w:pPr>
              <w:spacing w:line="276" w:lineRule="auto"/>
              <w:jc w:val="both"/>
              <w:rPr>
                <w:rFonts w:ascii="Arial" w:hAnsi="Arial" w:cs="Arial"/>
              </w:rPr>
            </w:pPr>
            <w:r w:rsidRPr="00600514">
              <w:rPr>
                <w:rFonts w:ascii="Arial" w:hAnsi="Arial" w:cs="Arial"/>
                <w:b/>
                <w:bCs/>
                <w:color w:val="FFFFFF"/>
              </w:rPr>
              <w:t>Componente</w:t>
            </w:r>
          </w:p>
        </w:tc>
        <w:tc>
          <w:tcPr>
            <w:tcW w:w="3700" w:type="dxa"/>
            <w:shd w:val="clear" w:color="auto" w:fill="1F3B57"/>
            <w:tcMar>
              <w:top w:w="100" w:type="dxa"/>
              <w:left w:w="120" w:type="dxa"/>
              <w:bottom w:w="100" w:type="dxa"/>
              <w:right w:w="120" w:type="dxa"/>
            </w:tcMar>
            <w:vAlign w:val="center"/>
          </w:tcPr>
          <w:p w14:paraId="33AFB8FC" w14:textId="77777777" w:rsidR="00B22691" w:rsidRPr="00600514" w:rsidRDefault="00352D7B" w:rsidP="00600514">
            <w:pPr>
              <w:spacing w:line="276" w:lineRule="auto"/>
              <w:jc w:val="both"/>
              <w:rPr>
                <w:rFonts w:ascii="Arial" w:hAnsi="Arial" w:cs="Arial"/>
              </w:rPr>
            </w:pPr>
            <w:r w:rsidRPr="00600514">
              <w:rPr>
                <w:rFonts w:ascii="Arial" w:hAnsi="Arial" w:cs="Arial"/>
                <w:b/>
                <w:bCs/>
                <w:color w:val="FFFFFF"/>
              </w:rPr>
              <w:t>Versión completa (con e-</w:t>
            </w:r>
            <w:proofErr w:type="spellStart"/>
            <w:r w:rsidRPr="00600514">
              <w:rPr>
                <w:rFonts w:ascii="Arial" w:hAnsi="Arial" w:cs="Arial"/>
                <w:b/>
                <w:bCs/>
                <w:color w:val="FFFFFF"/>
              </w:rPr>
              <w:t>commerce</w:t>
            </w:r>
            <w:proofErr w:type="spellEnd"/>
            <w:r w:rsidRPr="00600514">
              <w:rPr>
                <w:rFonts w:ascii="Arial" w:hAnsi="Arial" w:cs="Arial"/>
                <w:b/>
                <w:bCs/>
                <w:color w:val="FFFFFF"/>
              </w:rPr>
              <w:t>)</w:t>
            </w:r>
          </w:p>
        </w:tc>
        <w:tc>
          <w:tcPr>
            <w:tcW w:w="3300" w:type="dxa"/>
            <w:shd w:val="clear" w:color="auto" w:fill="1F3B57"/>
            <w:tcMar>
              <w:top w:w="100" w:type="dxa"/>
              <w:left w:w="120" w:type="dxa"/>
              <w:bottom w:w="100" w:type="dxa"/>
              <w:right w:w="120" w:type="dxa"/>
            </w:tcMar>
            <w:vAlign w:val="center"/>
          </w:tcPr>
          <w:p w14:paraId="775872E9" w14:textId="77777777" w:rsidR="00B22691" w:rsidRPr="00600514" w:rsidRDefault="00352D7B" w:rsidP="00600514">
            <w:pPr>
              <w:spacing w:line="276" w:lineRule="auto"/>
              <w:jc w:val="both"/>
              <w:rPr>
                <w:rFonts w:ascii="Arial" w:hAnsi="Arial" w:cs="Arial"/>
              </w:rPr>
            </w:pPr>
            <w:r w:rsidRPr="00600514">
              <w:rPr>
                <w:rFonts w:ascii="Arial" w:hAnsi="Arial" w:cs="Arial"/>
                <w:b/>
                <w:bCs/>
                <w:color w:val="FFFFFF"/>
              </w:rPr>
              <w:t>Versión Lite</w:t>
            </w:r>
          </w:p>
        </w:tc>
      </w:tr>
      <w:tr w:rsidR="00B22691" w:rsidRPr="00600514" w14:paraId="6ADD05F2"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25BC284A" w14:textId="77777777" w:rsidR="00B22691" w:rsidRPr="00600514" w:rsidRDefault="00352D7B" w:rsidP="00D3619D">
            <w:pPr>
              <w:spacing w:line="276" w:lineRule="auto"/>
              <w:rPr>
                <w:rFonts w:ascii="Arial" w:hAnsi="Arial" w:cs="Arial"/>
              </w:rPr>
            </w:pPr>
            <w:r w:rsidRPr="00600514">
              <w:rPr>
                <w:rFonts w:ascii="Arial" w:hAnsi="Arial" w:cs="Arial"/>
                <w:color w:val="222222"/>
                <w:sz w:val="19"/>
                <w:szCs w:val="19"/>
              </w:rPr>
              <w:t>Fuente de precio/presentación comercial</w:t>
            </w:r>
          </w:p>
        </w:tc>
        <w:tc>
          <w:tcPr>
            <w:tcW w:w="3700" w:type="dxa"/>
            <w:shd w:val="clear" w:color="auto" w:fill="FFFFFF"/>
            <w:tcMar>
              <w:top w:w="100" w:type="dxa"/>
              <w:left w:w="120" w:type="dxa"/>
              <w:bottom w:w="100" w:type="dxa"/>
              <w:right w:w="120" w:type="dxa"/>
            </w:tcMar>
            <w:vAlign w:val="center"/>
          </w:tcPr>
          <w:p w14:paraId="3E6267B7"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 xml:space="preserve">Requiere agentes de búsqueda web pagados o datos de </w:t>
            </w:r>
            <w:proofErr w:type="spellStart"/>
            <w:r w:rsidRPr="00600514">
              <w:rPr>
                <w:rFonts w:ascii="Arial" w:hAnsi="Arial" w:cs="Arial"/>
                <w:color w:val="222222"/>
                <w:sz w:val="19"/>
                <w:szCs w:val="19"/>
              </w:rPr>
              <w:t>retail</w:t>
            </w:r>
            <w:proofErr w:type="spellEnd"/>
            <w:r w:rsidRPr="00600514">
              <w:rPr>
                <w:rFonts w:ascii="Arial" w:hAnsi="Arial" w:cs="Arial"/>
                <w:color w:val="222222"/>
                <w:sz w:val="19"/>
                <w:szCs w:val="19"/>
              </w:rPr>
              <w:t xml:space="preserve"> licenciados</w:t>
            </w:r>
          </w:p>
        </w:tc>
        <w:tc>
          <w:tcPr>
            <w:tcW w:w="3300" w:type="dxa"/>
            <w:shd w:val="clear" w:color="auto" w:fill="FFFFFF"/>
            <w:tcMar>
              <w:top w:w="100" w:type="dxa"/>
              <w:left w:w="120" w:type="dxa"/>
              <w:bottom w:w="100" w:type="dxa"/>
              <w:right w:w="120" w:type="dxa"/>
            </w:tcMar>
            <w:vAlign w:val="center"/>
          </w:tcPr>
          <w:p w14:paraId="6031A03C"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No incluida en esta fase (se evalúa más adelante con tracción)</w:t>
            </w:r>
          </w:p>
        </w:tc>
      </w:tr>
      <w:tr w:rsidR="00B22691" w:rsidRPr="00600514" w14:paraId="34842924" w14:textId="77777777">
        <w:tblPrEx>
          <w:tblCellMar>
            <w:top w:w="0" w:type="dxa"/>
            <w:bottom w:w="0" w:type="dxa"/>
          </w:tblCellMar>
        </w:tblPrEx>
        <w:tc>
          <w:tcPr>
            <w:tcW w:w="2400" w:type="dxa"/>
            <w:shd w:val="clear" w:color="auto" w:fill="EAF3EC"/>
            <w:tcMar>
              <w:top w:w="100" w:type="dxa"/>
              <w:left w:w="120" w:type="dxa"/>
              <w:bottom w:w="100" w:type="dxa"/>
              <w:right w:w="120" w:type="dxa"/>
            </w:tcMar>
            <w:vAlign w:val="center"/>
          </w:tcPr>
          <w:p w14:paraId="3C3A0130" w14:textId="77777777" w:rsidR="00B22691" w:rsidRPr="00600514" w:rsidRDefault="00352D7B" w:rsidP="00D3619D">
            <w:pPr>
              <w:spacing w:line="276" w:lineRule="auto"/>
              <w:rPr>
                <w:rFonts w:ascii="Arial" w:hAnsi="Arial" w:cs="Arial"/>
              </w:rPr>
            </w:pPr>
            <w:r w:rsidRPr="00600514">
              <w:rPr>
                <w:rFonts w:ascii="Arial" w:hAnsi="Arial" w:cs="Arial"/>
                <w:color w:val="222222"/>
                <w:sz w:val="19"/>
                <w:szCs w:val="19"/>
              </w:rPr>
              <w:t xml:space="preserve">Riesgo técnico/legal de </w:t>
            </w:r>
            <w:proofErr w:type="spellStart"/>
            <w:r w:rsidRPr="00600514">
              <w:rPr>
                <w:rFonts w:ascii="Arial" w:hAnsi="Arial" w:cs="Arial"/>
                <w:color w:val="222222"/>
                <w:sz w:val="19"/>
                <w:szCs w:val="19"/>
              </w:rPr>
              <w:t>scraping</w:t>
            </w:r>
            <w:proofErr w:type="spellEnd"/>
          </w:p>
        </w:tc>
        <w:tc>
          <w:tcPr>
            <w:tcW w:w="3700" w:type="dxa"/>
            <w:shd w:val="clear" w:color="auto" w:fill="EAF3EC"/>
            <w:tcMar>
              <w:top w:w="100" w:type="dxa"/>
              <w:left w:w="120" w:type="dxa"/>
              <w:bottom w:w="100" w:type="dxa"/>
              <w:right w:w="120" w:type="dxa"/>
            </w:tcMar>
            <w:vAlign w:val="center"/>
          </w:tcPr>
          <w:p w14:paraId="184C540C"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 xml:space="preserve">Alto: bloqueos </w:t>
            </w:r>
            <w:proofErr w:type="spellStart"/>
            <w:r w:rsidRPr="00600514">
              <w:rPr>
                <w:rFonts w:ascii="Arial" w:hAnsi="Arial" w:cs="Arial"/>
                <w:color w:val="222222"/>
                <w:sz w:val="19"/>
                <w:szCs w:val="19"/>
              </w:rPr>
              <w:t>anti-bot</w:t>
            </w:r>
            <w:proofErr w:type="spellEnd"/>
            <w:r w:rsidRPr="00600514">
              <w:rPr>
                <w:rFonts w:ascii="Arial" w:hAnsi="Arial" w:cs="Arial"/>
                <w:color w:val="222222"/>
                <w:sz w:val="19"/>
                <w:szCs w:val="19"/>
              </w:rPr>
              <w:t>, mantenimiento constante, posible conflicto con términos de uso</w:t>
            </w:r>
          </w:p>
        </w:tc>
        <w:tc>
          <w:tcPr>
            <w:tcW w:w="3300" w:type="dxa"/>
            <w:shd w:val="clear" w:color="auto" w:fill="EAF3EC"/>
            <w:tcMar>
              <w:top w:w="100" w:type="dxa"/>
              <w:left w:w="120" w:type="dxa"/>
              <w:bottom w:w="100" w:type="dxa"/>
              <w:right w:w="120" w:type="dxa"/>
            </w:tcMar>
            <w:vAlign w:val="center"/>
          </w:tcPr>
          <w:p w14:paraId="43412062"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Nulo: solo fuentes públicas pensadas para ser consultadas por terceros</w:t>
            </w:r>
          </w:p>
        </w:tc>
      </w:tr>
      <w:tr w:rsidR="00B22691" w:rsidRPr="00600514" w14:paraId="11033D7B"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4D2B263D" w14:textId="77777777" w:rsidR="00B22691" w:rsidRPr="00600514" w:rsidRDefault="00352D7B" w:rsidP="00D3619D">
            <w:pPr>
              <w:spacing w:line="276" w:lineRule="auto"/>
              <w:rPr>
                <w:rFonts w:ascii="Arial" w:hAnsi="Arial" w:cs="Arial"/>
              </w:rPr>
            </w:pPr>
            <w:r w:rsidRPr="00600514">
              <w:rPr>
                <w:rFonts w:ascii="Arial" w:hAnsi="Arial" w:cs="Arial"/>
                <w:color w:val="222222"/>
                <w:sz w:val="19"/>
                <w:szCs w:val="19"/>
              </w:rPr>
              <w:lastRenderedPageBreak/>
              <w:t>Detección de tendencias</w:t>
            </w:r>
          </w:p>
        </w:tc>
        <w:tc>
          <w:tcPr>
            <w:tcW w:w="3700" w:type="dxa"/>
            <w:shd w:val="clear" w:color="auto" w:fill="FFFFFF"/>
            <w:tcMar>
              <w:top w:w="100" w:type="dxa"/>
              <w:left w:w="120" w:type="dxa"/>
              <w:bottom w:w="100" w:type="dxa"/>
              <w:right w:w="120" w:type="dxa"/>
            </w:tcMar>
            <w:vAlign w:val="center"/>
          </w:tcPr>
          <w:p w14:paraId="0B66DC0A"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Requiere monitoreo continuo de señales externas (infraestructura corriendo 24/7)</w:t>
            </w:r>
          </w:p>
        </w:tc>
        <w:tc>
          <w:tcPr>
            <w:tcW w:w="3300" w:type="dxa"/>
            <w:shd w:val="clear" w:color="auto" w:fill="FFFFFF"/>
            <w:tcMar>
              <w:top w:w="100" w:type="dxa"/>
              <w:left w:w="120" w:type="dxa"/>
              <w:bottom w:w="100" w:type="dxa"/>
              <w:right w:w="120" w:type="dxa"/>
            </w:tcMar>
            <w:vAlign w:val="center"/>
          </w:tcPr>
          <w:p w14:paraId="04141200"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 xml:space="preserve">Pospuesta; sustituible por señal simple de productos nuevos agregados en Open </w:t>
            </w:r>
            <w:proofErr w:type="spellStart"/>
            <w:r w:rsidRPr="00600514">
              <w:rPr>
                <w:rFonts w:ascii="Arial" w:hAnsi="Arial" w:cs="Arial"/>
                <w:color w:val="222222"/>
                <w:sz w:val="19"/>
                <w:szCs w:val="19"/>
              </w:rPr>
              <w:t>Food</w:t>
            </w:r>
            <w:proofErr w:type="spellEnd"/>
            <w:r w:rsidRPr="00600514">
              <w:rPr>
                <w:rFonts w:ascii="Arial" w:hAnsi="Arial" w:cs="Arial"/>
                <w:color w:val="222222"/>
                <w:sz w:val="19"/>
                <w:szCs w:val="19"/>
              </w:rPr>
              <w:t xml:space="preserve"> </w:t>
            </w:r>
            <w:proofErr w:type="spellStart"/>
            <w:r w:rsidRPr="00600514">
              <w:rPr>
                <w:rFonts w:ascii="Arial" w:hAnsi="Arial" w:cs="Arial"/>
                <w:color w:val="222222"/>
                <w:sz w:val="19"/>
                <w:szCs w:val="19"/>
              </w:rPr>
              <w:t>Facts</w:t>
            </w:r>
            <w:proofErr w:type="spellEnd"/>
          </w:p>
        </w:tc>
      </w:tr>
      <w:tr w:rsidR="00B22691" w:rsidRPr="00600514" w14:paraId="2DF5954D" w14:textId="77777777">
        <w:tblPrEx>
          <w:tblCellMar>
            <w:top w:w="0" w:type="dxa"/>
            <w:bottom w:w="0" w:type="dxa"/>
          </w:tblCellMar>
        </w:tblPrEx>
        <w:tc>
          <w:tcPr>
            <w:tcW w:w="2400" w:type="dxa"/>
            <w:shd w:val="clear" w:color="auto" w:fill="EAF3EC"/>
            <w:tcMar>
              <w:top w:w="100" w:type="dxa"/>
              <w:left w:w="120" w:type="dxa"/>
              <w:bottom w:w="100" w:type="dxa"/>
              <w:right w:w="120" w:type="dxa"/>
            </w:tcMar>
            <w:vAlign w:val="center"/>
          </w:tcPr>
          <w:p w14:paraId="445A42FE" w14:textId="77777777" w:rsidR="00B22691" w:rsidRPr="00600514" w:rsidRDefault="00352D7B" w:rsidP="00D3619D">
            <w:pPr>
              <w:spacing w:line="276" w:lineRule="auto"/>
              <w:rPr>
                <w:rFonts w:ascii="Arial" w:hAnsi="Arial" w:cs="Arial"/>
              </w:rPr>
            </w:pPr>
            <w:r w:rsidRPr="00600514">
              <w:rPr>
                <w:rFonts w:ascii="Arial" w:hAnsi="Arial" w:cs="Arial"/>
                <w:color w:val="222222"/>
                <w:sz w:val="19"/>
                <w:szCs w:val="19"/>
              </w:rPr>
              <w:t>Infraestructura de datos</w:t>
            </w:r>
          </w:p>
        </w:tc>
        <w:tc>
          <w:tcPr>
            <w:tcW w:w="3700" w:type="dxa"/>
            <w:shd w:val="clear" w:color="auto" w:fill="EAF3EC"/>
            <w:tcMar>
              <w:top w:w="100" w:type="dxa"/>
              <w:left w:w="120" w:type="dxa"/>
              <w:bottom w:w="100" w:type="dxa"/>
              <w:right w:w="120" w:type="dxa"/>
            </w:tcMar>
            <w:vAlign w:val="center"/>
          </w:tcPr>
          <w:p w14:paraId="55C8E3A9"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 xml:space="preserve">Vector store de gran escala, pipelines de </w:t>
            </w:r>
            <w:proofErr w:type="spellStart"/>
            <w:r w:rsidRPr="00600514">
              <w:rPr>
                <w:rFonts w:ascii="Arial" w:hAnsi="Arial" w:cs="Arial"/>
                <w:color w:val="222222"/>
                <w:sz w:val="19"/>
                <w:szCs w:val="19"/>
              </w:rPr>
              <w:t>scraping</w:t>
            </w:r>
            <w:proofErr w:type="spellEnd"/>
          </w:p>
        </w:tc>
        <w:tc>
          <w:tcPr>
            <w:tcW w:w="3300" w:type="dxa"/>
            <w:shd w:val="clear" w:color="auto" w:fill="EAF3EC"/>
            <w:tcMar>
              <w:top w:w="100" w:type="dxa"/>
              <w:left w:w="120" w:type="dxa"/>
              <w:bottom w:w="100" w:type="dxa"/>
              <w:right w:w="120" w:type="dxa"/>
            </w:tcMar>
            <w:vAlign w:val="center"/>
          </w:tcPr>
          <w:p w14:paraId="16D2BEFC"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 xml:space="preserve">Base local ligera (ej. </w:t>
            </w:r>
            <w:proofErr w:type="spellStart"/>
            <w:r w:rsidRPr="00600514">
              <w:rPr>
                <w:rFonts w:ascii="Arial" w:hAnsi="Arial" w:cs="Arial"/>
                <w:color w:val="222222"/>
                <w:sz w:val="19"/>
                <w:szCs w:val="19"/>
              </w:rPr>
              <w:t>DuckDB</w:t>
            </w:r>
            <w:proofErr w:type="spellEnd"/>
            <w:r w:rsidRPr="00600514">
              <w:rPr>
                <w:rFonts w:ascii="Arial" w:hAnsi="Arial" w:cs="Arial"/>
                <w:color w:val="222222"/>
                <w:sz w:val="19"/>
                <w:szCs w:val="19"/>
              </w:rPr>
              <w:t>/SQLite) sobre exportaciones ya descargadas</w:t>
            </w:r>
          </w:p>
        </w:tc>
      </w:tr>
      <w:tr w:rsidR="00B22691" w:rsidRPr="00600514" w14:paraId="025D5E28"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416D76F3" w14:textId="77777777" w:rsidR="00B22691" w:rsidRPr="00600514" w:rsidRDefault="00352D7B" w:rsidP="00D3619D">
            <w:pPr>
              <w:spacing w:line="276" w:lineRule="auto"/>
              <w:rPr>
                <w:rFonts w:ascii="Arial" w:hAnsi="Arial" w:cs="Arial"/>
              </w:rPr>
            </w:pPr>
            <w:r w:rsidRPr="00600514">
              <w:rPr>
                <w:rFonts w:ascii="Arial" w:hAnsi="Arial" w:cs="Arial"/>
                <w:color w:val="222222"/>
                <w:sz w:val="19"/>
                <w:szCs w:val="19"/>
              </w:rPr>
              <w:t>Costo variable principal</w:t>
            </w:r>
          </w:p>
        </w:tc>
        <w:tc>
          <w:tcPr>
            <w:tcW w:w="3700" w:type="dxa"/>
            <w:shd w:val="clear" w:color="auto" w:fill="FFFFFF"/>
            <w:tcMar>
              <w:top w:w="100" w:type="dxa"/>
              <w:left w:w="120" w:type="dxa"/>
              <w:bottom w:w="100" w:type="dxa"/>
              <w:right w:w="120" w:type="dxa"/>
            </w:tcMar>
            <w:vAlign w:val="center"/>
          </w:tcPr>
          <w:p w14:paraId="1F792929"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Llamadas a LLM + consultas de búsqueda pagadas + licencias de datos</w:t>
            </w:r>
          </w:p>
        </w:tc>
        <w:tc>
          <w:tcPr>
            <w:tcW w:w="3300" w:type="dxa"/>
            <w:shd w:val="clear" w:color="auto" w:fill="FFFFFF"/>
            <w:tcMar>
              <w:top w:w="100" w:type="dxa"/>
              <w:left w:w="120" w:type="dxa"/>
              <w:bottom w:w="100" w:type="dxa"/>
              <w:right w:w="120" w:type="dxa"/>
            </w:tcMar>
            <w:vAlign w:val="center"/>
          </w:tcPr>
          <w:p w14:paraId="062CDE6B"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Solo llamadas a LLM por consulta de usuario</w:t>
            </w:r>
          </w:p>
        </w:tc>
      </w:tr>
    </w:tbl>
    <w:p w14:paraId="52F1C93F" w14:textId="77777777" w:rsidR="00B22691" w:rsidRPr="00600514" w:rsidRDefault="00352D7B" w:rsidP="00600514">
      <w:pPr>
        <w:pStyle w:val="Ttulo1"/>
        <w:pBdr>
          <w:bottom w:val="single" w:sz="6" w:space="4" w:color="3F7D4F"/>
        </w:pBdr>
        <w:spacing w:before="360" w:after="160" w:line="276" w:lineRule="auto"/>
        <w:jc w:val="both"/>
        <w:rPr>
          <w:rFonts w:ascii="Arial" w:hAnsi="Arial" w:cs="Arial"/>
        </w:rPr>
      </w:pPr>
      <w:r w:rsidRPr="00600514">
        <w:rPr>
          <w:rFonts w:ascii="Arial" w:hAnsi="Arial" w:cs="Arial"/>
          <w:b/>
          <w:bCs/>
          <w:color w:val="1F3B57"/>
          <w:sz w:val="28"/>
          <w:szCs w:val="28"/>
        </w:rPr>
        <w:t>10. Riesgos y mitigación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200"/>
      </w:tblGrid>
      <w:tr w:rsidR="00B22691" w:rsidRPr="00600514" w14:paraId="0106C3FF" w14:textId="77777777">
        <w:tblPrEx>
          <w:tblCellMar>
            <w:top w:w="0" w:type="dxa"/>
            <w:bottom w:w="0" w:type="dxa"/>
          </w:tblCellMar>
        </w:tblPrEx>
        <w:trPr>
          <w:tblHeader/>
        </w:trPr>
        <w:tc>
          <w:tcPr>
            <w:tcW w:w="4200" w:type="dxa"/>
            <w:shd w:val="clear" w:color="auto" w:fill="3F7D4F"/>
            <w:tcMar>
              <w:top w:w="100" w:type="dxa"/>
              <w:left w:w="120" w:type="dxa"/>
              <w:bottom w:w="100" w:type="dxa"/>
              <w:right w:w="120" w:type="dxa"/>
            </w:tcMar>
            <w:vAlign w:val="center"/>
          </w:tcPr>
          <w:p w14:paraId="20C24FE1" w14:textId="77777777" w:rsidR="00B22691" w:rsidRPr="00600514" w:rsidRDefault="00352D7B" w:rsidP="00600514">
            <w:pPr>
              <w:spacing w:line="276" w:lineRule="auto"/>
              <w:jc w:val="both"/>
              <w:rPr>
                <w:rFonts w:ascii="Arial" w:hAnsi="Arial" w:cs="Arial"/>
              </w:rPr>
            </w:pPr>
            <w:r w:rsidRPr="00600514">
              <w:rPr>
                <w:rFonts w:ascii="Arial" w:hAnsi="Arial" w:cs="Arial"/>
                <w:b/>
                <w:bCs/>
                <w:color w:val="FFFFFF"/>
              </w:rPr>
              <w:t>Riesgo</w:t>
            </w:r>
          </w:p>
        </w:tc>
        <w:tc>
          <w:tcPr>
            <w:tcW w:w="5200" w:type="dxa"/>
            <w:shd w:val="clear" w:color="auto" w:fill="3F7D4F"/>
            <w:tcMar>
              <w:top w:w="100" w:type="dxa"/>
              <w:left w:w="120" w:type="dxa"/>
              <w:bottom w:w="100" w:type="dxa"/>
              <w:right w:w="120" w:type="dxa"/>
            </w:tcMar>
            <w:vAlign w:val="center"/>
          </w:tcPr>
          <w:p w14:paraId="597F3AFC" w14:textId="77777777" w:rsidR="00B22691" w:rsidRPr="00600514" w:rsidRDefault="00352D7B" w:rsidP="00600514">
            <w:pPr>
              <w:spacing w:line="276" w:lineRule="auto"/>
              <w:jc w:val="both"/>
              <w:rPr>
                <w:rFonts w:ascii="Arial" w:hAnsi="Arial" w:cs="Arial"/>
              </w:rPr>
            </w:pPr>
            <w:r w:rsidRPr="00600514">
              <w:rPr>
                <w:rFonts w:ascii="Arial" w:hAnsi="Arial" w:cs="Arial"/>
                <w:b/>
                <w:bCs/>
                <w:color w:val="FFFFFF"/>
              </w:rPr>
              <w:t>Mitigación</w:t>
            </w:r>
          </w:p>
        </w:tc>
      </w:tr>
      <w:tr w:rsidR="00B22691" w:rsidRPr="00600514" w14:paraId="51E733D5" w14:textId="77777777">
        <w:tblPrEx>
          <w:tblCellMar>
            <w:top w:w="0" w:type="dxa"/>
            <w:bottom w:w="0" w:type="dxa"/>
          </w:tblCellMar>
        </w:tblPrEx>
        <w:tc>
          <w:tcPr>
            <w:tcW w:w="4200" w:type="dxa"/>
            <w:shd w:val="clear" w:color="auto" w:fill="FFFFFF"/>
            <w:tcMar>
              <w:top w:w="100" w:type="dxa"/>
              <w:left w:w="120" w:type="dxa"/>
              <w:bottom w:w="100" w:type="dxa"/>
              <w:right w:w="120" w:type="dxa"/>
            </w:tcMar>
            <w:vAlign w:val="center"/>
          </w:tcPr>
          <w:p w14:paraId="7B99B712"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Cobertura limitada de productos peruanos/latinoamericanos en las bases abiertas</w:t>
            </w:r>
          </w:p>
        </w:tc>
        <w:tc>
          <w:tcPr>
            <w:tcW w:w="5200" w:type="dxa"/>
            <w:shd w:val="clear" w:color="auto" w:fill="FFFFFF"/>
            <w:tcMar>
              <w:top w:w="100" w:type="dxa"/>
              <w:left w:w="120" w:type="dxa"/>
              <w:bottom w:w="100" w:type="dxa"/>
              <w:right w:w="120" w:type="dxa"/>
            </w:tcMar>
            <w:vAlign w:val="center"/>
          </w:tcPr>
          <w:p w14:paraId="53111889"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Complementar con fichas cargadas manualmente por el CITE para insumos estratégicos regionales; ser transparente con el usuario sobre el origen geográfico de cada dato.</w:t>
            </w:r>
          </w:p>
        </w:tc>
      </w:tr>
      <w:tr w:rsidR="00B22691" w:rsidRPr="00600514" w14:paraId="699C429D" w14:textId="77777777">
        <w:tblPrEx>
          <w:tblCellMar>
            <w:top w:w="0" w:type="dxa"/>
            <w:bottom w:w="0" w:type="dxa"/>
          </w:tblCellMar>
        </w:tblPrEx>
        <w:tc>
          <w:tcPr>
            <w:tcW w:w="4200" w:type="dxa"/>
            <w:shd w:val="clear" w:color="auto" w:fill="F2F2F2"/>
            <w:tcMar>
              <w:top w:w="100" w:type="dxa"/>
              <w:left w:w="120" w:type="dxa"/>
              <w:bottom w:w="100" w:type="dxa"/>
              <w:right w:w="120" w:type="dxa"/>
            </w:tcMar>
            <w:vAlign w:val="center"/>
          </w:tcPr>
          <w:p w14:paraId="2DBC5A15"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 xml:space="preserve">Datos de Open </w:t>
            </w:r>
            <w:proofErr w:type="spellStart"/>
            <w:r w:rsidRPr="00600514">
              <w:rPr>
                <w:rFonts w:ascii="Arial" w:hAnsi="Arial" w:cs="Arial"/>
                <w:color w:val="222222"/>
                <w:sz w:val="19"/>
                <w:szCs w:val="19"/>
              </w:rPr>
              <w:t>Food</w:t>
            </w:r>
            <w:proofErr w:type="spellEnd"/>
            <w:r w:rsidRPr="00600514">
              <w:rPr>
                <w:rFonts w:ascii="Arial" w:hAnsi="Arial" w:cs="Arial"/>
                <w:color w:val="222222"/>
                <w:sz w:val="19"/>
                <w:szCs w:val="19"/>
              </w:rPr>
              <w:t xml:space="preserve"> </w:t>
            </w:r>
            <w:proofErr w:type="spellStart"/>
            <w:r w:rsidRPr="00600514">
              <w:rPr>
                <w:rFonts w:ascii="Arial" w:hAnsi="Arial" w:cs="Arial"/>
                <w:color w:val="222222"/>
                <w:sz w:val="19"/>
                <w:szCs w:val="19"/>
              </w:rPr>
              <w:t>Facts</w:t>
            </w:r>
            <w:proofErr w:type="spellEnd"/>
            <w:r w:rsidRPr="00600514">
              <w:rPr>
                <w:rFonts w:ascii="Arial" w:hAnsi="Arial" w:cs="Arial"/>
                <w:color w:val="222222"/>
                <w:sz w:val="19"/>
                <w:szCs w:val="19"/>
              </w:rPr>
              <w:t xml:space="preserve"> no siempre exactos (base colaborativa)</w:t>
            </w:r>
          </w:p>
        </w:tc>
        <w:tc>
          <w:tcPr>
            <w:tcW w:w="5200" w:type="dxa"/>
            <w:shd w:val="clear" w:color="auto" w:fill="F2F2F2"/>
            <w:tcMar>
              <w:top w:w="100" w:type="dxa"/>
              <w:left w:w="120" w:type="dxa"/>
              <w:bottom w:w="100" w:type="dxa"/>
              <w:right w:w="120" w:type="dxa"/>
            </w:tcMar>
            <w:vAlign w:val="center"/>
          </w:tcPr>
          <w:p w14:paraId="2DD89A17"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Mostrar siempre la fuente y fecha del dato; tratar los resultados como orientación inicial, no como verdad certificada.</w:t>
            </w:r>
          </w:p>
        </w:tc>
      </w:tr>
      <w:tr w:rsidR="00B22691" w:rsidRPr="00600514" w14:paraId="549DFE8A" w14:textId="77777777">
        <w:tblPrEx>
          <w:tblCellMar>
            <w:top w:w="0" w:type="dxa"/>
            <w:bottom w:w="0" w:type="dxa"/>
          </w:tblCellMar>
        </w:tblPrEx>
        <w:tc>
          <w:tcPr>
            <w:tcW w:w="4200" w:type="dxa"/>
            <w:shd w:val="clear" w:color="auto" w:fill="FFFFFF"/>
            <w:tcMar>
              <w:top w:w="100" w:type="dxa"/>
              <w:left w:w="120" w:type="dxa"/>
              <w:bottom w:w="100" w:type="dxa"/>
              <w:right w:w="120" w:type="dxa"/>
            </w:tcMar>
            <w:vAlign w:val="center"/>
          </w:tcPr>
          <w:p w14:paraId="2AB46E35"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Verificación regulatoria de Perú/UE no está en tiempo real</w:t>
            </w:r>
          </w:p>
        </w:tc>
        <w:tc>
          <w:tcPr>
            <w:tcW w:w="5200" w:type="dxa"/>
            <w:shd w:val="clear" w:color="auto" w:fill="FFFFFF"/>
            <w:tcMar>
              <w:top w:w="100" w:type="dxa"/>
              <w:left w:w="120" w:type="dxa"/>
              <w:bottom w:w="100" w:type="dxa"/>
              <w:right w:w="120" w:type="dxa"/>
            </w:tcMar>
            <w:vAlign w:val="center"/>
          </w:tcPr>
          <w:p w14:paraId="66F4B3AE"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Indicar claramente fecha de última actualización de la base documental y recomendar confirmar cambios recientes con el CITE o la entidad oficial.</w:t>
            </w:r>
          </w:p>
        </w:tc>
      </w:tr>
      <w:tr w:rsidR="00B22691" w:rsidRPr="00600514" w14:paraId="7460043D" w14:textId="77777777">
        <w:tblPrEx>
          <w:tblCellMar>
            <w:top w:w="0" w:type="dxa"/>
            <w:bottom w:w="0" w:type="dxa"/>
          </w:tblCellMar>
        </w:tblPrEx>
        <w:tc>
          <w:tcPr>
            <w:tcW w:w="4200" w:type="dxa"/>
            <w:shd w:val="clear" w:color="auto" w:fill="F2F2F2"/>
            <w:tcMar>
              <w:top w:w="100" w:type="dxa"/>
              <w:left w:w="120" w:type="dxa"/>
              <w:bottom w:w="100" w:type="dxa"/>
              <w:right w:w="120" w:type="dxa"/>
            </w:tcMar>
            <w:vAlign w:val="center"/>
          </w:tcPr>
          <w:p w14:paraId="4C3AD64A"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El LLM podría generar hipótesis poco realistas si no se controla el diseño</w:t>
            </w:r>
          </w:p>
        </w:tc>
        <w:tc>
          <w:tcPr>
            <w:tcW w:w="5200" w:type="dxa"/>
            <w:shd w:val="clear" w:color="auto" w:fill="F2F2F2"/>
            <w:tcMar>
              <w:top w:w="100" w:type="dxa"/>
              <w:left w:w="120" w:type="dxa"/>
              <w:bottom w:w="100" w:type="dxa"/>
              <w:right w:w="120" w:type="dxa"/>
            </w:tcMar>
            <w:vAlign w:val="center"/>
          </w:tcPr>
          <w:p w14:paraId="083BACC7" w14:textId="77777777" w:rsidR="00B22691" w:rsidRPr="00600514" w:rsidRDefault="00352D7B" w:rsidP="00600514">
            <w:pPr>
              <w:spacing w:line="276" w:lineRule="auto"/>
              <w:jc w:val="both"/>
              <w:rPr>
                <w:rFonts w:ascii="Arial" w:hAnsi="Arial" w:cs="Arial"/>
              </w:rPr>
            </w:pPr>
            <w:r w:rsidRPr="00600514">
              <w:rPr>
                <w:rFonts w:ascii="Arial" w:hAnsi="Arial" w:cs="Arial"/>
                <w:color w:val="222222"/>
                <w:sz w:val="19"/>
                <w:szCs w:val="19"/>
              </w:rPr>
              <w:t>El LLM solo redacta y agrupa patrones a partir de datos ya verificados; nunca genera cifras de composición o regulación por sí mismo.</w:t>
            </w:r>
          </w:p>
        </w:tc>
      </w:tr>
    </w:tbl>
    <w:p w14:paraId="65BA7151" w14:textId="2835EC18" w:rsidR="00600514" w:rsidRPr="00600514" w:rsidRDefault="00600514" w:rsidP="00600514">
      <w:pPr>
        <w:pStyle w:val="Ttulo1"/>
        <w:pBdr>
          <w:bottom w:val="single" w:sz="6" w:space="4" w:color="3F7D4F"/>
        </w:pBdr>
        <w:spacing w:before="360" w:after="160" w:line="276" w:lineRule="auto"/>
        <w:jc w:val="both"/>
        <w:rPr>
          <w:rFonts w:ascii="Arial" w:hAnsi="Arial" w:cs="Arial"/>
          <w:b/>
          <w:bCs/>
          <w:color w:val="1F3B57"/>
          <w:sz w:val="28"/>
          <w:szCs w:val="28"/>
        </w:rPr>
      </w:pPr>
      <w:r w:rsidRPr="00600514">
        <w:rPr>
          <w:rFonts w:ascii="Arial" w:hAnsi="Arial" w:cs="Arial"/>
          <w:b/>
          <w:bCs/>
          <w:color w:val="1F3B57"/>
          <w:sz w:val="28"/>
          <w:szCs w:val="28"/>
        </w:rPr>
        <w:t>1</w:t>
      </w:r>
      <w:r w:rsidRPr="00600514">
        <w:rPr>
          <w:rFonts w:ascii="Arial" w:hAnsi="Arial" w:cs="Arial"/>
          <w:b/>
          <w:bCs/>
          <w:color w:val="1F3B57"/>
          <w:sz w:val="28"/>
          <w:szCs w:val="28"/>
        </w:rPr>
        <w:t>1</w:t>
      </w:r>
      <w:r w:rsidRPr="00600514">
        <w:rPr>
          <w:rFonts w:ascii="Arial" w:hAnsi="Arial" w:cs="Arial"/>
          <w:b/>
          <w:bCs/>
          <w:color w:val="1F3B57"/>
          <w:sz w:val="28"/>
          <w:szCs w:val="28"/>
        </w:rPr>
        <w:t xml:space="preserve">. </w:t>
      </w:r>
      <w:r w:rsidRPr="00600514">
        <w:rPr>
          <w:rFonts w:ascii="Arial" w:hAnsi="Arial" w:cs="Arial"/>
          <w:b/>
          <w:bCs/>
          <w:color w:val="1F3B57"/>
          <w:sz w:val="28"/>
          <w:szCs w:val="28"/>
        </w:rPr>
        <w:t>S</w:t>
      </w:r>
      <w:r w:rsidRPr="00600514">
        <w:rPr>
          <w:rFonts w:ascii="Arial" w:hAnsi="Arial" w:cs="Arial"/>
          <w:b/>
          <w:bCs/>
          <w:color w:val="1F3B57"/>
          <w:sz w:val="28"/>
          <w:szCs w:val="28"/>
        </w:rPr>
        <w:t xml:space="preserve">imulación </w:t>
      </w:r>
      <w:r w:rsidRPr="00600514">
        <w:rPr>
          <w:rFonts w:ascii="Arial" w:hAnsi="Arial" w:cs="Arial"/>
          <w:b/>
          <w:bCs/>
          <w:color w:val="1F3B57"/>
          <w:sz w:val="28"/>
          <w:szCs w:val="28"/>
        </w:rPr>
        <w:t>C</w:t>
      </w:r>
      <w:r w:rsidRPr="00600514">
        <w:rPr>
          <w:rFonts w:ascii="Arial" w:hAnsi="Arial" w:cs="Arial"/>
          <w:b/>
          <w:bCs/>
          <w:color w:val="1F3B57"/>
          <w:sz w:val="28"/>
          <w:szCs w:val="28"/>
        </w:rPr>
        <w:t>ompleta</w:t>
      </w:r>
    </w:p>
    <w:p w14:paraId="5BB98307" w14:textId="295867E3" w:rsidR="00600514" w:rsidRPr="00600514" w:rsidRDefault="00D3619D" w:rsidP="00D3619D">
      <w:pPr>
        <w:spacing w:after="160" w:line="276" w:lineRule="auto"/>
        <w:jc w:val="both"/>
        <w:rPr>
          <w:rFonts w:ascii="Arial" w:hAnsi="Arial" w:cs="Arial"/>
          <w:color w:val="222222"/>
          <w:sz w:val="22"/>
          <w:szCs w:val="22"/>
        </w:rPr>
      </w:pPr>
      <w:r>
        <w:rPr>
          <w:rFonts w:ascii="Arial" w:hAnsi="Arial" w:cs="Arial"/>
          <w:color w:val="222222"/>
          <w:sz w:val="22"/>
          <w:szCs w:val="22"/>
        </w:rPr>
        <w:t>S</w:t>
      </w:r>
      <w:r w:rsidR="00600514" w:rsidRPr="00600514">
        <w:rPr>
          <w:rFonts w:ascii="Arial" w:hAnsi="Arial" w:cs="Arial"/>
          <w:color w:val="222222"/>
          <w:sz w:val="22"/>
          <w:szCs w:val="22"/>
        </w:rPr>
        <w:t>imulación completa con un insumo real: cáscara de mango. Hice una revisión rápida para que el ejemplo esté basado en información real y no inventada, y de paso te muestro algo importante que hay que ajustar en las expectativas.</w:t>
      </w:r>
    </w:p>
    <w:p w14:paraId="76E49488" w14:textId="77777777" w:rsidR="00600514" w:rsidRPr="00600514" w:rsidRDefault="00600514" w:rsidP="00D3619D">
      <w:pPr>
        <w:pStyle w:val="Prrafodelista"/>
        <w:numPr>
          <w:ilvl w:val="0"/>
          <w:numId w:val="2"/>
        </w:numPr>
        <w:spacing w:after="100" w:line="276" w:lineRule="auto"/>
        <w:jc w:val="both"/>
        <w:rPr>
          <w:rFonts w:ascii="Arial" w:hAnsi="Arial" w:cs="Arial"/>
          <w:color w:val="222222"/>
          <w:sz w:val="22"/>
          <w:szCs w:val="22"/>
        </w:rPr>
      </w:pPr>
      <w:r w:rsidRPr="00600514">
        <w:rPr>
          <w:rFonts w:ascii="Arial" w:hAnsi="Arial" w:cs="Arial"/>
          <w:color w:val="222222"/>
          <w:sz w:val="22"/>
          <w:szCs w:val="22"/>
        </w:rPr>
        <w:t>Paso 1 — Tú ingresas el insumo</w:t>
      </w:r>
    </w:p>
    <w:p w14:paraId="3A232250" w14:textId="77777777" w:rsidR="00600514" w:rsidRPr="00600514" w:rsidRDefault="00600514" w:rsidP="00D3619D">
      <w:pPr>
        <w:spacing w:after="160" w:line="276" w:lineRule="auto"/>
        <w:ind w:left="172"/>
        <w:jc w:val="both"/>
        <w:rPr>
          <w:rFonts w:ascii="Arial" w:hAnsi="Arial" w:cs="Arial"/>
          <w:color w:val="222222"/>
          <w:sz w:val="22"/>
          <w:szCs w:val="22"/>
        </w:rPr>
      </w:pPr>
      <w:r w:rsidRPr="00600514">
        <w:rPr>
          <w:rFonts w:ascii="Arial" w:hAnsi="Arial" w:cs="Arial"/>
          <w:color w:val="222222"/>
          <w:sz w:val="22"/>
          <w:szCs w:val="22"/>
        </w:rPr>
        <w:t xml:space="preserve">"cáscara de mango" → el sistema lo traduce internamente también a "mango </w:t>
      </w:r>
      <w:proofErr w:type="spellStart"/>
      <w:r w:rsidRPr="00600514">
        <w:rPr>
          <w:rFonts w:ascii="Arial" w:hAnsi="Arial" w:cs="Arial"/>
          <w:color w:val="222222"/>
          <w:sz w:val="22"/>
          <w:szCs w:val="22"/>
        </w:rPr>
        <w:t>peel</w:t>
      </w:r>
      <w:proofErr w:type="spellEnd"/>
      <w:r w:rsidRPr="00600514">
        <w:rPr>
          <w:rFonts w:ascii="Arial" w:hAnsi="Arial" w:cs="Arial"/>
          <w:color w:val="222222"/>
          <w:sz w:val="22"/>
          <w:szCs w:val="22"/>
        </w:rPr>
        <w:t xml:space="preserve">", "mango </w:t>
      </w:r>
      <w:proofErr w:type="spellStart"/>
      <w:r w:rsidRPr="00600514">
        <w:rPr>
          <w:rFonts w:ascii="Arial" w:hAnsi="Arial" w:cs="Arial"/>
          <w:color w:val="222222"/>
          <w:sz w:val="22"/>
          <w:szCs w:val="22"/>
        </w:rPr>
        <w:t>peel</w:t>
      </w:r>
      <w:proofErr w:type="spellEnd"/>
      <w:r w:rsidRPr="00600514">
        <w:rPr>
          <w:rFonts w:ascii="Arial" w:hAnsi="Arial" w:cs="Arial"/>
          <w:color w:val="222222"/>
          <w:sz w:val="22"/>
          <w:szCs w:val="22"/>
        </w:rPr>
        <w:t xml:space="preserve"> </w:t>
      </w:r>
      <w:proofErr w:type="spellStart"/>
      <w:r w:rsidRPr="00600514">
        <w:rPr>
          <w:rFonts w:ascii="Arial" w:hAnsi="Arial" w:cs="Arial"/>
          <w:color w:val="222222"/>
          <w:sz w:val="22"/>
          <w:szCs w:val="22"/>
        </w:rPr>
        <w:t>flour</w:t>
      </w:r>
      <w:proofErr w:type="spellEnd"/>
      <w:r w:rsidRPr="00600514">
        <w:rPr>
          <w:rFonts w:ascii="Arial" w:hAnsi="Arial" w:cs="Arial"/>
          <w:color w:val="222222"/>
          <w:sz w:val="22"/>
          <w:szCs w:val="22"/>
        </w:rPr>
        <w:t xml:space="preserve">", "mango </w:t>
      </w:r>
      <w:proofErr w:type="spellStart"/>
      <w:r w:rsidRPr="00600514">
        <w:rPr>
          <w:rFonts w:ascii="Arial" w:hAnsi="Arial" w:cs="Arial"/>
          <w:color w:val="222222"/>
          <w:sz w:val="22"/>
          <w:szCs w:val="22"/>
        </w:rPr>
        <w:t>byproduct</w:t>
      </w:r>
      <w:proofErr w:type="spellEnd"/>
      <w:r w:rsidRPr="00600514">
        <w:rPr>
          <w:rFonts w:ascii="Arial" w:hAnsi="Arial" w:cs="Arial"/>
          <w:color w:val="222222"/>
          <w:sz w:val="22"/>
          <w:szCs w:val="22"/>
        </w:rPr>
        <w:t>" para ampliar la búsqueda.</w:t>
      </w:r>
    </w:p>
    <w:p w14:paraId="70E8291B" w14:textId="77777777" w:rsidR="00600514" w:rsidRPr="00600514" w:rsidRDefault="00600514" w:rsidP="00D3619D">
      <w:pPr>
        <w:pStyle w:val="Prrafodelista"/>
        <w:numPr>
          <w:ilvl w:val="0"/>
          <w:numId w:val="2"/>
        </w:numPr>
        <w:spacing w:after="100" w:line="276" w:lineRule="auto"/>
        <w:jc w:val="both"/>
        <w:rPr>
          <w:rFonts w:ascii="Arial" w:hAnsi="Arial" w:cs="Arial"/>
          <w:color w:val="222222"/>
          <w:sz w:val="22"/>
          <w:szCs w:val="22"/>
        </w:rPr>
      </w:pPr>
      <w:r w:rsidRPr="00600514">
        <w:rPr>
          <w:rFonts w:ascii="Arial" w:hAnsi="Arial" w:cs="Arial"/>
          <w:color w:val="222222"/>
          <w:sz w:val="22"/>
          <w:szCs w:val="22"/>
        </w:rPr>
        <w:t>Paso 2 — Búsqueda en bases abiertas (aquí viene el hallazgo honesto)</w:t>
      </w:r>
    </w:p>
    <w:p w14:paraId="157DED0B" w14:textId="77777777" w:rsidR="00600514" w:rsidRPr="00600514" w:rsidRDefault="00600514" w:rsidP="00D3619D">
      <w:pPr>
        <w:spacing w:after="160" w:line="276" w:lineRule="auto"/>
        <w:ind w:left="172"/>
        <w:jc w:val="both"/>
        <w:rPr>
          <w:rFonts w:ascii="Arial" w:hAnsi="Arial" w:cs="Arial"/>
          <w:color w:val="222222"/>
          <w:sz w:val="22"/>
          <w:szCs w:val="22"/>
        </w:rPr>
      </w:pPr>
      <w:r w:rsidRPr="00600514">
        <w:rPr>
          <w:rFonts w:ascii="Arial" w:hAnsi="Arial" w:cs="Arial"/>
          <w:color w:val="222222"/>
          <w:sz w:val="22"/>
          <w:szCs w:val="22"/>
        </w:rPr>
        <w:t xml:space="preserve">Al revisar cómo está representado esto en Open </w:t>
      </w:r>
      <w:proofErr w:type="spellStart"/>
      <w:r w:rsidRPr="00600514">
        <w:rPr>
          <w:rFonts w:ascii="Arial" w:hAnsi="Arial" w:cs="Arial"/>
          <w:color w:val="222222"/>
          <w:sz w:val="22"/>
          <w:szCs w:val="22"/>
        </w:rPr>
        <w:t>Food</w:t>
      </w:r>
      <w:proofErr w:type="spellEnd"/>
      <w:r w:rsidRPr="00600514">
        <w:rPr>
          <w:rFonts w:ascii="Arial" w:hAnsi="Arial" w:cs="Arial"/>
          <w:color w:val="222222"/>
          <w:sz w:val="22"/>
          <w:szCs w:val="22"/>
        </w:rPr>
        <w:t xml:space="preserve"> </w:t>
      </w:r>
      <w:proofErr w:type="spellStart"/>
      <w:r w:rsidRPr="00600514">
        <w:rPr>
          <w:rFonts w:ascii="Arial" w:hAnsi="Arial" w:cs="Arial"/>
          <w:color w:val="222222"/>
          <w:sz w:val="22"/>
          <w:szCs w:val="22"/>
        </w:rPr>
        <w:t>Facts</w:t>
      </w:r>
      <w:proofErr w:type="spellEnd"/>
      <w:r w:rsidRPr="00600514">
        <w:rPr>
          <w:rFonts w:ascii="Arial" w:hAnsi="Arial" w:cs="Arial"/>
          <w:color w:val="222222"/>
          <w:sz w:val="22"/>
          <w:szCs w:val="22"/>
        </w:rPr>
        <w:t xml:space="preserve">, encontré algo que vale la pena decirte directamente: hay pocos productos comerciales indexados específicamente de "harina de cáscara de mango" — lo que sí hay en abundancia es más de 200 artículos científicos publicados en los últimos años sobre cómo aprovechar la cáscara de mango como ingrediente. Es decir, el insumo está muy estudiado a nivel científico, pero todavía poco comercializado como producto de marca </w:t>
      </w:r>
      <w:r w:rsidRPr="00600514">
        <w:rPr>
          <w:rFonts w:ascii="Arial" w:hAnsi="Arial" w:cs="Arial"/>
          <w:color w:val="222222"/>
          <w:sz w:val="22"/>
          <w:szCs w:val="22"/>
        </w:rPr>
        <w:lastRenderedPageBreak/>
        <w:t xml:space="preserve">— que es justo el tipo de "hueco de mercado" que esta plataforma está pensada para detectar. </w:t>
      </w:r>
      <w:hyperlink r:id="rId7" w:tgtFrame="_blank" w:history="1">
        <w:r w:rsidRPr="00600514">
          <w:rPr>
            <w:color w:val="222222"/>
            <w:sz w:val="22"/>
            <w:szCs w:val="22"/>
          </w:rPr>
          <w:t xml:space="preserve">Open </w:t>
        </w:r>
        <w:proofErr w:type="spellStart"/>
        <w:r w:rsidRPr="00600514">
          <w:rPr>
            <w:color w:val="222222"/>
            <w:sz w:val="22"/>
            <w:szCs w:val="22"/>
          </w:rPr>
          <w:t>Food</w:t>
        </w:r>
        <w:proofErr w:type="spellEnd"/>
        <w:r w:rsidRPr="00600514">
          <w:rPr>
            <w:color w:val="222222"/>
            <w:sz w:val="22"/>
            <w:szCs w:val="22"/>
          </w:rPr>
          <w:t xml:space="preserve"> </w:t>
        </w:r>
        <w:proofErr w:type="spellStart"/>
        <w:r w:rsidRPr="00600514">
          <w:rPr>
            <w:color w:val="222222"/>
            <w:sz w:val="22"/>
            <w:szCs w:val="22"/>
          </w:rPr>
          <w:t>Facts</w:t>
        </w:r>
        <w:proofErr w:type="spellEnd"/>
      </w:hyperlink>
    </w:p>
    <w:p w14:paraId="1AFB78C5" w14:textId="77777777" w:rsidR="00600514" w:rsidRPr="00600514" w:rsidRDefault="00600514" w:rsidP="00D3619D">
      <w:pPr>
        <w:spacing w:after="160" w:line="276" w:lineRule="auto"/>
        <w:ind w:left="172"/>
        <w:jc w:val="both"/>
        <w:rPr>
          <w:rFonts w:ascii="Arial" w:hAnsi="Arial" w:cs="Arial"/>
          <w:color w:val="222222"/>
          <w:sz w:val="22"/>
          <w:szCs w:val="22"/>
        </w:rPr>
      </w:pPr>
      <w:r w:rsidRPr="00600514">
        <w:rPr>
          <w:rFonts w:ascii="Arial" w:hAnsi="Arial" w:cs="Arial"/>
          <w:color w:val="222222"/>
          <w:sz w:val="22"/>
          <w:szCs w:val="22"/>
        </w:rPr>
        <w:t>Entonces el sistema, siendo honesto con el usuario, respondería algo como: "encontramos 0-2 productos comerciales directos con este insumo en las bases abiertas, pero sí existe evidencia científica sólida sobre su uso" — y ahí es donde entra el paso 4.</w:t>
      </w:r>
    </w:p>
    <w:p w14:paraId="3C54D2C4" w14:textId="77777777" w:rsidR="00600514" w:rsidRPr="00600514" w:rsidRDefault="00600514" w:rsidP="00D3619D">
      <w:pPr>
        <w:pStyle w:val="Prrafodelista"/>
        <w:numPr>
          <w:ilvl w:val="0"/>
          <w:numId w:val="2"/>
        </w:numPr>
        <w:spacing w:after="100" w:line="276" w:lineRule="auto"/>
        <w:jc w:val="both"/>
        <w:rPr>
          <w:rFonts w:ascii="Arial" w:hAnsi="Arial" w:cs="Arial"/>
          <w:color w:val="222222"/>
          <w:sz w:val="22"/>
          <w:szCs w:val="22"/>
        </w:rPr>
      </w:pPr>
      <w:r w:rsidRPr="00600514">
        <w:rPr>
          <w:rFonts w:ascii="Arial" w:hAnsi="Arial" w:cs="Arial"/>
          <w:color w:val="222222"/>
          <w:sz w:val="22"/>
          <w:szCs w:val="22"/>
        </w:rPr>
        <w:t xml:space="preserve">Paso 3 — </w:t>
      </w:r>
      <w:proofErr w:type="spellStart"/>
      <w:r w:rsidRPr="00600514">
        <w:rPr>
          <w:rFonts w:ascii="Arial" w:hAnsi="Arial" w:cs="Arial"/>
          <w:color w:val="222222"/>
          <w:sz w:val="22"/>
          <w:szCs w:val="22"/>
        </w:rPr>
        <w:t>Insight</w:t>
      </w:r>
      <w:proofErr w:type="spellEnd"/>
    </w:p>
    <w:p w14:paraId="1D2681B2" w14:textId="77777777" w:rsidR="00600514" w:rsidRPr="00600514" w:rsidRDefault="00600514" w:rsidP="00D3619D">
      <w:pPr>
        <w:spacing w:after="160" w:line="276" w:lineRule="auto"/>
        <w:ind w:left="172"/>
        <w:jc w:val="both"/>
        <w:rPr>
          <w:rFonts w:ascii="Arial" w:hAnsi="Arial" w:cs="Arial"/>
          <w:color w:val="222222"/>
          <w:sz w:val="22"/>
          <w:szCs w:val="22"/>
        </w:rPr>
      </w:pPr>
      <w:r w:rsidRPr="00600514">
        <w:rPr>
          <w:rFonts w:ascii="Arial" w:hAnsi="Arial" w:cs="Arial"/>
          <w:color w:val="222222"/>
          <w:sz w:val="22"/>
          <w:szCs w:val="22"/>
        </w:rPr>
        <w:t>"La cáscara de mango es un subproducto poco explotado comercialmente todavía. Los productos relacionados encontrados usan pulpa o puré de mango, no la cáscara en sí — lo que sugiere una oportunidad de diferenciación real."</w:t>
      </w:r>
    </w:p>
    <w:p w14:paraId="694A50FE" w14:textId="77777777" w:rsidR="00600514" w:rsidRPr="00600514" w:rsidRDefault="00600514" w:rsidP="00D3619D">
      <w:pPr>
        <w:pStyle w:val="Prrafodelista"/>
        <w:numPr>
          <w:ilvl w:val="0"/>
          <w:numId w:val="2"/>
        </w:numPr>
        <w:spacing w:after="100" w:line="276" w:lineRule="auto"/>
        <w:jc w:val="both"/>
        <w:rPr>
          <w:rFonts w:ascii="Arial" w:hAnsi="Arial" w:cs="Arial"/>
          <w:color w:val="222222"/>
          <w:sz w:val="22"/>
          <w:szCs w:val="22"/>
        </w:rPr>
      </w:pPr>
      <w:r w:rsidRPr="00600514">
        <w:rPr>
          <w:rFonts w:ascii="Arial" w:hAnsi="Arial" w:cs="Arial"/>
          <w:color w:val="222222"/>
          <w:sz w:val="22"/>
          <w:szCs w:val="22"/>
        </w:rPr>
        <w:t>Paso 4 — Hipótesis de formulación (aquí la literatura científica sí aporta mucho)</w:t>
      </w:r>
    </w:p>
    <w:p w14:paraId="63121D7A" w14:textId="77777777" w:rsidR="00600514" w:rsidRPr="00600514" w:rsidRDefault="00600514" w:rsidP="00D3619D">
      <w:pPr>
        <w:spacing w:after="160" w:line="276" w:lineRule="auto"/>
        <w:ind w:left="172"/>
        <w:jc w:val="both"/>
        <w:rPr>
          <w:rFonts w:ascii="Arial" w:hAnsi="Arial" w:cs="Arial"/>
          <w:color w:val="222222"/>
          <w:sz w:val="22"/>
          <w:szCs w:val="22"/>
        </w:rPr>
      </w:pPr>
      <w:r w:rsidRPr="00600514">
        <w:rPr>
          <w:rFonts w:ascii="Arial" w:hAnsi="Arial" w:cs="Arial"/>
          <w:color w:val="222222"/>
          <w:sz w:val="22"/>
          <w:szCs w:val="22"/>
        </w:rPr>
        <w:t xml:space="preserve">Basado en estudios de composición, la cáscara de mango es rica en pectina, fibra dietética, vitaminas, carotenoides y compuestos fenólicos, y ya se ha usado con éxito para panificación, galletas, fideos y productos horneados como harina sin gluten. La plataforma generaría una hipótesis como: </w:t>
      </w:r>
      <w:hyperlink r:id="rId8" w:tgtFrame="_blank" w:history="1">
        <w:proofErr w:type="spellStart"/>
        <w:r w:rsidRPr="00600514">
          <w:rPr>
            <w:color w:val="222222"/>
            <w:sz w:val="22"/>
            <w:szCs w:val="22"/>
          </w:rPr>
          <w:t>PublicAPI</w:t>
        </w:r>
      </w:hyperlink>
      <w:hyperlink r:id="rId9" w:tgtFrame="_blank" w:history="1">
        <w:r w:rsidRPr="00600514">
          <w:rPr>
            <w:color w:val="222222"/>
            <w:sz w:val="22"/>
            <w:szCs w:val="22"/>
          </w:rPr>
          <w:t>Openfoodfacts</w:t>
        </w:r>
        <w:proofErr w:type="spellEnd"/>
      </w:hyperlink>
    </w:p>
    <w:p w14:paraId="4901BF2A" w14:textId="77777777" w:rsidR="00600514" w:rsidRPr="00600514" w:rsidRDefault="00600514" w:rsidP="00D3619D">
      <w:pPr>
        <w:spacing w:after="160" w:line="276" w:lineRule="auto"/>
        <w:ind w:left="172"/>
        <w:jc w:val="both"/>
        <w:rPr>
          <w:rFonts w:ascii="Arial" w:hAnsi="Arial" w:cs="Arial"/>
          <w:color w:val="222222"/>
          <w:sz w:val="22"/>
          <w:szCs w:val="22"/>
        </w:rPr>
      </w:pPr>
      <w:r w:rsidRPr="00600514">
        <w:rPr>
          <w:rFonts w:ascii="Arial" w:hAnsi="Arial" w:cs="Arial"/>
          <w:color w:val="222222"/>
          <w:sz w:val="22"/>
          <w:szCs w:val="22"/>
        </w:rPr>
        <w:t>"Con tu insumo, el uso más validado es como harina para panificación (10-20% de sustitución de harina de trigo) o como polvo funcional rico en fibra y antioxidantes. Se recomienda validar el método de secado, ya que afecta la retención de compuestos bioactivos."</w:t>
      </w:r>
    </w:p>
    <w:p w14:paraId="630F9309" w14:textId="77777777" w:rsidR="00600514" w:rsidRPr="00600514" w:rsidRDefault="00600514" w:rsidP="00D3619D">
      <w:pPr>
        <w:pStyle w:val="Prrafodelista"/>
        <w:numPr>
          <w:ilvl w:val="0"/>
          <w:numId w:val="2"/>
        </w:numPr>
        <w:spacing w:after="100" w:line="276" w:lineRule="auto"/>
        <w:jc w:val="both"/>
        <w:rPr>
          <w:rFonts w:ascii="Arial" w:hAnsi="Arial" w:cs="Arial"/>
          <w:color w:val="222222"/>
          <w:sz w:val="22"/>
          <w:szCs w:val="22"/>
        </w:rPr>
      </w:pPr>
      <w:r w:rsidRPr="00600514">
        <w:rPr>
          <w:rFonts w:ascii="Arial" w:hAnsi="Arial" w:cs="Arial"/>
          <w:color w:val="222222"/>
          <w:sz w:val="22"/>
          <w:szCs w:val="22"/>
        </w:rPr>
        <w:t>Paso 5 — Verificación regulatoria orientativa</w:t>
      </w:r>
    </w:p>
    <w:p w14:paraId="6788A5DF" w14:textId="77777777" w:rsidR="00600514" w:rsidRPr="00600514" w:rsidRDefault="00600514" w:rsidP="00D3619D">
      <w:pPr>
        <w:spacing w:after="160" w:line="276" w:lineRule="auto"/>
        <w:ind w:left="172"/>
        <w:jc w:val="both"/>
        <w:rPr>
          <w:rFonts w:ascii="Arial" w:hAnsi="Arial" w:cs="Arial"/>
          <w:color w:val="222222"/>
          <w:sz w:val="22"/>
          <w:szCs w:val="22"/>
        </w:rPr>
      </w:pPr>
      <w:r w:rsidRPr="00600514">
        <w:rPr>
          <w:rFonts w:ascii="Arial" w:hAnsi="Arial" w:cs="Arial"/>
          <w:color w:val="222222"/>
          <w:sz w:val="22"/>
          <w:szCs w:val="22"/>
        </w:rPr>
        <w:t>Como es un ingrediente derivado de una fruta común y no un aditivo nuevo o exótico, probablemente el sistema marque el riesgo como "bajo" para mercados como EE.UU., pero igual recomendaría confirmar el registro sanitario correspondiente en Perú antes de comercializar, ya que la cáscara como ingrediente independiente (no la fruta entera) puede requerir una evaluación específica.</w:t>
      </w:r>
    </w:p>
    <w:p w14:paraId="0050418B" w14:textId="77777777" w:rsidR="00600514" w:rsidRPr="00600514" w:rsidRDefault="00600514" w:rsidP="00D3619D">
      <w:pPr>
        <w:pStyle w:val="Prrafodelista"/>
        <w:numPr>
          <w:ilvl w:val="0"/>
          <w:numId w:val="2"/>
        </w:numPr>
        <w:spacing w:after="100" w:line="276" w:lineRule="auto"/>
        <w:jc w:val="both"/>
        <w:rPr>
          <w:rFonts w:ascii="Arial" w:hAnsi="Arial" w:cs="Arial"/>
          <w:color w:val="222222"/>
          <w:sz w:val="22"/>
          <w:szCs w:val="22"/>
        </w:rPr>
      </w:pPr>
      <w:r w:rsidRPr="00600514">
        <w:rPr>
          <w:rFonts w:ascii="Arial" w:hAnsi="Arial" w:cs="Arial"/>
          <w:color w:val="222222"/>
          <w:sz w:val="22"/>
          <w:szCs w:val="22"/>
        </w:rPr>
        <w:t>Paso 6 — Lo que tú harías con esto</w:t>
      </w:r>
    </w:p>
    <w:p w14:paraId="21EF29B2" w14:textId="77777777" w:rsidR="00600514" w:rsidRPr="00600514" w:rsidRDefault="00600514" w:rsidP="00D3619D">
      <w:pPr>
        <w:spacing w:after="160" w:line="276" w:lineRule="auto"/>
        <w:ind w:left="172"/>
        <w:jc w:val="both"/>
        <w:rPr>
          <w:rFonts w:ascii="Arial" w:hAnsi="Arial" w:cs="Arial"/>
          <w:color w:val="222222"/>
          <w:sz w:val="22"/>
          <w:szCs w:val="22"/>
        </w:rPr>
      </w:pPr>
      <w:r w:rsidRPr="00600514">
        <w:rPr>
          <w:rFonts w:ascii="Arial" w:hAnsi="Arial" w:cs="Arial"/>
          <w:color w:val="222222"/>
          <w:sz w:val="22"/>
          <w:szCs w:val="22"/>
        </w:rPr>
        <w:t>Llevas esta hipótesis (harina funcional, sustitución parcial en panificación, ventaja de mercado poco explotado) al laboratorio del CITE para que la validen con tu materia prima real y definan el proceso de secado óptimo.</w:t>
      </w:r>
    </w:p>
    <w:p w14:paraId="228F8FF9" w14:textId="548BF8CA" w:rsidR="00B22691" w:rsidRPr="00600514" w:rsidRDefault="00352D7B" w:rsidP="00600514">
      <w:pPr>
        <w:pStyle w:val="Ttulo1"/>
        <w:pBdr>
          <w:bottom w:val="single" w:sz="6" w:space="4" w:color="3F7D4F"/>
        </w:pBdr>
        <w:spacing w:before="360" w:after="160" w:line="276" w:lineRule="auto"/>
        <w:jc w:val="both"/>
        <w:rPr>
          <w:rFonts w:ascii="Arial" w:hAnsi="Arial" w:cs="Arial"/>
        </w:rPr>
      </w:pPr>
      <w:r w:rsidRPr="00600514">
        <w:rPr>
          <w:rFonts w:ascii="Arial" w:hAnsi="Arial" w:cs="Arial"/>
          <w:b/>
          <w:bCs/>
          <w:color w:val="1F3B57"/>
          <w:sz w:val="28"/>
          <w:szCs w:val="28"/>
        </w:rPr>
        <w:t>1</w:t>
      </w:r>
      <w:r w:rsidR="00600514" w:rsidRPr="00600514">
        <w:rPr>
          <w:rFonts w:ascii="Arial" w:hAnsi="Arial" w:cs="Arial"/>
          <w:b/>
          <w:bCs/>
          <w:color w:val="1F3B57"/>
          <w:sz w:val="28"/>
          <w:szCs w:val="28"/>
        </w:rPr>
        <w:t>2</w:t>
      </w:r>
      <w:r w:rsidRPr="00600514">
        <w:rPr>
          <w:rFonts w:ascii="Arial" w:hAnsi="Arial" w:cs="Arial"/>
          <w:b/>
          <w:bCs/>
          <w:color w:val="1F3B57"/>
          <w:sz w:val="28"/>
          <w:szCs w:val="28"/>
        </w:rPr>
        <w:t>. Conclusión y próximos pasos</w:t>
      </w:r>
    </w:p>
    <w:p w14:paraId="78930803" w14:textId="77777777" w:rsidR="00B22691" w:rsidRPr="00600514" w:rsidRDefault="00352D7B" w:rsidP="00600514">
      <w:pPr>
        <w:spacing w:after="160" w:line="276" w:lineRule="auto"/>
        <w:jc w:val="both"/>
        <w:rPr>
          <w:rFonts w:ascii="Arial" w:hAnsi="Arial" w:cs="Arial"/>
        </w:rPr>
      </w:pPr>
      <w:proofErr w:type="spellStart"/>
      <w:r w:rsidRPr="00600514">
        <w:rPr>
          <w:rFonts w:ascii="Arial" w:hAnsi="Arial" w:cs="Arial"/>
          <w:color w:val="222222"/>
          <w:sz w:val="22"/>
          <w:szCs w:val="22"/>
        </w:rPr>
        <w:t>AgroScout</w:t>
      </w:r>
      <w:proofErr w:type="spellEnd"/>
      <w:r w:rsidRPr="00600514">
        <w:rPr>
          <w:rFonts w:ascii="Arial" w:hAnsi="Arial" w:cs="Arial"/>
          <w:color w:val="222222"/>
          <w:sz w:val="22"/>
          <w:szCs w:val="22"/>
        </w:rPr>
        <w:t xml:space="preserve"> IA Lite conserva el núcleo de valor de la propuesta original —ayudar a las empresas del ecosistema Chavimochic a decidir qué producto desarrollar con lo que ya tienen— pero elimina todo componente frágil o costoso, apoyándose únicamente en fuentes que ya están diseñadas para ser reutilizadas. Esto la hace viable de construir con un presupuesto reducido y de lanzar en semanas, no en meses, sin comprometer la calidad técnica del resultado.</w:t>
      </w:r>
    </w:p>
    <w:p w14:paraId="3BA76303" w14:textId="77777777" w:rsidR="00B22691" w:rsidRDefault="00352D7B" w:rsidP="00600514">
      <w:pPr>
        <w:spacing w:after="160" w:line="276" w:lineRule="auto"/>
        <w:jc w:val="both"/>
        <w:rPr>
          <w:rFonts w:ascii="Arial" w:hAnsi="Arial" w:cs="Arial"/>
          <w:color w:val="222222"/>
          <w:sz w:val="22"/>
          <w:szCs w:val="22"/>
        </w:rPr>
      </w:pPr>
      <w:r w:rsidRPr="00600514">
        <w:rPr>
          <w:rFonts w:ascii="Arial" w:hAnsi="Arial" w:cs="Arial"/>
          <w:color w:val="222222"/>
          <w:sz w:val="22"/>
          <w:szCs w:val="22"/>
        </w:rPr>
        <w:t xml:space="preserve">Los próximos pasos recomendados son: (1) validar el interés del CITEagroindustrial Chavimochic como socio institucional y fuente de insumos prioritarios, (2) descargar y preparar los datos de Open </w:t>
      </w:r>
      <w:proofErr w:type="spellStart"/>
      <w:r w:rsidRPr="00600514">
        <w:rPr>
          <w:rFonts w:ascii="Arial" w:hAnsi="Arial" w:cs="Arial"/>
          <w:color w:val="222222"/>
          <w:sz w:val="22"/>
          <w:szCs w:val="22"/>
        </w:rPr>
        <w:t>Food</w:t>
      </w:r>
      <w:proofErr w:type="spellEnd"/>
      <w:r w:rsidRPr="00600514">
        <w:rPr>
          <w:rFonts w:ascii="Arial" w:hAnsi="Arial" w:cs="Arial"/>
          <w:color w:val="222222"/>
          <w:sz w:val="22"/>
          <w:szCs w:val="22"/>
        </w:rPr>
        <w:t xml:space="preserve"> </w:t>
      </w:r>
      <w:proofErr w:type="spellStart"/>
      <w:r w:rsidRPr="00600514">
        <w:rPr>
          <w:rFonts w:ascii="Arial" w:hAnsi="Arial" w:cs="Arial"/>
          <w:color w:val="222222"/>
          <w:sz w:val="22"/>
          <w:szCs w:val="22"/>
        </w:rPr>
        <w:t>Facts</w:t>
      </w:r>
      <w:proofErr w:type="spellEnd"/>
      <w:r w:rsidRPr="00600514">
        <w:rPr>
          <w:rFonts w:ascii="Arial" w:hAnsi="Arial" w:cs="Arial"/>
          <w:color w:val="222222"/>
          <w:sz w:val="22"/>
          <w:szCs w:val="22"/>
        </w:rPr>
        <w:t xml:space="preserve"> y USDA </w:t>
      </w:r>
      <w:proofErr w:type="spellStart"/>
      <w:r w:rsidRPr="00600514">
        <w:rPr>
          <w:rFonts w:ascii="Arial" w:hAnsi="Arial" w:cs="Arial"/>
          <w:color w:val="222222"/>
          <w:sz w:val="22"/>
          <w:szCs w:val="22"/>
        </w:rPr>
        <w:t>FoodData</w:t>
      </w:r>
      <w:proofErr w:type="spellEnd"/>
      <w:r w:rsidRPr="00600514">
        <w:rPr>
          <w:rFonts w:ascii="Arial" w:hAnsi="Arial" w:cs="Arial"/>
          <w:color w:val="222222"/>
          <w:sz w:val="22"/>
          <w:szCs w:val="22"/>
        </w:rPr>
        <w:t xml:space="preserve"> Central para los cultivos de la región, y (3) construir el MVP de las etapas 1 a 3 para validarlo con 2 a 3 cooperativas reales antes de sumar las etapas de formulación y verificación regulatoria.</w:t>
      </w:r>
    </w:p>
    <w:p w14:paraId="110CFF45" w14:textId="4E6F8058" w:rsidR="00D3619D" w:rsidRPr="00D3619D" w:rsidRDefault="00D3619D" w:rsidP="00600514">
      <w:pPr>
        <w:spacing w:after="160" w:line="276" w:lineRule="auto"/>
        <w:jc w:val="both"/>
        <w:rPr>
          <w:rFonts w:ascii="Arial" w:hAnsi="Arial" w:cs="Arial"/>
          <w:color w:val="222222"/>
          <w:sz w:val="22"/>
          <w:szCs w:val="22"/>
        </w:rPr>
      </w:pPr>
      <w:r w:rsidRPr="00D3619D">
        <w:rPr>
          <w:rFonts w:ascii="Arial" w:hAnsi="Arial" w:cs="Arial"/>
          <w:color w:val="222222"/>
          <w:sz w:val="22"/>
          <w:szCs w:val="22"/>
        </w:rPr>
        <w:lastRenderedPageBreak/>
        <w:t>El aporte real de la IA en este ejemplo no está en "encontrar" los datos —eso es búsqueda simple— sino en leer mucha información dispersa y convertirla en una recomendación clara y accionable que antes solo un especialista podía armar, y que le tomaría bastante tiempo hacer manualmente. Si tú le hubieras dado esos mismos 5 estudios científicos a alguien del CITE, probablemente les tomaría un día armar el mismo resumen que la plataforma entrega en segundos. Ese ahorro de tiempo de síntesis experta es el valor real — no es magia, es velocidad y escala.</w:t>
      </w:r>
    </w:p>
    <w:sectPr w:rsidR="00D3619D" w:rsidRPr="00D3619D">
      <w:headerReference w:type="default" r:id="rId10"/>
      <w:footerReference w:type="default" r:id="rId11"/>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4B85E" w14:textId="77777777" w:rsidR="00352D7B" w:rsidRDefault="00352D7B">
      <w:r>
        <w:separator/>
      </w:r>
    </w:p>
  </w:endnote>
  <w:endnote w:type="continuationSeparator" w:id="0">
    <w:p w14:paraId="4B2BAF81" w14:textId="77777777" w:rsidR="00352D7B" w:rsidRDefault="00352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5DDAE" w14:textId="77777777" w:rsidR="00B22691" w:rsidRDefault="00352D7B">
    <w:pPr>
      <w:jc w:val="center"/>
    </w:pPr>
    <w:r>
      <w:rPr>
        <w:color w:val="5A5A5A"/>
        <w:sz w:val="16"/>
        <w:szCs w:val="16"/>
      </w:rPr>
      <w:t xml:space="preserve">Página </w:t>
    </w:r>
    <w:r>
      <w:rPr>
        <w:color w:val="5A5A5A"/>
        <w:sz w:val="16"/>
        <w:szCs w:val="16"/>
      </w:rPr>
      <w:fldChar w:fldCharType="begin"/>
    </w:r>
    <w:r>
      <w:rPr>
        <w:color w:val="5A5A5A"/>
        <w:sz w:val="16"/>
        <w:szCs w:val="16"/>
      </w:rPr>
      <w:instrText>PAGE</w:instrText>
    </w:r>
    <w:r>
      <w:rPr>
        <w:color w:val="5A5A5A"/>
        <w:sz w:val="16"/>
        <w:szCs w:val="16"/>
      </w:rPr>
      <w:fldChar w:fldCharType="separate"/>
    </w:r>
    <w:r w:rsidR="00600514">
      <w:rPr>
        <w:noProof/>
        <w:color w:val="5A5A5A"/>
        <w:sz w:val="16"/>
        <w:szCs w:val="16"/>
      </w:rPr>
      <w:t>1</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0F43E" w14:textId="77777777" w:rsidR="00352D7B" w:rsidRDefault="00352D7B">
      <w:r>
        <w:separator/>
      </w:r>
    </w:p>
  </w:footnote>
  <w:footnote w:type="continuationSeparator" w:id="0">
    <w:p w14:paraId="71E04B56" w14:textId="77777777" w:rsidR="00352D7B" w:rsidRDefault="00352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92D8E" w14:textId="77777777" w:rsidR="00B22691" w:rsidRDefault="00352D7B">
    <w:pPr>
      <w:pBdr>
        <w:bottom w:val="single" w:sz="4" w:space="4" w:color="CCCCCC"/>
      </w:pBdr>
      <w:jc w:val="right"/>
    </w:pPr>
    <w:proofErr w:type="spellStart"/>
    <w:r>
      <w:rPr>
        <w:color w:val="5A5A5A"/>
        <w:sz w:val="16"/>
        <w:szCs w:val="16"/>
      </w:rPr>
      <w:t>AgroScout</w:t>
    </w:r>
    <w:proofErr w:type="spellEnd"/>
    <w:r>
      <w:rPr>
        <w:color w:val="5A5A5A"/>
        <w:sz w:val="16"/>
        <w:szCs w:val="16"/>
      </w:rPr>
      <w:t xml:space="preserve"> IA Lite — Propuesta de Plataforma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B5DFF"/>
    <w:multiLevelType w:val="hybridMultilevel"/>
    <w:tmpl w:val="AC2A5A72"/>
    <w:lvl w:ilvl="0" w:tplc="43964EBC">
      <w:start w:val="1"/>
      <w:numFmt w:val="bullet"/>
      <w:lvlText w:val="●"/>
      <w:lvlJc w:val="left"/>
      <w:pPr>
        <w:ind w:left="720" w:hanging="360"/>
      </w:pPr>
    </w:lvl>
    <w:lvl w:ilvl="1" w:tplc="F692CF58">
      <w:start w:val="1"/>
      <w:numFmt w:val="bullet"/>
      <w:lvlText w:val="○"/>
      <w:lvlJc w:val="left"/>
      <w:pPr>
        <w:ind w:left="1440" w:hanging="360"/>
      </w:pPr>
    </w:lvl>
    <w:lvl w:ilvl="2" w:tplc="EE720C62">
      <w:start w:val="1"/>
      <w:numFmt w:val="bullet"/>
      <w:lvlText w:val="■"/>
      <w:lvlJc w:val="left"/>
      <w:pPr>
        <w:ind w:left="2160" w:hanging="360"/>
      </w:pPr>
    </w:lvl>
    <w:lvl w:ilvl="3" w:tplc="7B60A62C">
      <w:start w:val="1"/>
      <w:numFmt w:val="bullet"/>
      <w:lvlText w:val="●"/>
      <w:lvlJc w:val="left"/>
      <w:pPr>
        <w:ind w:left="2880" w:hanging="360"/>
      </w:pPr>
    </w:lvl>
    <w:lvl w:ilvl="4" w:tplc="77DEF6C4">
      <w:start w:val="1"/>
      <w:numFmt w:val="bullet"/>
      <w:lvlText w:val="○"/>
      <w:lvlJc w:val="left"/>
      <w:pPr>
        <w:ind w:left="3600" w:hanging="360"/>
      </w:pPr>
    </w:lvl>
    <w:lvl w:ilvl="5" w:tplc="859E7E68">
      <w:start w:val="1"/>
      <w:numFmt w:val="bullet"/>
      <w:lvlText w:val="■"/>
      <w:lvlJc w:val="left"/>
      <w:pPr>
        <w:ind w:left="4320" w:hanging="360"/>
      </w:pPr>
    </w:lvl>
    <w:lvl w:ilvl="6" w:tplc="DF6231DE">
      <w:start w:val="1"/>
      <w:numFmt w:val="bullet"/>
      <w:lvlText w:val="●"/>
      <w:lvlJc w:val="left"/>
      <w:pPr>
        <w:ind w:left="5040" w:hanging="360"/>
      </w:pPr>
    </w:lvl>
    <w:lvl w:ilvl="7" w:tplc="7EDC4E56">
      <w:start w:val="1"/>
      <w:numFmt w:val="bullet"/>
      <w:lvlText w:val="●"/>
      <w:lvlJc w:val="left"/>
      <w:pPr>
        <w:ind w:left="5760" w:hanging="360"/>
      </w:pPr>
    </w:lvl>
    <w:lvl w:ilvl="8" w:tplc="A1FE0404">
      <w:start w:val="1"/>
      <w:numFmt w:val="bullet"/>
      <w:lvlText w:val="●"/>
      <w:lvlJc w:val="left"/>
      <w:pPr>
        <w:ind w:left="6480" w:hanging="360"/>
      </w:pPr>
    </w:lvl>
  </w:abstractNum>
  <w:abstractNum w:abstractNumId="1" w15:restartNumberingAfterBreak="0">
    <w:nsid w:val="33130B48"/>
    <w:multiLevelType w:val="hybridMultilevel"/>
    <w:tmpl w:val="FAA4277E"/>
    <w:lvl w:ilvl="0" w:tplc="762E35F0">
      <w:start w:val="1"/>
      <w:numFmt w:val="bullet"/>
      <w:lvlText w:val="•"/>
      <w:lvlJc w:val="left"/>
      <w:pPr>
        <w:ind w:left="431" w:hanging="259"/>
      </w:pPr>
    </w:lvl>
    <w:lvl w:ilvl="1" w:tplc="B18820F2">
      <w:numFmt w:val="decimal"/>
      <w:lvlText w:val=""/>
      <w:lvlJc w:val="left"/>
    </w:lvl>
    <w:lvl w:ilvl="2" w:tplc="48EE4C46">
      <w:numFmt w:val="decimal"/>
      <w:lvlText w:val=""/>
      <w:lvlJc w:val="left"/>
    </w:lvl>
    <w:lvl w:ilvl="3" w:tplc="AE7A330C">
      <w:numFmt w:val="decimal"/>
      <w:lvlText w:val=""/>
      <w:lvlJc w:val="left"/>
    </w:lvl>
    <w:lvl w:ilvl="4" w:tplc="9C1ECB52">
      <w:numFmt w:val="decimal"/>
      <w:lvlText w:val=""/>
      <w:lvlJc w:val="left"/>
    </w:lvl>
    <w:lvl w:ilvl="5" w:tplc="C888A4DE">
      <w:numFmt w:val="decimal"/>
      <w:lvlText w:val=""/>
      <w:lvlJc w:val="left"/>
    </w:lvl>
    <w:lvl w:ilvl="6" w:tplc="4812548A">
      <w:numFmt w:val="decimal"/>
      <w:lvlText w:val=""/>
      <w:lvlJc w:val="left"/>
    </w:lvl>
    <w:lvl w:ilvl="7" w:tplc="C4E2AA44">
      <w:numFmt w:val="decimal"/>
      <w:lvlText w:val=""/>
      <w:lvlJc w:val="left"/>
    </w:lvl>
    <w:lvl w:ilvl="8" w:tplc="8EB64BEC">
      <w:numFmt w:val="decimal"/>
      <w:lvlText w:val=""/>
      <w:lvlJc w:val="left"/>
    </w:lvl>
  </w:abstractNum>
  <w:num w:numId="1" w16cid:durableId="495614745">
    <w:abstractNumId w:val="0"/>
    <w:lvlOverride w:ilvl="0">
      <w:startOverride w:val="1"/>
    </w:lvlOverride>
  </w:num>
  <w:num w:numId="2" w16cid:durableId="10014224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691"/>
    <w:rsid w:val="00187C7C"/>
    <w:rsid w:val="002D6935"/>
    <w:rsid w:val="00352D7B"/>
    <w:rsid w:val="00600514"/>
    <w:rsid w:val="00B22691"/>
    <w:rsid w:val="00D3619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C1668"/>
  <w15:docId w15:val="{8B2DA9AA-011C-402D-9150-23B403ABA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6005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ublicapi.dev/open-food-facts-api"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s.openfoodfacts.org/dat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upport.openfoodfacts.org/help/es-es/12-api-y-reutilizacion-de-datos/88-como-puedo-acceder-a-los-datos-para-mis-proyect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2394</Words>
  <Characters>13173</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Mario Bazan</cp:lastModifiedBy>
  <cp:revision>2</cp:revision>
  <dcterms:created xsi:type="dcterms:W3CDTF">2026-07-13T00:43:00Z</dcterms:created>
  <dcterms:modified xsi:type="dcterms:W3CDTF">2026-07-13T00:43:00Z</dcterms:modified>
</cp:coreProperties>
</file>