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0B2545"/>
          <w:sz w:val="50"/>
        </w:rPr>
        <w:t>RetailPulse Complete Dashboard Integration Book</w:t>
      </w:r>
    </w:p>
    <w:p>
      <w:r>
        <w:rPr>
          <w:rFonts w:ascii="Calibri" w:hAnsi="Calibri"/>
          <w:b w:val="0"/>
          <w:i w:val="0"/>
          <w:color w:val="555555"/>
          <w:sz w:val="24"/>
        </w:rPr>
        <w:t>Architecture, module integration, testing proof, screenshots, challenges, fixes, and final readiness</w:t>
      </w:r>
    </w:p>
    <w:p>
      <w:r>
        <w:rPr>
          <w:rFonts w:ascii="Calibri" w:hAnsi="Calibri"/>
          <w:b w:val="0"/>
          <w:i w:val="0"/>
          <w:color w:val="555555"/>
          <w:sz w:val="20"/>
        </w:rPr>
        <w:t>Prepared by: Rashad Roushan | Platform Integration and Dashboard</w:t>
        <w:br/>
        <w:t>Generated: July 03, 2026, 02:44 AM</w:t>
      </w:r>
    </w:p>
    <w:tbl>
      <w:tblPr>
        <w:tblW w:type="auto" w:w="0"/>
        <w:jc w:val="center"/>
        <w:tblLook w:firstColumn="1" w:firstRow="1" w:lastColumn="0" w:lastRow="0" w:noHBand="0" w:noVBand="1" w:val="04A0"/>
      </w:tblPr>
      <w:tblGrid>
        <w:gridCol w:w="9360"/>
      </w:tblGrid>
      <w:tr>
        <w:tc>
          <w:tcPr>
            <w:tcW w:type="dxa" w:w="9360"/>
            <w:tcMar>
              <w:top w:w="140" w:type="dxa"/>
              <w:start w:w="180" w:type="dxa"/>
              <w:bottom w:w="140" w:type="dxa"/>
              <w:end w:w="180" w:type="dxa"/>
            </w:tcMar>
            <w:shd w:fill="E8EEF5"/>
          </w:tcPr>
          <w:p>
            <w:r>
              <w:rPr>
                <w:rFonts w:ascii="Calibri" w:hAnsi="Calibri"/>
                <w:b/>
                <w:i w:val="0"/>
                <w:color w:val="1F4D78"/>
              </w:rPr>
              <w:t>Purpose of this book</w:t>
            </w:r>
          </w:p>
          <w:p>
            <w:r>
              <w:rPr>
                <w:rFonts w:ascii="Calibri" w:hAnsi="Calibri"/>
                <w:b w:val="0"/>
                <w:i w:val="0"/>
              </w:rPr>
              <w:t>I prepared this document as the complete proof book for my RetailPulse dashboard work. It explains how the dashboard was built, how each teammate's module output is connected, how the interface works, what was tested, what proof was captured, what problems we faced, and what fixes were applied. It is written from my perspective as Rashad Roushan, responsible for platform integration and dashboard delivery.</w:t>
            </w:r>
          </w:p>
        </w:tc>
      </w:tr>
    </w:tbl>
    <w:p/>
    <w:p>
      <w:pPr>
        <w:pStyle w:val="Heading1"/>
      </w:pPr>
      <w:r>
        <w:t>1. Executive Summary</w:t>
      </w:r>
    </w:p>
    <w:p>
      <w:r>
        <w:rPr>
          <w:rFonts w:ascii="Calibri" w:hAnsi="Calibri"/>
          <w:b w:val="0"/>
          <w:i w:val="0"/>
        </w:rPr>
        <w:t>RetailPulse is now functioning as an integrated retail intelligence dashboard. The React/Vite dashboard reads module output files from dashboard/public/data, transforms them into analytics state, and renders the project modules as an executive interface. The dashboard includes customer intelligence, churn prediction, demand forecasting, inventory optimization, analytics/reporting, media stories, and settings.</w:t>
      </w:r>
    </w:p>
    <w:p>
      <w:r>
        <w:rPr>
          <w:rFonts w:ascii="Calibri" w:hAnsi="Calibri"/>
          <w:b w:val="0"/>
          <w:i w:val="0"/>
        </w:rPr>
        <w:t>The strongest proof is not just that the UI opens. The dashboard-specific data contract check passes for every public data file used by the application, the production frontend build passes, the local preview returns HTTP 200, browser walkthrough screenshots were captured for all major pages, Remotion Play Data stories were verified for Churn Prediction and Demand Forecasting, and the Python test suite now passes after schema/date normalization.</w:t>
      </w:r>
    </w:p>
    <w:tbl>
      <w:tblPr>
        <w:tblStyle w:val="TableGrid"/>
        <w:tblW w:type="auto" w:w="0"/>
        <w:jc w:val="center"/>
        <w:tblLook w:firstColumn="1" w:firstRow="1" w:lastColumn="0" w:lastRow="0" w:noHBand="0" w:noVBand="1" w:val="04A0"/>
      </w:tblPr>
      <w:tblGrid>
        <w:gridCol w:w="3120"/>
        <w:gridCol w:w="3120"/>
        <w:gridCol w:w="3120"/>
      </w:tblGrid>
      <w:tr>
        <w:tc>
          <w:tcPr>
            <w:tcW w:type="dxa" w:w="2800"/>
            <w:tcMar>
              <w:top w:w="80" w:type="dxa"/>
              <w:start w:w="120" w:type="dxa"/>
              <w:bottom w:w="80" w:type="dxa"/>
              <w:end w:w="120" w:type="dxa"/>
            </w:tcMar>
            <w:shd w:fill="F2F4F7"/>
            <w:vAlign w:val="center"/>
          </w:tcPr>
          <w:p>
            <w:pPr>
              <w:jc w:val="center"/>
            </w:pPr>
            <w:r>
              <w:rPr>
                <w:rFonts w:ascii="Calibri" w:hAnsi="Calibri"/>
                <w:b/>
                <w:i w:val="0"/>
                <w:color w:val="1F4D78"/>
                <w:sz w:val="19"/>
              </w:rPr>
              <w:t>Proof area</w:t>
            </w:r>
          </w:p>
        </w:tc>
        <w:tc>
          <w:tcPr>
            <w:tcW w:type="dxa" w:w="1800"/>
            <w:tcMar>
              <w:top w:w="80" w:type="dxa"/>
              <w:start w:w="120" w:type="dxa"/>
              <w:bottom w:w="80" w:type="dxa"/>
              <w:end w:w="120" w:type="dxa"/>
            </w:tcMar>
            <w:shd w:fill="F2F4F7"/>
            <w:vAlign w:val="center"/>
          </w:tcPr>
          <w:p>
            <w:pPr>
              <w:jc w:val="center"/>
            </w:pPr>
            <w:r>
              <w:rPr>
                <w:rFonts w:ascii="Calibri" w:hAnsi="Calibri"/>
                <w:b/>
                <w:i w:val="0"/>
                <w:color w:val="1F4D78"/>
                <w:sz w:val="19"/>
              </w:rPr>
              <w:t>Result</w:t>
            </w:r>
          </w:p>
        </w:tc>
        <w:tc>
          <w:tcPr>
            <w:tcW w:type="dxa" w:w="4760"/>
            <w:tcMar>
              <w:top w:w="80" w:type="dxa"/>
              <w:start w:w="120" w:type="dxa"/>
              <w:bottom w:w="80" w:type="dxa"/>
              <w:end w:w="120" w:type="dxa"/>
            </w:tcMar>
            <w:shd w:fill="F2F4F7"/>
            <w:vAlign w:val="center"/>
          </w:tcPr>
          <w:p>
            <w:pPr>
              <w:jc w:val="center"/>
            </w:pPr>
            <w:r>
              <w:rPr>
                <w:rFonts w:ascii="Calibri" w:hAnsi="Calibri"/>
                <w:b/>
                <w:i w:val="0"/>
                <w:color w:val="1F4D78"/>
                <w:sz w:val="19"/>
              </w:rPr>
              <w:t>Meaning</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Dashboard production build</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TypeScript and Vite compile the dashboard successfully.</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Live preview</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http://127.0.0.1:4173/ responds with HTTP 200 and loads RetailPulse.</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Dashboard data contract</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Revenue, demand, SKU, forecast, churn, inventory, and feature files required by the dashboard are present with required columns.</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Browser walkthrough</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Overview, Segmentation, Churn, Forecasting, Inventory, Reports, Media Studio, Settings, and mobile layout screenshots captured.</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Remotion stories</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Churn and Forecast Play Data stories open and render unique visuals.</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Python source compile</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src/ and tests/ Python files compile.</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Pytest suite</w:t>
            </w:r>
          </w:p>
        </w:tc>
        <w:tc>
          <w:tcPr>
            <w:tcW w:type="dxa" w:w="1800"/>
            <w:tcMar>
              <w:top w:w="80" w:type="dxa"/>
              <w:start w:w="120" w:type="dxa"/>
              <w:bottom w:w="80" w:type="dxa"/>
              <w:end w:w="120" w:type="dxa"/>
            </w:tcMar>
            <w:vAlign w:val="center"/>
          </w:tcPr>
          <w:p>
            <w:pPr>
              <w:jc w:val="center"/>
            </w:pPr>
            <w:r>
              <w:rPr>
                <w:rFonts w:ascii="Calibri" w:hAnsi="Calibri"/>
                <w:b w:val="0"/>
                <w:i w:val="0"/>
                <w:sz w:val="18"/>
              </w:rPr>
              <w:t>Passed</w:t>
            </w:r>
          </w:p>
        </w:tc>
        <w:tc>
          <w:tcPr>
            <w:tcW w:type="dxa" w:w="4760"/>
            <w:tcMar>
              <w:top w:w="80" w:type="dxa"/>
              <w:start w:w="120" w:type="dxa"/>
              <w:bottom w:w="80" w:type="dxa"/>
              <w:end w:w="120" w:type="dxa"/>
            </w:tcMar>
            <w:vAlign w:val="center"/>
          </w:tcPr>
          <w:p>
            <w:pPr>
              <w:jc w:val="left"/>
            </w:pPr>
            <w:r>
              <w:rPr>
                <w:rFonts w:ascii="Calibri" w:hAnsi="Calibri"/>
                <w:b w:val="0"/>
                <w:i w:val="0"/>
                <w:sz w:val="18"/>
              </w:rPr>
              <w:t>20 tests passed after fixing schema references and normalizing Excel serial dates.</w:t>
            </w:r>
          </w:p>
        </w:tc>
      </w:tr>
    </w:tbl>
    <w:p/>
    <w:p>
      <w:pPr>
        <w:pStyle w:val="Heading1"/>
      </w:pPr>
      <w:r>
        <w:t>2. My Role and Team Integration</w:t>
      </w:r>
    </w:p>
    <w:p>
      <w:r>
        <w:rPr>
          <w:rFonts w:ascii="Calibri" w:hAnsi="Calibri"/>
          <w:b w:val="0"/>
          <w:i w:val="0"/>
        </w:rPr>
        <w:t>My role is Platform Integration and Dashboard. I am responsible for bringing together the work from the data pipeline, machine learning outputs, inventory recommendations, churn predictions, and forecasting outputs into one working dashboard that can be presented and reviewed.</w:t>
      </w:r>
    </w:p>
    <w:tbl>
      <w:tblPr>
        <w:tblStyle w:val="TableGrid"/>
        <w:tblW w:type="auto" w:w="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shd w:fill="F2F4F7"/>
            <w:vAlign w:val="center"/>
          </w:tcPr>
          <w:p>
            <w:pPr>
              <w:jc w:val="center"/>
            </w:pPr>
            <w:r>
              <w:rPr>
                <w:rFonts w:ascii="Calibri" w:hAnsi="Calibri"/>
                <w:b/>
                <w:i w:val="0"/>
                <w:color w:val="1F4D78"/>
                <w:sz w:val="19"/>
              </w:rPr>
              <w:t>Team member</w:t>
            </w:r>
          </w:p>
        </w:tc>
        <w:tc>
          <w:tcPr>
            <w:tcW w:type="dxa" w:w="3700"/>
            <w:tcMar>
              <w:top w:w="80" w:type="dxa"/>
              <w:start w:w="120" w:type="dxa"/>
              <w:bottom w:w="80" w:type="dxa"/>
              <w:end w:w="120" w:type="dxa"/>
            </w:tcMar>
            <w:shd w:fill="F2F4F7"/>
            <w:vAlign w:val="center"/>
          </w:tcPr>
          <w:p>
            <w:pPr>
              <w:jc w:val="center"/>
            </w:pPr>
            <w:r>
              <w:rPr>
                <w:rFonts w:ascii="Calibri" w:hAnsi="Calibri"/>
                <w:b/>
                <w:i w:val="0"/>
                <w:color w:val="1F4D78"/>
                <w:sz w:val="19"/>
              </w:rPr>
              <w:t>Contribution</w:t>
            </w:r>
          </w:p>
        </w:tc>
        <w:tc>
          <w:tcPr>
            <w:tcW w:type="dxa" w:w="3860"/>
            <w:tcMar>
              <w:top w:w="80" w:type="dxa"/>
              <w:start w:w="120" w:type="dxa"/>
              <w:bottom w:w="80" w:type="dxa"/>
              <w:end w:w="120" w:type="dxa"/>
            </w:tcMar>
            <w:shd w:fill="F2F4F7"/>
            <w:vAlign w:val="center"/>
          </w:tcPr>
          <w:p>
            <w:pPr>
              <w:jc w:val="center"/>
            </w:pPr>
            <w:r>
              <w:rPr>
                <w:rFonts w:ascii="Calibri" w:hAnsi="Calibri"/>
                <w:b/>
                <w:i w:val="0"/>
                <w:color w:val="1F4D78"/>
                <w:sz w:val="19"/>
              </w:rPr>
              <w:t>How I integrated it</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Rashad Roushan</w:t>
            </w:r>
          </w:p>
        </w:tc>
        <w:tc>
          <w:tcPr>
            <w:tcW w:type="dxa" w:w="3700"/>
            <w:tcMar>
              <w:top w:w="80" w:type="dxa"/>
              <w:start w:w="120" w:type="dxa"/>
              <w:bottom w:w="80" w:type="dxa"/>
              <w:end w:w="120" w:type="dxa"/>
            </w:tcMar>
            <w:vAlign w:val="center"/>
          </w:tcPr>
          <w:p>
            <w:pPr>
              <w:jc w:val="left"/>
            </w:pPr>
            <w:r>
              <w:rPr>
                <w:rFonts w:ascii="Calibri" w:hAnsi="Calibri"/>
                <w:b w:val="0"/>
                <w:i w:val="0"/>
                <w:sz w:val="18"/>
              </w:rPr>
              <w:t>Dashboard, integration layer, visual system, Play Data stories, documentation, testing evidence.</w:t>
            </w:r>
          </w:p>
        </w:tc>
        <w:tc>
          <w:tcPr>
            <w:tcW w:type="dxa" w:w="3860"/>
            <w:tcMar>
              <w:top w:w="80" w:type="dxa"/>
              <w:start w:w="120" w:type="dxa"/>
              <w:bottom w:w="80" w:type="dxa"/>
              <w:end w:w="120" w:type="dxa"/>
            </w:tcMar>
            <w:vAlign w:val="center"/>
          </w:tcPr>
          <w:p>
            <w:pPr>
              <w:jc w:val="left"/>
            </w:pPr>
            <w:r>
              <w:rPr>
                <w:rFonts w:ascii="Calibri" w:hAnsi="Calibri"/>
                <w:b w:val="0"/>
                <w:i w:val="0"/>
                <w:sz w:val="18"/>
              </w:rPr>
              <w:t>Built the React/Vite interface, data loader, module views, Remotion stories, settings, reports, and evidence book.</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Kaviya</w:t>
            </w:r>
          </w:p>
        </w:tc>
        <w:tc>
          <w:tcPr>
            <w:tcW w:type="dxa" w:w="3700"/>
            <w:tcMar>
              <w:top w:w="80" w:type="dxa"/>
              <w:start w:w="120" w:type="dxa"/>
              <w:bottom w:w="80" w:type="dxa"/>
              <w:end w:w="120" w:type="dxa"/>
            </w:tcMar>
            <w:vAlign w:val="center"/>
          </w:tcPr>
          <w:p>
            <w:pPr>
              <w:jc w:val="left"/>
            </w:pPr>
            <w:r>
              <w:rPr>
                <w:rFonts w:ascii="Calibri" w:hAnsi="Calibri"/>
                <w:b w:val="0"/>
                <w:i w:val="0"/>
                <w:sz w:val="18"/>
              </w:rPr>
              <w:t>Data engineering datasets: daily revenue, daily demand, SKU-level inventory forecasting, cleaning summary, customer inventory enrichment.</w:t>
            </w:r>
          </w:p>
        </w:tc>
        <w:tc>
          <w:tcPr>
            <w:tcW w:type="dxa" w:w="3860"/>
            <w:tcMar>
              <w:top w:w="80" w:type="dxa"/>
              <w:start w:w="120" w:type="dxa"/>
              <w:bottom w:w="80" w:type="dxa"/>
              <w:end w:w="120" w:type="dxa"/>
            </w:tcMar>
            <w:vAlign w:val="center"/>
          </w:tcPr>
          <w:p>
            <w:pPr>
              <w:jc w:val="left"/>
            </w:pPr>
            <w:r>
              <w:rPr>
                <w:rFonts w:ascii="Calibri" w:hAnsi="Calibri"/>
                <w:b w:val="0"/>
                <w:i w:val="0"/>
                <w:sz w:val="18"/>
              </w:rPr>
              <w:t>Used dashboard/public/data revenue, demand, and SKU CSVs to drive overview, demand, inventory, product, and chart sections.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Rohinee</w:t>
            </w:r>
          </w:p>
        </w:tc>
        <w:tc>
          <w:tcPr>
            <w:tcW w:type="dxa" w:w="3700"/>
            <w:tcMar>
              <w:top w:w="80" w:type="dxa"/>
              <w:start w:w="120" w:type="dxa"/>
              <w:bottom w:w="80" w:type="dxa"/>
              <w:end w:w="120" w:type="dxa"/>
            </w:tcMar>
            <w:vAlign w:val="center"/>
          </w:tcPr>
          <w:p>
            <w:pPr>
              <w:jc w:val="left"/>
            </w:pPr>
            <w:r>
              <w:rPr>
                <w:rFonts w:ascii="Calibri" w:hAnsi="Calibri"/>
                <w:b w:val="0"/>
                <w:i w:val="0"/>
                <w:sz w:val="18"/>
              </w:rPr>
              <w:t>Data cleaning, feature engineering, cleaned_data.csv, features_data.csv, features_data_sample.csv, feature summary.</w:t>
            </w:r>
          </w:p>
        </w:tc>
        <w:tc>
          <w:tcPr>
            <w:tcW w:type="dxa" w:w="3860"/>
            <w:tcMar>
              <w:top w:w="80" w:type="dxa"/>
              <w:start w:w="120" w:type="dxa"/>
              <w:bottom w:w="80" w:type="dxa"/>
              <w:end w:w="120" w:type="dxa"/>
            </w:tcMar>
            <w:vAlign w:val="center"/>
          </w:tcPr>
          <w:p>
            <w:pPr>
              <w:jc w:val="left"/>
            </w:pPr>
            <w:r>
              <w:rPr>
                <w:rFonts w:ascii="Calibri" w:hAnsi="Calibri"/>
                <w:b w:val="0"/>
                <w:i w:val="0"/>
                <w:sz w:val="18"/>
              </w:rPr>
              <w:t>Used the cleaned data and feature summary/sample approach for customer intelligence and dashboard-safe integration because full features_data.csv is too large for normal GitHub push.</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Sachin</w:t>
            </w:r>
          </w:p>
        </w:tc>
        <w:tc>
          <w:tcPr>
            <w:tcW w:type="dxa" w:w="3700"/>
            <w:tcMar>
              <w:top w:w="80" w:type="dxa"/>
              <w:start w:w="120" w:type="dxa"/>
              <w:bottom w:w="80" w:type="dxa"/>
              <w:end w:w="120" w:type="dxa"/>
            </w:tcMar>
            <w:vAlign w:val="center"/>
          </w:tcPr>
          <w:p>
            <w:pPr>
              <w:jc w:val="left"/>
            </w:pPr>
            <w:r>
              <w:rPr>
                <w:rFonts w:ascii="Calibri" w:hAnsi="Calibri"/>
                <w:b w:val="0"/>
                <w:i w:val="0"/>
                <w:sz w:val="18"/>
              </w:rPr>
              <w:t>Prophet demand forecasting, churn predictions, inventory recommendations, model metrics and limitations.</w:t>
            </w:r>
          </w:p>
        </w:tc>
        <w:tc>
          <w:tcPr>
            <w:tcW w:type="dxa" w:w="3860"/>
            <w:tcMar>
              <w:top w:w="80" w:type="dxa"/>
              <w:start w:w="120" w:type="dxa"/>
              <w:bottom w:w="80" w:type="dxa"/>
              <w:end w:w="120" w:type="dxa"/>
            </w:tcMar>
            <w:vAlign w:val="center"/>
          </w:tcPr>
          <w:p>
            <w:pPr>
              <w:jc w:val="left"/>
            </w:pPr>
            <w:r>
              <w:rPr>
                <w:rFonts w:ascii="Calibri" w:hAnsi="Calibri"/>
                <w:b w:val="0"/>
                <w:i w:val="0"/>
                <w:sz w:val="18"/>
              </w:rPr>
              <w:t>Integrated demand_forecast.csv, churn_predictions.csv, high_risk_customers.csv, and inventory_recommendations.csv into Forecasting, Churn, Inventory, Reports, and Media Studio.</w:t>
            </w:r>
          </w:p>
        </w:tc>
      </w:tr>
    </w:tbl>
    <w:p/>
    <w:p>
      <w:pPr>
        <w:pStyle w:val="Heading1"/>
      </w:pPr>
      <w:r>
        <w:t>3. System Architecture From Scratch</w:t>
      </w:r>
    </w:p>
    <w:p>
      <w:pPr>
        <w:pStyle w:val="ListNumber"/>
      </w:pPr>
      <w:r>
        <w:rPr>
          <w:rFonts w:ascii="Calibri" w:hAnsi="Calibri"/>
          <w:b w:val="0"/>
          <w:i w:val="0"/>
        </w:rPr>
        <w:t>Raw and processed data are produced by teammate modules under data/processed and data/outputs.</w:t>
      </w:r>
    </w:p>
    <w:p>
      <w:pPr>
        <w:pStyle w:val="ListNumber"/>
      </w:pPr>
      <w:r>
        <w:rPr>
          <w:rFonts w:ascii="Calibri" w:hAnsi="Calibri"/>
          <w:b w:val="0"/>
          <w:i w:val="0"/>
        </w:rPr>
        <w:t>Dashboard-safe copies are stored under dashboard/public/data so the browser can fetch them at runtime.</w:t>
      </w:r>
    </w:p>
    <w:p>
      <w:pPr>
        <w:pStyle w:val="ListNumber"/>
      </w:pPr>
      <w:r>
        <w:rPr>
          <w:rFonts w:ascii="Calibri" w:hAnsi="Calibri"/>
          <w:b w:val="0"/>
          <w:i w:val="0"/>
        </w:rPr>
        <w:t>dashboard/src/data/retailpulse-data.ts is the integration adapter. It fetches CSV/JSON files, parses them, validates available data, derives KPIs, builds chart arrays, and returns typed DashboardData.</w:t>
      </w:r>
    </w:p>
    <w:p>
      <w:pPr>
        <w:pStyle w:val="ListNumber"/>
      </w:pPr>
      <w:r>
        <w:rPr>
          <w:rFonts w:ascii="Calibri" w:hAnsi="Calibri"/>
          <w:b w:val="0"/>
          <w:i w:val="0"/>
        </w:rPr>
        <w:t>dashboard/src/App.tsx is the interface shell. It renders navigation, search, hero sections, module pages, cards, filters, tables, settings, and command modal.</w:t>
      </w:r>
    </w:p>
    <w:p>
      <w:pPr>
        <w:pStyle w:val="ListNumber"/>
      </w:pPr>
      <w:r>
        <w:rPr>
          <w:rFonts w:ascii="Calibri" w:hAnsi="Calibri"/>
          <w:b w:val="0"/>
          <w:i w:val="0"/>
        </w:rPr>
        <w:t>dashboard/src/chart-animations.tsx powers Remotion Player videos for panel-level Play Data stories and module-level media stories.</w:t>
      </w:r>
    </w:p>
    <w:p>
      <w:pPr>
        <w:pStyle w:val="ListNumber"/>
      </w:pPr>
      <w:r>
        <w:rPr>
          <w:rFonts w:ascii="Calibri" w:hAnsi="Calibri"/>
          <w:b w:val="0"/>
          <w:i w:val="0"/>
        </w:rPr>
        <w:t>dashboard/src/App.css and component files define the final glassmorphism/dark luxury visual system, responsive layout, and motion states.</w:t>
      </w:r>
    </w:p>
    <w:p>
      <w:pPr>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proof_source_binding.png"/>
                    <pic:cNvPicPr/>
                  </pic:nvPicPr>
                  <pic:blipFill>
                    <a:blip r:embed="rId10"/>
                    <a:stretch>
                      <a:fillRect/>
                    </a:stretch>
                  </pic:blipFill>
                  <pic:spPr>
                    <a:xfrm>
                      <a:off x="0" y="0"/>
                      <a:ext cx="5715000" cy="3571875"/>
                    </a:xfrm>
                    <a:prstGeom prst="rect"/>
                  </pic:spPr>
                </pic:pic>
              </a:graphicData>
            </a:graphic>
          </wp:inline>
        </w:drawing>
      </w:r>
    </w:p>
    <w:p>
      <w:pPr>
        <w:jc w:val="center"/>
      </w:pPr>
      <w:r>
        <w:rPr>
          <w:rFonts w:ascii="Calibri" w:hAnsi="Calibri"/>
          <w:b w:val="0"/>
          <w:i/>
          <w:color w:val="555555"/>
          <w:sz w:val="18"/>
        </w:rPr>
        <w:t>Proof A. Source binding evidence showing runtime CSV/JSON fetches from the dashboard integration adapter.</w:t>
      </w:r>
    </w:p>
    <w:p>
      <w:pPr>
        <w:pStyle w:val="Heading1"/>
      </w:pPr>
      <w:r>
        <w:t>4. Module-by-Module Integration Evidence</w:t>
      </w:r>
    </w:p>
    <w:p>
      <w:r>
        <w:rPr>
          <w:rFonts w:ascii="Calibri" w:hAnsi="Calibri"/>
          <w:b w:val="0"/>
          <w:i w:val="0"/>
        </w:rPr>
        <w:t>This section documents exactly what each dashboard module proves and which teammate outputs it depends on.</w:t>
      </w:r>
    </w:p>
    <w:tbl>
      <w:tblPr>
        <w:tblStyle w:val="TableGrid"/>
        <w:tblW w:type="auto" w:w="0"/>
        <w:jc w:val="center"/>
        <w:tblLook w:firstColumn="1" w:firstRow="1" w:lastColumn="0" w:lastRow="0" w:noHBand="0" w:noVBand="1" w:val="04A0"/>
      </w:tblPr>
      <w:tblGrid>
        <w:gridCol w:w="3120"/>
        <w:gridCol w:w="3120"/>
        <w:gridCol w:w="3120"/>
      </w:tblGrid>
      <w:tr>
        <w:tc>
          <w:tcPr>
            <w:tcW w:type="dxa" w:w="2200"/>
            <w:tcMar>
              <w:top w:w="80" w:type="dxa"/>
              <w:start w:w="120" w:type="dxa"/>
              <w:bottom w:w="80" w:type="dxa"/>
              <w:end w:w="120" w:type="dxa"/>
            </w:tcMar>
            <w:shd w:fill="F2F4F7"/>
            <w:vAlign w:val="center"/>
          </w:tcPr>
          <w:p>
            <w:pPr>
              <w:jc w:val="center"/>
            </w:pPr>
            <w:r>
              <w:rPr>
                <w:rFonts w:ascii="Calibri" w:hAnsi="Calibri"/>
                <w:b/>
                <w:i w:val="0"/>
                <w:color w:val="1F4D78"/>
                <w:sz w:val="19"/>
              </w:rPr>
              <w:t>Dashboard module</w:t>
            </w:r>
          </w:p>
        </w:tc>
        <w:tc>
          <w:tcPr>
            <w:tcW w:type="dxa" w:w="3800"/>
            <w:tcMar>
              <w:top w:w="80" w:type="dxa"/>
              <w:start w:w="120" w:type="dxa"/>
              <w:bottom w:w="80" w:type="dxa"/>
              <w:end w:w="120" w:type="dxa"/>
            </w:tcMar>
            <w:shd w:fill="F2F4F7"/>
            <w:vAlign w:val="center"/>
          </w:tcPr>
          <w:p>
            <w:pPr>
              <w:jc w:val="center"/>
            </w:pPr>
            <w:r>
              <w:rPr>
                <w:rFonts w:ascii="Calibri" w:hAnsi="Calibri"/>
                <w:b/>
                <w:i w:val="0"/>
                <w:color w:val="1F4D78"/>
                <w:sz w:val="19"/>
              </w:rPr>
              <w:t>Integrated files</w:t>
            </w:r>
          </w:p>
        </w:tc>
        <w:tc>
          <w:tcPr>
            <w:tcW w:type="dxa" w:w="3360"/>
            <w:tcMar>
              <w:top w:w="80" w:type="dxa"/>
              <w:start w:w="120" w:type="dxa"/>
              <w:bottom w:w="80" w:type="dxa"/>
              <w:end w:w="120" w:type="dxa"/>
            </w:tcMar>
            <w:shd w:fill="F2F4F7"/>
            <w:vAlign w:val="center"/>
          </w:tcPr>
          <w:p>
            <w:pPr>
              <w:jc w:val="center"/>
            </w:pPr>
            <w:r>
              <w:rPr>
                <w:rFonts w:ascii="Calibri" w:hAnsi="Calibri"/>
                <w:b/>
                <w:i w:val="0"/>
                <w:color w:val="1F4D78"/>
                <w:sz w:val="19"/>
              </w:rPr>
              <w:t>Rendered evidence</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Executive Overview</w:t>
            </w:r>
          </w:p>
        </w:tc>
        <w:tc>
          <w:tcPr>
            <w:tcW w:type="dxa" w:w="3800"/>
            <w:tcMar>
              <w:top w:w="80" w:type="dxa"/>
              <w:start w:w="120" w:type="dxa"/>
              <w:bottom w:w="80" w:type="dxa"/>
              <w:end w:w="120" w:type="dxa"/>
            </w:tcMar>
            <w:vAlign w:val="center"/>
          </w:tcPr>
          <w:p>
            <w:pPr>
              <w:jc w:val="left"/>
            </w:pPr>
            <w:r>
              <w:rPr>
                <w:rFonts w:ascii="Calibri" w:hAnsi="Calibri"/>
                <w:b w:val="0"/>
                <w:i w:val="0"/>
                <w:sz w:val="18"/>
              </w:rPr>
              <w:t>dataset_1_daily_revenue_forecasting.csv, churn_predictions.csv, inventory_recommendations.csv</w:t>
            </w:r>
          </w:p>
        </w:tc>
        <w:tc>
          <w:tcPr>
            <w:tcW w:type="dxa" w:w="3360"/>
            <w:tcMar>
              <w:top w:w="80" w:type="dxa"/>
              <w:start w:w="120" w:type="dxa"/>
              <w:bottom w:w="80" w:type="dxa"/>
              <w:end w:w="120" w:type="dxa"/>
            </w:tcMar>
            <w:vAlign w:val="center"/>
          </w:tcPr>
          <w:p>
            <w:pPr>
              <w:jc w:val="left"/>
            </w:pPr>
            <w:r>
              <w:rPr>
                <w:rFonts w:ascii="Calibri" w:hAnsi="Calibri"/>
                <w:b w:val="0"/>
                <w:i w:val="0"/>
                <w:sz w:val="18"/>
              </w:rPr>
              <w:t>Revenue, orders, customers, churn index, revenue trend, product/category analysis, activity feed.</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Customer Segmentation</w:t>
            </w:r>
          </w:p>
        </w:tc>
        <w:tc>
          <w:tcPr>
            <w:tcW w:type="dxa" w:w="3800"/>
            <w:tcMar>
              <w:top w:w="80" w:type="dxa"/>
              <w:start w:w="120" w:type="dxa"/>
              <w:bottom w:w="80" w:type="dxa"/>
              <w:end w:w="120" w:type="dxa"/>
            </w:tcMar>
            <w:vAlign w:val="center"/>
          </w:tcPr>
          <w:p>
            <w:pPr>
              <w:jc w:val="left"/>
            </w:pPr>
            <w:r>
              <w:rPr>
                <w:rFonts w:ascii="Calibri" w:hAnsi="Calibri"/>
                <w:b w:val="0"/>
                <w:i w:val="0"/>
                <w:sz w:val="18"/>
              </w:rPr>
              <w:t>features_data_sample.csv, features_summary.json, churn/customer fields</w:t>
            </w:r>
          </w:p>
        </w:tc>
        <w:tc>
          <w:tcPr>
            <w:tcW w:type="dxa" w:w="3360"/>
            <w:tcMar>
              <w:top w:w="80" w:type="dxa"/>
              <w:start w:w="120" w:type="dxa"/>
              <w:bottom w:w="80" w:type="dxa"/>
              <w:end w:w="120" w:type="dxa"/>
            </w:tcMar>
            <w:vAlign w:val="center"/>
          </w:tcPr>
          <w:p>
            <w:pPr>
              <w:jc w:val="left"/>
            </w:pPr>
            <w:r>
              <w:rPr>
                <w:rFonts w:ascii="Calibri" w:hAnsi="Calibri"/>
                <w:b w:val="0"/>
                <w:i w:val="0"/>
                <w:sz w:val="18"/>
              </w:rPr>
              <w:t>RFM/segment controls, CLV ranking, customer playbook, cluster-style views.</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Churn Prediction</w:t>
            </w:r>
          </w:p>
        </w:tc>
        <w:tc>
          <w:tcPr>
            <w:tcW w:type="dxa" w:w="3800"/>
            <w:tcMar>
              <w:top w:w="80" w:type="dxa"/>
              <w:start w:w="120" w:type="dxa"/>
              <w:bottom w:w="80" w:type="dxa"/>
              <w:end w:w="120" w:type="dxa"/>
            </w:tcMar>
            <w:vAlign w:val="center"/>
          </w:tcPr>
          <w:p>
            <w:pPr>
              <w:jc w:val="left"/>
            </w:pPr>
            <w:r>
              <w:rPr>
                <w:rFonts w:ascii="Calibri" w:hAnsi="Calibri"/>
                <w:b w:val="0"/>
                <w:i w:val="0"/>
                <w:sz w:val="18"/>
              </w:rPr>
              <w:t>churn_predictions.csv, high_risk_customers.csv</w:t>
            </w:r>
          </w:p>
        </w:tc>
        <w:tc>
          <w:tcPr>
            <w:tcW w:type="dxa" w:w="3360"/>
            <w:tcMar>
              <w:top w:w="80" w:type="dxa"/>
              <w:start w:w="120" w:type="dxa"/>
              <w:bottom w:w="80" w:type="dxa"/>
              <w:end w:w="120" w:type="dxa"/>
            </w:tcMar>
            <w:vAlign w:val="center"/>
          </w:tcPr>
          <w:p>
            <w:pPr>
              <w:jc w:val="left"/>
            </w:pPr>
            <w:r>
              <w:rPr>
                <w:rFonts w:ascii="Calibri" w:hAnsi="Calibri"/>
                <w:b w:val="0"/>
                <w:i w:val="0"/>
                <w:sz w:val="18"/>
              </w:rPr>
              <w:t>Risk distribution, risk matrix, feature importance, churn timeline, neural model, retention recommendations.</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Demand Forecasting</w:t>
            </w:r>
          </w:p>
        </w:tc>
        <w:tc>
          <w:tcPr>
            <w:tcW w:type="dxa" w:w="3800"/>
            <w:tcMar>
              <w:top w:w="80" w:type="dxa"/>
              <w:start w:w="120" w:type="dxa"/>
              <w:bottom w:w="80" w:type="dxa"/>
              <w:end w:w="120" w:type="dxa"/>
            </w:tcMar>
            <w:vAlign w:val="center"/>
          </w:tcPr>
          <w:p>
            <w:pPr>
              <w:jc w:val="left"/>
            </w:pPr>
            <w:r>
              <w:rPr>
                <w:rFonts w:ascii="Calibri" w:hAnsi="Calibri"/>
                <w:b w:val="0"/>
                <w:i w:val="0"/>
                <w:sz w:val="18"/>
              </w:rPr>
              <w:t>demand_forecast.csv, dataset_2_daily_demand_forecasting.csv</w:t>
            </w:r>
          </w:p>
        </w:tc>
        <w:tc>
          <w:tcPr>
            <w:tcW w:type="dxa" w:w="3360"/>
            <w:tcMar>
              <w:top w:w="80" w:type="dxa"/>
              <w:start w:w="120" w:type="dxa"/>
              <w:bottom w:w="80" w:type="dxa"/>
              <w:end w:w="120" w:type="dxa"/>
            </w:tcMar>
            <w:vAlign w:val="center"/>
          </w:tcPr>
          <w:p>
            <w:pPr>
              <w:jc w:val="left"/>
            </w:pPr>
            <w:r>
              <w:rPr>
                <w:rFonts w:ascii="Calibri" w:hAnsi="Calibri"/>
                <w:b w:val="0"/>
                <w:i w:val="0"/>
                <w:sz w:val="18"/>
              </w:rPr>
              <w:t>Projected demand, forecast confidence, MAPE card, scenario controls, historical + forecast chart, forecast table.</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Inventory Optimization</w:t>
            </w:r>
          </w:p>
        </w:tc>
        <w:tc>
          <w:tcPr>
            <w:tcW w:type="dxa" w:w="3800"/>
            <w:tcMar>
              <w:top w:w="80" w:type="dxa"/>
              <w:start w:w="120" w:type="dxa"/>
              <w:bottom w:w="80" w:type="dxa"/>
              <w:end w:w="120" w:type="dxa"/>
            </w:tcMar>
            <w:vAlign w:val="center"/>
          </w:tcPr>
          <w:p>
            <w:pPr>
              <w:jc w:val="left"/>
            </w:pPr>
            <w:r>
              <w:rPr>
                <w:rFonts w:ascii="Calibri" w:hAnsi="Calibri"/>
                <w:b w:val="0"/>
                <w:i w:val="0"/>
                <w:sz w:val="18"/>
              </w:rPr>
              <w:t>inventory_recommendations.csv, SKU inventory dataset</w:t>
            </w:r>
          </w:p>
        </w:tc>
        <w:tc>
          <w:tcPr>
            <w:tcW w:type="dxa" w:w="3360"/>
            <w:tcMar>
              <w:top w:w="80" w:type="dxa"/>
              <w:start w:w="120" w:type="dxa"/>
              <w:bottom w:w="80" w:type="dxa"/>
              <w:end w:w="120" w:type="dxa"/>
            </w:tcMar>
            <w:vAlign w:val="center"/>
          </w:tcPr>
          <w:p>
            <w:pPr>
              <w:jc w:val="left"/>
            </w:pPr>
            <w:r>
              <w:rPr>
                <w:rFonts w:ascii="Calibri" w:hAnsi="Calibri"/>
                <w:b w:val="0"/>
                <w:i w:val="0"/>
                <w:sz w:val="18"/>
              </w:rPr>
              <w:t>Inventory health, critical stock, understock, overstock, stock alerts, reorder plan.</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Analytics &amp; Reports</w:t>
            </w:r>
          </w:p>
        </w:tc>
        <w:tc>
          <w:tcPr>
            <w:tcW w:type="dxa" w:w="3800"/>
            <w:tcMar>
              <w:top w:w="80" w:type="dxa"/>
              <w:start w:w="120" w:type="dxa"/>
              <w:bottom w:w="80" w:type="dxa"/>
              <w:end w:w="120" w:type="dxa"/>
            </w:tcMar>
            <w:vAlign w:val="center"/>
          </w:tcPr>
          <w:p>
            <w:pPr>
              <w:jc w:val="center"/>
            </w:pPr>
            <w:r>
              <w:rPr>
                <w:rFonts w:ascii="Calibri" w:hAnsi="Calibri"/>
                <w:b w:val="0"/>
                <w:i w:val="0"/>
                <w:sz w:val="18"/>
              </w:rPr>
              <w:t>All integrated datasets</w:t>
            </w:r>
          </w:p>
        </w:tc>
        <w:tc>
          <w:tcPr>
            <w:tcW w:type="dxa" w:w="3360"/>
            <w:tcMar>
              <w:top w:w="80" w:type="dxa"/>
              <w:start w:w="120" w:type="dxa"/>
              <w:bottom w:w="80" w:type="dxa"/>
              <w:end w:w="120" w:type="dxa"/>
            </w:tcMar>
            <w:vAlign w:val="center"/>
          </w:tcPr>
          <w:p>
            <w:pPr>
              <w:jc w:val="left"/>
            </w:pPr>
            <w:r>
              <w:rPr>
                <w:rFonts w:ascii="Calibri" w:hAnsi="Calibri"/>
                <w:b w:val="0"/>
                <w:i w:val="0"/>
                <w:sz w:val="18"/>
              </w:rPr>
              <w:t>Customer, sales, churn, forecast, and inventory report previews.</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Media Studio</w:t>
            </w:r>
          </w:p>
        </w:tc>
        <w:tc>
          <w:tcPr>
            <w:tcW w:type="dxa" w:w="3800"/>
            <w:tcMar>
              <w:top w:w="80" w:type="dxa"/>
              <w:start w:w="120" w:type="dxa"/>
              <w:bottom w:w="80" w:type="dxa"/>
              <w:end w:w="120" w:type="dxa"/>
            </w:tcMar>
            <w:vAlign w:val="center"/>
          </w:tcPr>
          <w:p>
            <w:pPr>
              <w:jc w:val="left"/>
            </w:pPr>
            <w:r>
              <w:rPr>
                <w:rFonts w:ascii="Calibri" w:hAnsi="Calibri"/>
                <w:b w:val="0"/>
                <w:i w:val="0"/>
                <w:sz w:val="18"/>
              </w:rPr>
              <w:t>DashboardData transformed into Remotion props</w:t>
            </w:r>
          </w:p>
        </w:tc>
        <w:tc>
          <w:tcPr>
            <w:tcW w:type="dxa" w:w="3360"/>
            <w:tcMar>
              <w:top w:w="80" w:type="dxa"/>
              <w:start w:w="120" w:type="dxa"/>
              <w:bottom w:w="80" w:type="dxa"/>
              <w:end w:w="120" w:type="dxa"/>
            </w:tcMar>
            <w:vAlign w:val="center"/>
          </w:tcPr>
          <w:p>
            <w:pPr>
              <w:jc w:val="left"/>
            </w:pPr>
            <w:r>
              <w:rPr>
                <w:rFonts w:ascii="Calibri" w:hAnsi="Calibri"/>
                <w:b w:val="0"/>
                <w:i w:val="0"/>
                <w:sz w:val="18"/>
              </w:rPr>
              <w:t>Video stories for customer segments, churn intelligence, demand forecast, inventory command, and reports.</w:t>
            </w:r>
          </w:p>
        </w:tc>
      </w:tr>
      <w:tr>
        <w:tc>
          <w:tcPr>
            <w:tcW w:type="dxa" w:w="2200"/>
            <w:tcMar>
              <w:top w:w="80" w:type="dxa"/>
              <w:start w:w="120" w:type="dxa"/>
              <w:bottom w:w="80" w:type="dxa"/>
              <w:end w:w="120" w:type="dxa"/>
            </w:tcMar>
            <w:vAlign w:val="center"/>
          </w:tcPr>
          <w:p>
            <w:pPr>
              <w:jc w:val="left"/>
            </w:pPr>
            <w:r>
              <w:rPr>
                <w:rFonts w:ascii="Calibri" w:hAnsi="Calibri"/>
                <w:b w:val="0"/>
                <w:i w:val="0"/>
                <w:sz w:val="18"/>
              </w:rPr>
              <w:t>Settings</w:t>
            </w:r>
          </w:p>
        </w:tc>
        <w:tc>
          <w:tcPr>
            <w:tcW w:type="dxa" w:w="3800"/>
            <w:tcMar>
              <w:top w:w="80" w:type="dxa"/>
              <w:start w:w="120" w:type="dxa"/>
              <w:bottom w:w="80" w:type="dxa"/>
              <w:end w:w="120" w:type="dxa"/>
            </w:tcMar>
            <w:vAlign w:val="center"/>
          </w:tcPr>
          <w:p>
            <w:pPr>
              <w:jc w:val="left"/>
            </w:pPr>
            <w:r>
              <w:rPr>
                <w:rFonts w:ascii="Calibri" w:hAnsi="Calibri"/>
                <w:b w:val="0"/>
                <w:i w:val="0"/>
                <w:sz w:val="18"/>
              </w:rPr>
              <w:t>App state and team/project configuration</w:t>
            </w:r>
          </w:p>
        </w:tc>
        <w:tc>
          <w:tcPr>
            <w:tcW w:type="dxa" w:w="3360"/>
            <w:tcMar>
              <w:top w:w="80" w:type="dxa"/>
              <w:start w:w="120" w:type="dxa"/>
              <w:bottom w:w="80" w:type="dxa"/>
              <w:end w:w="120" w:type="dxa"/>
            </w:tcMar>
            <w:vAlign w:val="center"/>
          </w:tcPr>
          <w:p>
            <w:pPr>
              <w:jc w:val="left"/>
            </w:pPr>
            <w:r>
              <w:rPr>
                <w:rFonts w:ascii="Calibri" w:hAnsi="Calibri"/>
                <w:b w:val="0"/>
                <w:i w:val="0"/>
                <w:sz w:val="18"/>
              </w:rPr>
              <w:t>Theme toggle, model settings, forecast settings, user management, notification settings.</w:t>
            </w:r>
          </w:p>
        </w:tc>
      </w:tr>
    </w:tbl>
    <w:p/>
    <w:p>
      <w:pPr>
        <w:pStyle w:val="Heading1"/>
      </w:pPr>
      <w:r>
        <w:t>5. Screenshots of Working Interfaces</w:t>
      </w:r>
    </w:p>
    <w:p>
      <w:r>
        <w:rPr>
          <w:rFonts w:ascii="Calibri" w:hAnsi="Calibri"/>
          <w:b w:val="0"/>
          <w:i w:val="0"/>
        </w:rPr>
        <w:t>These screenshots were captured from the live dashboard preview, not mocked separately. They show the integrated modules rendering in the actual app.</w:t>
      </w:r>
    </w:p>
    <w:p>
      <w:pPr>
        <w:jc w:val="center"/>
      </w:pPr>
      <w:r>
        <w:drawing>
          <wp:inline xmlns:a="http://schemas.openxmlformats.org/drawingml/2006/main" xmlns:pic="http://schemas.openxmlformats.org/drawingml/2006/picture">
            <wp:extent cx="5715000" cy="4365625"/>
            <wp:docPr id="2" name="Picture 2"/>
            <wp:cNvGraphicFramePr>
              <a:graphicFrameLocks noChangeAspect="1"/>
            </wp:cNvGraphicFramePr>
            <a:graphic>
              <a:graphicData uri="http://schemas.openxmlformats.org/drawingml/2006/picture">
                <pic:pic>
                  <pic:nvPicPr>
                    <pic:cNvPr id="0" name="desktop_01_overview.png"/>
                    <pic:cNvPicPr/>
                  </pic:nvPicPr>
                  <pic:blipFill>
                    <a:blip r:embed="rId11"/>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Executive Overview with revenue, orders, customer, and churn metrics loaded.</w:t>
      </w:r>
    </w:p>
    <w:p>
      <w:pPr>
        <w:jc w:val="center"/>
      </w:pPr>
      <w:r>
        <w:drawing>
          <wp:inline xmlns:a="http://schemas.openxmlformats.org/drawingml/2006/main" xmlns:pic="http://schemas.openxmlformats.org/drawingml/2006/picture">
            <wp:extent cx="5715000" cy="4365625"/>
            <wp:docPr id="3" name="Picture 3"/>
            <wp:cNvGraphicFramePr>
              <a:graphicFrameLocks noChangeAspect="1"/>
            </wp:cNvGraphicFramePr>
            <a:graphic>
              <a:graphicData uri="http://schemas.openxmlformats.org/drawingml/2006/picture">
                <pic:pic>
                  <pic:nvPicPr>
                    <pic:cNvPr id="0" name="desktop_02_segmentation.png"/>
                    <pic:cNvPicPr/>
                  </pic:nvPicPr>
                  <pic:blipFill>
                    <a:blip r:embed="rId12"/>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Customer Segmentation interface showing customer intelligence module.</w:t>
      </w:r>
    </w:p>
    <w:p>
      <w:pPr>
        <w:jc w:val="center"/>
      </w:pPr>
      <w:r>
        <w:drawing>
          <wp:inline xmlns:a="http://schemas.openxmlformats.org/drawingml/2006/main" xmlns:pic="http://schemas.openxmlformats.org/drawingml/2006/picture">
            <wp:extent cx="5715000" cy="4365625"/>
            <wp:docPr id="4" name="Picture 4"/>
            <wp:cNvGraphicFramePr>
              <a:graphicFrameLocks noChangeAspect="1"/>
            </wp:cNvGraphicFramePr>
            <a:graphic>
              <a:graphicData uri="http://schemas.openxmlformats.org/drawingml/2006/picture">
                <pic:pic>
                  <pic:nvPicPr>
                    <pic:cNvPr id="0" name="desktop_03_churn.png"/>
                    <pic:cNvPicPr/>
                  </pic:nvPicPr>
                  <pic:blipFill>
                    <a:blip r:embed="rId13"/>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Churn Prediction interface with risk metrics and retention command visuals.</w:t>
      </w:r>
    </w:p>
    <w:p>
      <w:pPr>
        <w:jc w:val="center"/>
      </w:pPr>
      <w:r>
        <w:drawing>
          <wp:inline xmlns:a="http://schemas.openxmlformats.org/drawingml/2006/main" xmlns:pic="http://schemas.openxmlformats.org/drawingml/2006/picture">
            <wp:extent cx="5715000" cy="4365625"/>
            <wp:docPr id="5" name="Picture 5"/>
            <wp:cNvGraphicFramePr>
              <a:graphicFrameLocks noChangeAspect="1"/>
            </wp:cNvGraphicFramePr>
            <a:graphic>
              <a:graphicData uri="http://schemas.openxmlformats.org/drawingml/2006/picture">
                <pic:pic>
                  <pic:nvPicPr>
                    <pic:cNvPr id="0" name="desktop_04_churn_story.png"/>
                    <pic:cNvPicPr/>
                  </pic:nvPicPr>
                  <pic:blipFill>
                    <a:blip r:embed="rId14"/>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Churn Play Data story proving unique Remotion story integration.</w:t>
      </w:r>
    </w:p>
    <w:p>
      <w:pPr>
        <w:jc w:val="center"/>
      </w:pPr>
      <w:r>
        <w:drawing>
          <wp:inline xmlns:a="http://schemas.openxmlformats.org/drawingml/2006/main" xmlns:pic="http://schemas.openxmlformats.org/drawingml/2006/picture">
            <wp:extent cx="5715000" cy="4365625"/>
            <wp:docPr id="6" name="Picture 6"/>
            <wp:cNvGraphicFramePr>
              <a:graphicFrameLocks noChangeAspect="1"/>
            </wp:cNvGraphicFramePr>
            <a:graphic>
              <a:graphicData uri="http://schemas.openxmlformats.org/drawingml/2006/picture">
                <pic:pic>
                  <pic:nvPicPr>
                    <pic:cNvPr id="0" name="desktop_05_forecasting.png"/>
                    <pic:cNvPicPr/>
                  </pic:nvPicPr>
                  <pic:blipFill>
                    <a:blip r:embed="rId15"/>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Demand Forecasting page with Prophet/MAPE context and forecast controls.</w:t>
      </w:r>
    </w:p>
    <w:p>
      <w:pPr>
        <w:jc w:val="center"/>
      </w:pPr>
      <w:r>
        <w:drawing>
          <wp:inline xmlns:a="http://schemas.openxmlformats.org/drawingml/2006/main" xmlns:pic="http://schemas.openxmlformats.org/drawingml/2006/picture">
            <wp:extent cx="5715000" cy="4365625"/>
            <wp:docPr id="7" name="Picture 7"/>
            <wp:cNvGraphicFramePr>
              <a:graphicFrameLocks noChangeAspect="1"/>
            </wp:cNvGraphicFramePr>
            <a:graphic>
              <a:graphicData uri="http://schemas.openxmlformats.org/drawingml/2006/picture">
                <pic:pic>
                  <pic:nvPicPr>
                    <pic:cNvPr id="0" name="desktop_06_forecast_story.png"/>
                    <pic:cNvPicPr/>
                  </pic:nvPicPr>
                  <pic:blipFill>
                    <a:blip r:embed="rId16"/>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Demand Forecast Play Data story proving unique forecast animation integration.</w:t>
      </w:r>
    </w:p>
    <w:p>
      <w:pPr>
        <w:jc w:val="center"/>
      </w:pPr>
      <w:r>
        <w:drawing>
          <wp:inline xmlns:a="http://schemas.openxmlformats.org/drawingml/2006/main" xmlns:pic="http://schemas.openxmlformats.org/drawingml/2006/picture">
            <wp:extent cx="5715000" cy="4365625"/>
            <wp:docPr id="8" name="Picture 8"/>
            <wp:cNvGraphicFramePr>
              <a:graphicFrameLocks noChangeAspect="1"/>
            </wp:cNvGraphicFramePr>
            <a:graphic>
              <a:graphicData uri="http://schemas.openxmlformats.org/drawingml/2006/picture">
                <pic:pic>
                  <pic:nvPicPr>
                    <pic:cNvPr id="0" name="desktop_07_inventory.png"/>
                    <pic:cNvPicPr/>
                  </pic:nvPicPr>
                  <pic:blipFill>
                    <a:blip r:embed="rId17"/>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Inventory Optimization page showing inventory health and stock planning.</w:t>
      </w:r>
    </w:p>
    <w:p>
      <w:pPr>
        <w:jc w:val="center"/>
      </w:pPr>
      <w:r>
        <w:drawing>
          <wp:inline xmlns:a="http://schemas.openxmlformats.org/drawingml/2006/main" xmlns:pic="http://schemas.openxmlformats.org/drawingml/2006/picture">
            <wp:extent cx="5715000" cy="4365625"/>
            <wp:docPr id="9" name="Picture 9"/>
            <wp:cNvGraphicFramePr>
              <a:graphicFrameLocks noChangeAspect="1"/>
            </wp:cNvGraphicFramePr>
            <a:graphic>
              <a:graphicData uri="http://schemas.openxmlformats.org/drawingml/2006/picture">
                <pic:pic>
                  <pic:nvPicPr>
                    <pic:cNvPr id="0" name="desktop_08_reports.png"/>
                    <pic:cNvPicPr/>
                  </pic:nvPicPr>
                  <pic:blipFill>
                    <a:blip r:embed="rId18"/>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Analytics and Reports module with export/report-pack interface.</w:t>
      </w:r>
    </w:p>
    <w:p>
      <w:pPr>
        <w:jc w:val="center"/>
      </w:pPr>
      <w:r>
        <w:drawing>
          <wp:inline xmlns:a="http://schemas.openxmlformats.org/drawingml/2006/main" xmlns:pic="http://schemas.openxmlformats.org/drawingml/2006/picture">
            <wp:extent cx="5715000" cy="4365625"/>
            <wp:docPr id="10" name="Picture 10"/>
            <wp:cNvGraphicFramePr>
              <a:graphicFrameLocks noChangeAspect="1"/>
            </wp:cNvGraphicFramePr>
            <a:graphic>
              <a:graphicData uri="http://schemas.openxmlformats.org/drawingml/2006/picture">
                <pic:pic>
                  <pic:nvPicPr>
                    <pic:cNvPr id="0" name="desktop_09_media.png"/>
                    <pic:cNvPicPr/>
                  </pic:nvPicPr>
                  <pic:blipFill>
                    <a:blip r:embed="rId19"/>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Media Studio module for Remotion-based video stories.</w:t>
      </w:r>
    </w:p>
    <w:p>
      <w:pPr>
        <w:jc w:val="center"/>
      </w:pPr>
      <w:r>
        <w:drawing>
          <wp:inline xmlns:a="http://schemas.openxmlformats.org/drawingml/2006/main" xmlns:pic="http://schemas.openxmlformats.org/drawingml/2006/picture">
            <wp:extent cx="5715000" cy="4365625"/>
            <wp:docPr id="11" name="Picture 11"/>
            <wp:cNvGraphicFramePr>
              <a:graphicFrameLocks noChangeAspect="1"/>
            </wp:cNvGraphicFramePr>
            <a:graphic>
              <a:graphicData uri="http://schemas.openxmlformats.org/drawingml/2006/picture">
                <pic:pic>
                  <pic:nvPicPr>
                    <pic:cNvPr id="0" name="desktop_10_settings.png"/>
                    <pic:cNvPicPr/>
                  </pic:nvPicPr>
                  <pic:blipFill>
                    <a:blip r:embed="rId20"/>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Settings interface with model, forecast, user, and notification controls.</w:t>
      </w:r>
    </w:p>
    <w:p>
      <w:pPr>
        <w:jc w:val="center"/>
      </w:pPr>
      <w:r>
        <w:drawing>
          <wp:inline xmlns:a="http://schemas.openxmlformats.org/drawingml/2006/main" xmlns:pic="http://schemas.openxmlformats.org/drawingml/2006/picture">
            <wp:extent cx="5715000" cy="12367846"/>
            <wp:docPr id="12" name="Picture 12"/>
            <wp:cNvGraphicFramePr>
              <a:graphicFrameLocks noChangeAspect="1"/>
            </wp:cNvGraphicFramePr>
            <a:graphic>
              <a:graphicData uri="http://schemas.openxmlformats.org/drawingml/2006/picture">
                <pic:pic>
                  <pic:nvPicPr>
                    <pic:cNvPr id="0" name="mobile_01_overview.png"/>
                    <pic:cNvPicPr/>
                  </pic:nvPicPr>
                  <pic:blipFill>
                    <a:blip r:embed="rId21"/>
                    <a:stretch>
                      <a:fillRect/>
                    </a:stretch>
                  </pic:blipFill>
                  <pic:spPr>
                    <a:xfrm>
                      <a:off x="0" y="0"/>
                      <a:ext cx="5715000" cy="12367846"/>
                    </a:xfrm>
                    <a:prstGeom prst="rect"/>
                  </pic:spPr>
                </pic:pic>
              </a:graphicData>
            </a:graphic>
          </wp:inline>
        </w:drawing>
      </w:r>
    </w:p>
    <w:p>
      <w:pPr>
        <w:jc w:val="center"/>
      </w:pPr>
      <w:r>
        <w:rPr>
          <w:rFonts w:ascii="Calibri" w:hAnsi="Calibri"/>
          <w:b w:val="0"/>
          <w:i/>
          <w:color w:val="555555"/>
          <w:sz w:val="18"/>
        </w:rPr>
        <w:t>Responsive mobile overview proof after data load.</w:t>
      </w:r>
    </w:p>
    <w:p>
      <w:pPr>
        <w:pStyle w:val="Heading1"/>
      </w:pPr>
      <w:r>
        <w:t>6. Proof of Integrated Data Files</w:t>
      </w:r>
    </w:p>
    <w:p>
      <w:r>
        <w:rPr>
          <w:rFonts w:ascii="Calibri" w:hAnsi="Calibri"/>
          <w:b w:val="0"/>
          <w:i w:val="0"/>
        </w:rPr>
        <w:t>The dashboard data contract check validates the actual files consumed by the browser application. This is separate from teammate Python tests because the dashboard uses standardized dashboard-facing column names.</w:t>
      </w:r>
    </w:p>
    <w:p>
      <w:pPr>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proof_dashboard_data_contract.png"/>
                    <pic:cNvPicPr/>
                  </pic:nvPicPr>
                  <pic:blipFill>
                    <a:blip r:embed="rId22"/>
                    <a:stretch>
                      <a:fillRect/>
                    </a:stretch>
                  </pic:blipFill>
                  <pic:spPr>
                    <a:xfrm>
                      <a:off x="0" y="0"/>
                      <a:ext cx="5715000" cy="3571875"/>
                    </a:xfrm>
                    <a:prstGeom prst="rect"/>
                  </pic:spPr>
                </pic:pic>
              </a:graphicData>
            </a:graphic>
          </wp:inline>
        </w:drawing>
      </w:r>
    </w:p>
    <w:p>
      <w:pPr>
        <w:jc w:val="center"/>
      </w:pPr>
      <w:r>
        <w:rPr>
          <w:rFonts w:ascii="Calibri" w:hAnsi="Calibri"/>
          <w:b w:val="0"/>
          <w:i/>
          <w:color w:val="555555"/>
          <w:sz w:val="18"/>
        </w:rPr>
        <w:t>Proof B. Dashboard data contract results: all public dashboard data sources passed required column checks.</w:t>
      </w:r>
    </w:p>
    <w:p>
      <w:pPr>
        <w:jc w:val="center"/>
      </w:pPr>
      <w:r>
        <w:drawing>
          <wp:inline xmlns:a="http://schemas.openxmlformats.org/drawingml/2006/main" xmlns:pic="http://schemas.openxmlformats.org/drawingml/2006/picture">
            <wp:extent cx="5715000" cy="3571875"/>
            <wp:docPr id="14" name="Picture 14"/>
            <wp:cNvGraphicFramePr>
              <a:graphicFrameLocks noChangeAspect="1"/>
            </wp:cNvGraphicFramePr>
            <a:graphic>
              <a:graphicData uri="http://schemas.openxmlformats.org/drawingml/2006/picture">
                <pic:pic>
                  <pic:nvPicPr>
                    <pic:cNvPr id="0" name="proof_dataset_receipt.png"/>
                    <pic:cNvPicPr/>
                  </pic:nvPicPr>
                  <pic:blipFill>
                    <a:blip r:embed="rId23"/>
                    <a:stretch>
                      <a:fillRect/>
                    </a:stretch>
                  </pic:blipFill>
                  <pic:spPr>
                    <a:xfrm>
                      <a:off x="0" y="0"/>
                      <a:ext cx="5715000" cy="3571875"/>
                    </a:xfrm>
                    <a:prstGeom prst="rect"/>
                  </pic:spPr>
                </pic:pic>
              </a:graphicData>
            </a:graphic>
          </wp:inline>
        </w:drawing>
      </w:r>
    </w:p>
    <w:p>
      <w:pPr>
        <w:jc w:val="center"/>
      </w:pPr>
      <w:r>
        <w:rPr>
          <w:rFonts w:ascii="Calibri" w:hAnsi="Calibri"/>
          <w:b w:val="0"/>
          <w:i/>
          <w:color w:val="555555"/>
          <w:sz w:val="18"/>
        </w:rPr>
        <w:t>Proof C. Dataset receipt proof including full features_data.csv size and dashboard-safe sample/summary handling.</w:t>
      </w:r>
    </w:p>
    <w:tbl>
      <w:tblPr>
        <w:tblStyle w:val="TableGrid"/>
        <w:tblW w:type="auto" w:w="0"/>
        <w:jc w:val="center"/>
        <w:tblLook w:firstColumn="1" w:firstRow="1" w:lastColumn="0" w:lastRow="0" w:noHBand="0" w:noVBand="1" w:val="04A0"/>
      </w:tblPr>
      <w:tblGrid>
        <w:gridCol w:w="3120"/>
        <w:gridCol w:w="3120"/>
        <w:gridCol w:w="3120"/>
      </w:tblGrid>
      <w:tr>
        <w:tc>
          <w:tcPr>
            <w:tcW w:type="dxa" w:w="3600"/>
            <w:tcMar>
              <w:top w:w="80" w:type="dxa"/>
              <w:start w:w="120" w:type="dxa"/>
              <w:bottom w:w="80" w:type="dxa"/>
              <w:end w:w="120" w:type="dxa"/>
            </w:tcMar>
            <w:shd w:fill="F2F4F7"/>
            <w:vAlign w:val="center"/>
          </w:tcPr>
          <w:p>
            <w:pPr>
              <w:jc w:val="center"/>
            </w:pPr>
            <w:r>
              <w:rPr>
                <w:rFonts w:ascii="Calibri" w:hAnsi="Calibri"/>
                <w:b/>
                <w:i w:val="0"/>
                <w:color w:val="1F4D78"/>
                <w:sz w:val="19"/>
              </w:rPr>
              <w:t>Public dashboard file</w:t>
            </w:r>
          </w:p>
        </w:tc>
        <w:tc>
          <w:tcPr>
            <w:tcW w:type="dxa" w:w="1600"/>
            <w:tcMar>
              <w:top w:w="80" w:type="dxa"/>
              <w:start w:w="120" w:type="dxa"/>
              <w:bottom w:w="80" w:type="dxa"/>
              <w:end w:w="120" w:type="dxa"/>
            </w:tcMar>
            <w:shd w:fill="F2F4F7"/>
            <w:vAlign w:val="center"/>
          </w:tcPr>
          <w:p>
            <w:pPr>
              <w:jc w:val="center"/>
            </w:pPr>
            <w:r>
              <w:rPr>
                <w:rFonts w:ascii="Calibri" w:hAnsi="Calibri"/>
                <w:b/>
                <w:i w:val="0"/>
                <w:color w:val="1F4D78"/>
                <w:sz w:val="19"/>
              </w:rPr>
              <w:t>Rows verified</w:t>
            </w:r>
          </w:p>
        </w:tc>
        <w:tc>
          <w:tcPr>
            <w:tcW w:type="dxa" w:w="4160"/>
            <w:tcMar>
              <w:top w:w="80" w:type="dxa"/>
              <w:start w:w="120" w:type="dxa"/>
              <w:bottom w:w="80" w:type="dxa"/>
              <w:end w:w="120" w:type="dxa"/>
            </w:tcMar>
            <w:shd w:fill="F2F4F7"/>
            <w:vAlign w:val="center"/>
          </w:tcPr>
          <w:p>
            <w:pPr>
              <w:jc w:val="center"/>
            </w:pPr>
            <w:r>
              <w:rPr>
                <w:rFonts w:ascii="Calibri" w:hAnsi="Calibri"/>
                <w:b/>
                <w:i w:val="0"/>
                <w:color w:val="1F4D78"/>
                <w:sz w:val="19"/>
              </w:rPr>
              <w:t>Purpose</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dataset_1_daily_revenue_forecasting.csv</w:t>
            </w:r>
          </w:p>
        </w:tc>
        <w:tc>
          <w:tcPr>
            <w:tcW w:type="dxa" w:w="1600"/>
            <w:tcMar>
              <w:top w:w="80" w:type="dxa"/>
              <w:start w:w="120" w:type="dxa"/>
              <w:bottom w:w="80" w:type="dxa"/>
              <w:end w:w="120" w:type="dxa"/>
            </w:tcMar>
            <w:vAlign w:val="center"/>
          </w:tcPr>
          <w:p>
            <w:pPr>
              <w:jc w:val="center"/>
            </w:pPr>
            <w:r>
              <w:rPr>
                <w:rFonts w:ascii="Calibri" w:hAnsi="Calibri"/>
                <w:b w:val="0"/>
                <w:i w:val="0"/>
                <w:sz w:val="18"/>
              </w:rPr>
              <w:t>739</w:t>
            </w:r>
          </w:p>
        </w:tc>
        <w:tc>
          <w:tcPr>
            <w:tcW w:type="dxa" w:w="4160"/>
            <w:tcMar>
              <w:top w:w="80" w:type="dxa"/>
              <w:start w:w="120" w:type="dxa"/>
              <w:bottom w:w="80" w:type="dxa"/>
              <w:end w:w="120" w:type="dxa"/>
            </w:tcMar>
            <w:vAlign w:val="center"/>
          </w:tcPr>
          <w:p>
            <w:pPr>
              <w:jc w:val="left"/>
            </w:pPr>
            <w:r>
              <w:rPr>
                <w:rFonts w:ascii="Calibri" w:hAnsi="Calibri"/>
                <w:b w:val="0"/>
                <w:i w:val="0"/>
                <w:sz w:val="18"/>
              </w:rPr>
              <w:t>Revenue, orders, KPI and revenue trend calculations.</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dataset_2_daily_demand_forecasting.csv</w:t>
            </w:r>
          </w:p>
        </w:tc>
        <w:tc>
          <w:tcPr>
            <w:tcW w:type="dxa" w:w="1600"/>
            <w:tcMar>
              <w:top w:w="80" w:type="dxa"/>
              <w:start w:w="120" w:type="dxa"/>
              <w:bottom w:w="80" w:type="dxa"/>
              <w:end w:w="120" w:type="dxa"/>
            </w:tcMar>
            <w:vAlign w:val="center"/>
          </w:tcPr>
          <w:p>
            <w:pPr>
              <w:jc w:val="center"/>
            </w:pPr>
            <w:r>
              <w:rPr>
                <w:rFonts w:ascii="Calibri" w:hAnsi="Calibri"/>
                <w:b w:val="0"/>
                <w:i w:val="0"/>
                <w:sz w:val="18"/>
              </w:rPr>
              <w:t>739</w:t>
            </w:r>
          </w:p>
        </w:tc>
        <w:tc>
          <w:tcPr>
            <w:tcW w:type="dxa" w:w="4160"/>
            <w:tcMar>
              <w:top w:w="80" w:type="dxa"/>
              <w:start w:w="120" w:type="dxa"/>
              <w:bottom w:w="80" w:type="dxa"/>
              <w:end w:w="120" w:type="dxa"/>
            </w:tcMar>
            <w:vAlign w:val="center"/>
          </w:tcPr>
          <w:p>
            <w:pPr>
              <w:jc w:val="left"/>
            </w:pPr>
            <w:r>
              <w:rPr>
                <w:rFonts w:ascii="Calibri" w:hAnsi="Calibri"/>
                <w:b w:val="0"/>
                <w:i w:val="0"/>
                <w:sz w:val="18"/>
              </w:rPr>
              <w:t>Demand trend and demand forecasting context.</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dataset_3_sku_level_inventory_forecasting.csv</w:t>
            </w:r>
          </w:p>
        </w:tc>
        <w:tc>
          <w:tcPr>
            <w:tcW w:type="dxa" w:w="1600"/>
            <w:tcMar>
              <w:top w:w="80" w:type="dxa"/>
              <w:start w:w="120" w:type="dxa"/>
              <w:bottom w:w="80" w:type="dxa"/>
              <w:end w:w="120" w:type="dxa"/>
            </w:tcMar>
            <w:vAlign w:val="center"/>
          </w:tcPr>
          <w:p>
            <w:pPr>
              <w:jc w:val="center"/>
            </w:pPr>
            <w:r>
              <w:rPr>
                <w:rFonts w:ascii="Calibri" w:hAnsi="Calibri"/>
                <w:b w:val="0"/>
                <w:i w:val="0"/>
                <w:sz w:val="18"/>
              </w:rPr>
              <w:t>4917</w:t>
            </w:r>
          </w:p>
        </w:tc>
        <w:tc>
          <w:tcPr>
            <w:tcW w:type="dxa" w:w="4160"/>
            <w:tcMar>
              <w:top w:w="80" w:type="dxa"/>
              <w:start w:w="120" w:type="dxa"/>
              <w:bottom w:w="80" w:type="dxa"/>
              <w:end w:w="120" w:type="dxa"/>
            </w:tcMar>
            <w:vAlign w:val="center"/>
          </w:tcPr>
          <w:p>
            <w:pPr>
              <w:jc w:val="left"/>
            </w:pPr>
            <w:r>
              <w:rPr>
                <w:rFonts w:ascii="Calibri" w:hAnsi="Calibri"/>
                <w:b w:val="0"/>
                <w:i w:val="0"/>
                <w:sz w:val="18"/>
              </w:rPr>
              <w:t>SKU/product/inventory analytics source.</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demand_forecast.csv</w:t>
            </w:r>
          </w:p>
        </w:tc>
        <w:tc>
          <w:tcPr>
            <w:tcW w:type="dxa" w:w="1600"/>
            <w:tcMar>
              <w:top w:w="80" w:type="dxa"/>
              <w:start w:w="120" w:type="dxa"/>
              <w:bottom w:w="80" w:type="dxa"/>
              <w:end w:w="120" w:type="dxa"/>
            </w:tcMar>
            <w:vAlign w:val="center"/>
          </w:tcPr>
          <w:p>
            <w:pPr>
              <w:jc w:val="center"/>
            </w:pPr>
            <w:r>
              <w:rPr>
                <w:rFonts w:ascii="Calibri" w:hAnsi="Calibri"/>
                <w:b w:val="0"/>
                <w:i w:val="0"/>
                <w:sz w:val="18"/>
              </w:rPr>
              <w:t>147</w:t>
            </w:r>
          </w:p>
        </w:tc>
        <w:tc>
          <w:tcPr>
            <w:tcW w:type="dxa" w:w="4160"/>
            <w:tcMar>
              <w:top w:w="80" w:type="dxa"/>
              <w:start w:w="120" w:type="dxa"/>
              <w:bottom w:w="80" w:type="dxa"/>
              <w:end w:w="120" w:type="dxa"/>
            </w:tcMar>
            <w:vAlign w:val="center"/>
          </w:tcPr>
          <w:p>
            <w:pPr>
              <w:jc w:val="left"/>
            </w:pPr>
            <w:r>
              <w:rPr>
                <w:rFonts w:ascii="Calibri" w:hAnsi="Calibri"/>
                <w:b w:val="0"/>
                <w:i w:val="0"/>
                <w:sz w:val="18"/>
              </w:rPr>
              <w:t>Forecast rows and demand story input.</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churn_predictions.csv</w:t>
            </w:r>
          </w:p>
        </w:tc>
        <w:tc>
          <w:tcPr>
            <w:tcW w:type="dxa" w:w="1600"/>
            <w:tcMar>
              <w:top w:w="80" w:type="dxa"/>
              <w:start w:w="120" w:type="dxa"/>
              <w:bottom w:w="80" w:type="dxa"/>
              <w:end w:w="120" w:type="dxa"/>
            </w:tcMar>
            <w:vAlign w:val="center"/>
          </w:tcPr>
          <w:p>
            <w:pPr>
              <w:jc w:val="center"/>
            </w:pPr>
            <w:r>
              <w:rPr>
                <w:rFonts w:ascii="Calibri" w:hAnsi="Calibri"/>
                <w:b w:val="0"/>
                <w:i w:val="0"/>
                <w:sz w:val="18"/>
              </w:rPr>
              <w:t>5000</w:t>
            </w:r>
          </w:p>
        </w:tc>
        <w:tc>
          <w:tcPr>
            <w:tcW w:type="dxa" w:w="4160"/>
            <w:tcMar>
              <w:top w:w="80" w:type="dxa"/>
              <w:start w:w="120" w:type="dxa"/>
              <w:bottom w:w="80" w:type="dxa"/>
              <w:end w:w="120" w:type="dxa"/>
            </w:tcMar>
            <w:vAlign w:val="center"/>
          </w:tcPr>
          <w:p>
            <w:pPr>
              <w:jc w:val="left"/>
            </w:pPr>
            <w:r>
              <w:rPr>
                <w:rFonts w:ascii="Calibri" w:hAnsi="Calibri"/>
                <w:b w:val="0"/>
                <w:i w:val="0"/>
                <w:sz w:val="18"/>
              </w:rPr>
              <w:t>Churn risk, customer segments, retention recommendations.</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inventory_recommendations.csv</w:t>
            </w:r>
          </w:p>
        </w:tc>
        <w:tc>
          <w:tcPr>
            <w:tcW w:type="dxa" w:w="1600"/>
            <w:tcMar>
              <w:top w:w="80" w:type="dxa"/>
              <w:start w:w="120" w:type="dxa"/>
              <w:bottom w:w="80" w:type="dxa"/>
              <w:end w:w="120" w:type="dxa"/>
            </w:tcMar>
            <w:vAlign w:val="center"/>
          </w:tcPr>
          <w:p>
            <w:pPr>
              <w:jc w:val="center"/>
            </w:pPr>
            <w:r>
              <w:rPr>
                <w:rFonts w:ascii="Calibri" w:hAnsi="Calibri"/>
                <w:b w:val="0"/>
                <w:i w:val="0"/>
                <w:sz w:val="18"/>
              </w:rPr>
              <w:t>4917</w:t>
            </w:r>
          </w:p>
        </w:tc>
        <w:tc>
          <w:tcPr>
            <w:tcW w:type="dxa" w:w="4160"/>
            <w:tcMar>
              <w:top w:w="80" w:type="dxa"/>
              <w:start w:w="120" w:type="dxa"/>
              <w:bottom w:w="80" w:type="dxa"/>
              <w:end w:w="120" w:type="dxa"/>
            </w:tcMar>
            <w:vAlign w:val="center"/>
          </w:tcPr>
          <w:p>
            <w:pPr>
              <w:jc w:val="left"/>
            </w:pPr>
            <w:r>
              <w:rPr>
                <w:rFonts w:ascii="Calibri" w:hAnsi="Calibri"/>
                <w:b w:val="0"/>
                <w:i w:val="0"/>
                <w:sz w:val="18"/>
              </w:rPr>
              <w:t>Stock health, reorder points, safety stock, inventory gaps.</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features_data_sample.csv</w:t>
            </w:r>
          </w:p>
        </w:tc>
        <w:tc>
          <w:tcPr>
            <w:tcW w:type="dxa" w:w="1600"/>
            <w:tcMar>
              <w:top w:w="80" w:type="dxa"/>
              <w:start w:w="120" w:type="dxa"/>
              <w:bottom w:w="80" w:type="dxa"/>
              <w:end w:w="120" w:type="dxa"/>
            </w:tcMar>
            <w:vAlign w:val="center"/>
          </w:tcPr>
          <w:p>
            <w:pPr>
              <w:jc w:val="center"/>
            </w:pPr>
            <w:r>
              <w:rPr>
                <w:rFonts w:ascii="Calibri" w:hAnsi="Calibri"/>
                <w:b w:val="0"/>
                <w:i w:val="0"/>
                <w:sz w:val="18"/>
              </w:rPr>
              <w:t>10000</w:t>
            </w:r>
          </w:p>
        </w:tc>
        <w:tc>
          <w:tcPr>
            <w:tcW w:type="dxa" w:w="4160"/>
            <w:tcMar>
              <w:top w:w="80" w:type="dxa"/>
              <w:start w:w="120" w:type="dxa"/>
              <w:bottom w:w="80" w:type="dxa"/>
              <w:end w:w="120" w:type="dxa"/>
            </w:tcMar>
            <w:vAlign w:val="center"/>
          </w:tcPr>
          <w:p>
            <w:pPr>
              <w:jc w:val="left"/>
            </w:pPr>
            <w:r>
              <w:rPr>
                <w:rFonts w:ascii="Calibri" w:hAnsi="Calibri"/>
                <w:b w:val="0"/>
                <w:i w:val="0"/>
                <w:sz w:val="18"/>
              </w:rPr>
              <w:t>Feature schema sample for browser-safe integration testing.</w:t>
            </w:r>
          </w:p>
        </w:tc>
      </w:tr>
      <w:tr>
        <w:tc>
          <w:tcPr>
            <w:tcW w:type="dxa" w:w="3600"/>
            <w:tcMar>
              <w:top w:w="80" w:type="dxa"/>
              <w:start w:w="120" w:type="dxa"/>
              <w:bottom w:w="80" w:type="dxa"/>
              <w:end w:w="120" w:type="dxa"/>
            </w:tcMar>
            <w:vAlign w:val="center"/>
          </w:tcPr>
          <w:p>
            <w:pPr>
              <w:jc w:val="left"/>
            </w:pPr>
            <w:r>
              <w:rPr>
                <w:rFonts w:ascii="Calibri" w:hAnsi="Calibri"/>
                <w:b w:val="0"/>
                <w:i w:val="0"/>
                <w:sz w:val="18"/>
              </w:rPr>
              <w:t>features_summary.json</w:t>
            </w:r>
          </w:p>
        </w:tc>
        <w:tc>
          <w:tcPr>
            <w:tcW w:type="dxa" w:w="1600"/>
            <w:tcMar>
              <w:top w:w="80" w:type="dxa"/>
              <w:start w:w="120" w:type="dxa"/>
              <w:bottom w:w="80" w:type="dxa"/>
              <w:end w:w="120" w:type="dxa"/>
            </w:tcMar>
            <w:vAlign w:val="center"/>
          </w:tcPr>
          <w:p>
            <w:pPr>
              <w:jc w:val="center"/>
            </w:pPr>
            <w:r>
              <w:rPr>
                <w:rFonts w:ascii="Calibri" w:hAnsi="Calibri"/>
                <w:b w:val="0"/>
                <w:i w:val="0"/>
                <w:sz w:val="18"/>
              </w:rPr>
              <w:t>Present</w:t>
            </w:r>
          </w:p>
        </w:tc>
        <w:tc>
          <w:tcPr>
            <w:tcW w:type="dxa" w:w="4160"/>
            <w:tcMar>
              <w:top w:w="80" w:type="dxa"/>
              <w:start w:w="120" w:type="dxa"/>
              <w:bottom w:w="80" w:type="dxa"/>
              <w:end w:w="120" w:type="dxa"/>
            </w:tcMar>
            <w:vAlign w:val="center"/>
          </w:tcPr>
          <w:p>
            <w:pPr>
              <w:jc w:val="left"/>
            </w:pPr>
            <w:r>
              <w:rPr>
                <w:rFonts w:ascii="Calibri" w:hAnsi="Calibri"/>
                <w:b w:val="0"/>
                <w:i w:val="0"/>
                <w:sz w:val="18"/>
              </w:rPr>
              <w:t>Feature summary for dashboard-scale customer intelligence.</w:t>
            </w:r>
          </w:p>
        </w:tc>
      </w:tr>
    </w:tbl>
    <w:p/>
    <w:p>
      <w:pPr>
        <w:pStyle w:val="Heading1"/>
      </w:pPr>
      <w:r>
        <w:t>7. Testing Evidence and Results</w:t>
      </w:r>
    </w:p>
    <w:p>
      <w:pPr>
        <w:jc w:val="center"/>
      </w:pPr>
      <w:r>
        <w:drawing>
          <wp:inline xmlns:a="http://schemas.openxmlformats.org/drawingml/2006/main" xmlns:pic="http://schemas.openxmlformats.org/drawingml/2006/picture">
            <wp:extent cx="5715000" cy="3571875"/>
            <wp:docPr id="15" name="Picture 15"/>
            <wp:cNvGraphicFramePr>
              <a:graphicFrameLocks noChangeAspect="1"/>
            </wp:cNvGraphicFramePr>
            <a:graphic>
              <a:graphicData uri="http://schemas.openxmlformats.org/drawingml/2006/picture">
                <pic:pic>
                  <pic:nvPicPr>
                    <pic:cNvPr id="0" name="proof_npm_build.png"/>
                    <pic:cNvPicPr/>
                  </pic:nvPicPr>
                  <pic:blipFill>
                    <a:blip r:embed="rId24"/>
                    <a:stretch>
                      <a:fillRect/>
                    </a:stretch>
                  </pic:blipFill>
                  <pic:spPr>
                    <a:xfrm>
                      <a:off x="0" y="0"/>
                      <a:ext cx="5715000" cy="3571875"/>
                    </a:xfrm>
                    <a:prstGeom prst="rect"/>
                  </pic:spPr>
                </pic:pic>
              </a:graphicData>
            </a:graphic>
          </wp:inline>
        </w:drawing>
      </w:r>
    </w:p>
    <w:p>
      <w:pPr>
        <w:jc w:val="center"/>
      </w:pPr>
      <w:r>
        <w:rPr>
          <w:rFonts w:ascii="Calibri" w:hAnsi="Calibri"/>
          <w:b w:val="0"/>
          <w:i/>
          <w:color w:val="555555"/>
          <w:sz w:val="18"/>
        </w:rPr>
        <w:t>Proof D. Production build output from npm run build.</w:t>
      </w:r>
    </w:p>
    <w:p>
      <w:pPr>
        <w:jc w:val="center"/>
      </w:pPr>
      <w:r>
        <w:drawing>
          <wp:inline xmlns:a="http://schemas.openxmlformats.org/drawingml/2006/main" xmlns:pic="http://schemas.openxmlformats.org/drawingml/2006/picture">
            <wp:extent cx="5715000" cy="3571875"/>
            <wp:docPr id="16" name="Picture 16"/>
            <wp:cNvGraphicFramePr>
              <a:graphicFrameLocks noChangeAspect="1"/>
            </wp:cNvGraphicFramePr>
            <a:graphic>
              <a:graphicData uri="http://schemas.openxmlformats.org/drawingml/2006/picture">
                <pic:pic>
                  <pic:nvPicPr>
                    <pic:cNvPr id="0" name="proof_pytest_findings.png"/>
                    <pic:cNvPicPr/>
                  </pic:nvPicPr>
                  <pic:blipFill>
                    <a:blip r:embed="rId25"/>
                    <a:stretch>
                      <a:fillRect/>
                    </a:stretch>
                  </pic:blipFill>
                  <pic:spPr>
                    <a:xfrm>
                      <a:off x="0" y="0"/>
                      <a:ext cx="5715000" cy="3571875"/>
                    </a:xfrm>
                    <a:prstGeom prst="rect"/>
                  </pic:spPr>
                </pic:pic>
              </a:graphicData>
            </a:graphic>
          </wp:inline>
        </w:drawing>
      </w:r>
    </w:p>
    <w:p>
      <w:pPr>
        <w:jc w:val="center"/>
      </w:pPr>
      <w:r>
        <w:rPr>
          <w:rFonts w:ascii="Calibri" w:hAnsi="Calibri"/>
          <w:b w:val="0"/>
          <w:i/>
          <w:color w:val="555555"/>
          <w:sz w:val="18"/>
        </w:rPr>
        <w:t>Proof E. Pytest output showing real test findings after installing required Python packages.</w:t>
      </w:r>
    </w:p>
    <w:tbl>
      <w:tblPr>
        <w:tblStyle w:val="TableGrid"/>
        <w:tblW w:type="auto" w:w="0"/>
        <w:jc w:val="center"/>
        <w:tblLook w:firstColumn="1" w:firstRow="1" w:lastColumn="0" w:lastRow="0" w:noHBand="0" w:noVBand="1" w:val="04A0"/>
      </w:tblPr>
      <w:tblGrid>
        <w:gridCol w:w="3120"/>
        <w:gridCol w:w="3120"/>
        <w:gridCol w:w="3120"/>
      </w:tblGrid>
      <w:tr>
        <w:tc>
          <w:tcPr>
            <w:tcW w:type="dxa" w:w="2500"/>
            <w:tcMar>
              <w:top w:w="80" w:type="dxa"/>
              <w:start w:w="120" w:type="dxa"/>
              <w:bottom w:w="80" w:type="dxa"/>
              <w:end w:w="120" w:type="dxa"/>
            </w:tcMar>
            <w:shd w:fill="F2F4F7"/>
            <w:vAlign w:val="center"/>
          </w:tcPr>
          <w:p>
            <w:pPr>
              <w:jc w:val="center"/>
            </w:pPr>
            <w:r>
              <w:rPr>
                <w:rFonts w:ascii="Calibri" w:hAnsi="Calibri"/>
                <w:b/>
                <w:i w:val="0"/>
                <w:color w:val="1F4D78"/>
                <w:sz w:val="19"/>
              </w:rPr>
              <w:t>Test area</w:t>
            </w:r>
          </w:p>
        </w:tc>
        <w:tc>
          <w:tcPr>
            <w:tcW w:type="dxa" w:w="3100"/>
            <w:tcMar>
              <w:top w:w="80" w:type="dxa"/>
              <w:start w:w="120" w:type="dxa"/>
              <w:bottom w:w="80" w:type="dxa"/>
              <w:end w:w="120" w:type="dxa"/>
            </w:tcMar>
            <w:shd w:fill="F2F4F7"/>
            <w:vAlign w:val="center"/>
          </w:tcPr>
          <w:p>
            <w:pPr>
              <w:jc w:val="center"/>
            </w:pPr>
            <w:r>
              <w:rPr>
                <w:rFonts w:ascii="Calibri" w:hAnsi="Calibri"/>
                <w:b/>
                <w:i w:val="0"/>
                <w:color w:val="1F4D78"/>
                <w:sz w:val="19"/>
              </w:rPr>
              <w:t>Command</w:t>
            </w:r>
          </w:p>
        </w:tc>
        <w:tc>
          <w:tcPr>
            <w:tcW w:type="dxa" w:w="3760"/>
            <w:tcMar>
              <w:top w:w="80" w:type="dxa"/>
              <w:start w:w="120" w:type="dxa"/>
              <w:bottom w:w="80" w:type="dxa"/>
              <w:end w:w="120" w:type="dxa"/>
            </w:tcMar>
            <w:shd w:fill="F2F4F7"/>
            <w:vAlign w:val="center"/>
          </w:tcPr>
          <w:p>
            <w:pPr>
              <w:jc w:val="center"/>
            </w:pPr>
            <w:r>
              <w:rPr>
                <w:rFonts w:ascii="Calibri" w:hAnsi="Calibri"/>
                <w:b/>
                <w:i w:val="0"/>
                <w:color w:val="1F4D78"/>
                <w:sz w:val="19"/>
              </w:rPr>
              <w:t>Outcome</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Frontend production build</w:t>
            </w:r>
          </w:p>
        </w:tc>
        <w:tc>
          <w:tcPr>
            <w:tcW w:type="dxa" w:w="3100"/>
            <w:tcMar>
              <w:top w:w="80" w:type="dxa"/>
              <w:start w:w="120" w:type="dxa"/>
              <w:bottom w:w="80" w:type="dxa"/>
              <w:end w:w="120" w:type="dxa"/>
            </w:tcMar>
            <w:vAlign w:val="center"/>
          </w:tcPr>
          <w:p>
            <w:pPr>
              <w:jc w:val="center"/>
            </w:pPr>
            <w:r>
              <w:rPr>
                <w:rFonts w:ascii="Calibri" w:hAnsi="Calibri"/>
                <w:b w:val="0"/>
                <w:i w:val="0"/>
                <w:sz w:val="18"/>
              </w:rPr>
              <w:t>npm run build</w:t>
            </w:r>
          </w:p>
        </w:tc>
        <w:tc>
          <w:tcPr>
            <w:tcW w:type="dxa" w:w="3760"/>
            <w:tcMar>
              <w:top w:w="80" w:type="dxa"/>
              <w:start w:w="120" w:type="dxa"/>
              <w:bottom w:w="80" w:type="dxa"/>
              <w:end w:w="120" w:type="dxa"/>
            </w:tcMar>
            <w:vAlign w:val="center"/>
          </w:tcPr>
          <w:p>
            <w:pPr>
              <w:jc w:val="left"/>
            </w:pPr>
            <w:r>
              <w:rPr>
                <w:rFonts w:ascii="Calibri" w:hAnsi="Calibri"/>
                <w:b w:val="0"/>
                <w:i w:val="0"/>
                <w:sz w:val="18"/>
              </w:rPr>
              <w:t>Passed. Vite transformed 2002 modules and emitted production assets.</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Local dashboard preview</w:t>
            </w:r>
          </w:p>
        </w:tc>
        <w:tc>
          <w:tcPr>
            <w:tcW w:type="dxa" w:w="3100"/>
            <w:tcMar>
              <w:top w:w="80" w:type="dxa"/>
              <w:start w:w="120" w:type="dxa"/>
              <w:bottom w:w="80" w:type="dxa"/>
              <w:end w:w="120" w:type="dxa"/>
            </w:tcMar>
            <w:vAlign w:val="center"/>
          </w:tcPr>
          <w:p>
            <w:pPr>
              <w:jc w:val="left"/>
            </w:pPr>
            <w:r>
              <w:rPr>
                <w:rFonts w:ascii="Calibri" w:hAnsi="Calibri"/>
                <w:b w:val="0"/>
                <w:i w:val="0"/>
                <w:sz w:val="18"/>
              </w:rPr>
              <w:t>Invoke-WebRequest http://127.0.0.1:4173/</w:t>
            </w:r>
          </w:p>
        </w:tc>
        <w:tc>
          <w:tcPr>
            <w:tcW w:type="dxa" w:w="3760"/>
            <w:tcMar>
              <w:top w:w="80" w:type="dxa"/>
              <w:start w:w="120" w:type="dxa"/>
              <w:bottom w:w="80" w:type="dxa"/>
              <w:end w:w="120" w:type="dxa"/>
            </w:tcMar>
            <w:vAlign w:val="center"/>
          </w:tcPr>
          <w:p>
            <w:pPr>
              <w:jc w:val="left"/>
            </w:pPr>
            <w:r>
              <w:rPr>
                <w:rFonts w:ascii="Calibri" w:hAnsi="Calibri"/>
                <w:b w:val="0"/>
                <w:i w:val="0"/>
                <w:sz w:val="18"/>
              </w:rPr>
              <w:t>Passed. HTTP 200 and RetailPulse title found.</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Browser walkthrough</w:t>
            </w:r>
          </w:p>
        </w:tc>
        <w:tc>
          <w:tcPr>
            <w:tcW w:type="dxa" w:w="3100"/>
            <w:tcMar>
              <w:top w:w="80" w:type="dxa"/>
              <w:start w:w="120" w:type="dxa"/>
              <w:bottom w:w="80" w:type="dxa"/>
              <w:end w:w="120" w:type="dxa"/>
            </w:tcMar>
            <w:vAlign w:val="center"/>
          </w:tcPr>
          <w:p>
            <w:pPr>
              <w:jc w:val="left"/>
            </w:pPr>
            <w:r>
              <w:rPr>
                <w:rFonts w:ascii="Calibri" w:hAnsi="Calibri"/>
                <w:b w:val="0"/>
                <w:i w:val="0"/>
                <w:sz w:val="18"/>
              </w:rPr>
              <w:t>Chrome/Playwright module navigation and screenshot capture</w:t>
            </w:r>
          </w:p>
        </w:tc>
        <w:tc>
          <w:tcPr>
            <w:tcW w:type="dxa" w:w="3760"/>
            <w:tcMar>
              <w:top w:w="80" w:type="dxa"/>
              <w:start w:w="120" w:type="dxa"/>
              <w:bottom w:w="80" w:type="dxa"/>
              <w:end w:w="120" w:type="dxa"/>
            </w:tcMar>
            <w:vAlign w:val="center"/>
          </w:tcPr>
          <w:p>
            <w:pPr>
              <w:jc w:val="left"/>
            </w:pPr>
            <w:r>
              <w:rPr>
                <w:rFonts w:ascii="Calibri" w:hAnsi="Calibri"/>
                <w:b w:val="0"/>
                <w:i w:val="0"/>
                <w:sz w:val="18"/>
              </w:rPr>
              <w:t>Passed. Screenshots captured for all main modules and no console errors reported.</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Dashboard data contract</w:t>
            </w:r>
          </w:p>
        </w:tc>
        <w:tc>
          <w:tcPr>
            <w:tcW w:type="dxa" w:w="3100"/>
            <w:tcMar>
              <w:top w:w="80" w:type="dxa"/>
              <w:start w:w="120" w:type="dxa"/>
              <w:bottom w:w="80" w:type="dxa"/>
              <w:end w:w="120" w:type="dxa"/>
            </w:tcMar>
            <w:vAlign w:val="center"/>
          </w:tcPr>
          <w:p>
            <w:pPr>
              <w:jc w:val="left"/>
            </w:pPr>
            <w:r>
              <w:rPr>
                <w:rFonts w:ascii="Calibri" w:hAnsi="Calibri"/>
                <w:b w:val="0"/>
                <w:i w:val="0"/>
                <w:sz w:val="18"/>
              </w:rPr>
              <w:t>py -3 tools/dashboard_data_contract_check.py</w:t>
            </w:r>
          </w:p>
        </w:tc>
        <w:tc>
          <w:tcPr>
            <w:tcW w:type="dxa" w:w="3760"/>
            <w:tcMar>
              <w:top w:w="80" w:type="dxa"/>
              <w:start w:w="120" w:type="dxa"/>
              <w:bottom w:w="80" w:type="dxa"/>
              <w:end w:w="120" w:type="dxa"/>
            </w:tcMar>
            <w:vAlign w:val="center"/>
          </w:tcPr>
          <w:p>
            <w:pPr>
              <w:jc w:val="left"/>
            </w:pPr>
            <w:r>
              <w:rPr>
                <w:rFonts w:ascii="Calibri" w:hAnsi="Calibri"/>
                <w:b w:val="0"/>
                <w:i w:val="0"/>
                <w:sz w:val="18"/>
              </w:rPr>
              <w:t>Passed. All dashboard-facing CSV sources and required columns were present.</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Python syntax</w:t>
            </w:r>
          </w:p>
        </w:tc>
        <w:tc>
          <w:tcPr>
            <w:tcW w:type="dxa" w:w="3100"/>
            <w:tcMar>
              <w:top w:w="80" w:type="dxa"/>
              <w:start w:w="120" w:type="dxa"/>
              <w:bottom w:w="80" w:type="dxa"/>
              <w:end w:w="120" w:type="dxa"/>
            </w:tcMar>
            <w:vAlign w:val="center"/>
          </w:tcPr>
          <w:p>
            <w:pPr>
              <w:jc w:val="left"/>
            </w:pPr>
            <w:r>
              <w:rPr>
                <w:rFonts w:ascii="Calibri" w:hAnsi="Calibri"/>
                <w:b w:val="0"/>
                <w:i w:val="0"/>
                <w:sz w:val="18"/>
              </w:rPr>
              <w:t>py -3 -m compileall src tests</w:t>
            </w:r>
          </w:p>
        </w:tc>
        <w:tc>
          <w:tcPr>
            <w:tcW w:type="dxa" w:w="3760"/>
            <w:tcMar>
              <w:top w:w="80" w:type="dxa"/>
              <w:start w:w="120" w:type="dxa"/>
              <w:bottom w:w="80" w:type="dxa"/>
              <w:end w:w="120" w:type="dxa"/>
            </w:tcMar>
            <w:vAlign w:val="center"/>
          </w:tcPr>
          <w:p>
            <w:pPr>
              <w:jc w:val="left"/>
            </w:pPr>
            <w:r>
              <w:rPr>
                <w:rFonts w:ascii="Calibri" w:hAnsi="Calibri"/>
                <w:b w:val="0"/>
                <w:i w:val="0"/>
                <w:sz w:val="18"/>
              </w:rPr>
              <w:t>Passed. Python source and test files compiled.</w:t>
            </w:r>
          </w:p>
        </w:tc>
      </w:tr>
      <w:tr>
        <w:tc>
          <w:tcPr>
            <w:tcW w:type="dxa" w:w="2500"/>
            <w:tcMar>
              <w:top w:w="80" w:type="dxa"/>
              <w:start w:w="120" w:type="dxa"/>
              <w:bottom w:w="80" w:type="dxa"/>
              <w:end w:w="120" w:type="dxa"/>
            </w:tcMar>
            <w:vAlign w:val="center"/>
          </w:tcPr>
          <w:p>
            <w:pPr>
              <w:jc w:val="left"/>
            </w:pPr>
            <w:r>
              <w:rPr>
                <w:rFonts w:ascii="Calibri" w:hAnsi="Calibri"/>
                <w:b w:val="0"/>
                <w:i w:val="0"/>
                <w:sz w:val="18"/>
              </w:rPr>
              <w:t>Python test suite</w:t>
            </w:r>
          </w:p>
        </w:tc>
        <w:tc>
          <w:tcPr>
            <w:tcW w:type="dxa" w:w="3100"/>
            <w:tcMar>
              <w:top w:w="80" w:type="dxa"/>
              <w:start w:w="120" w:type="dxa"/>
              <w:bottom w:w="80" w:type="dxa"/>
              <w:end w:w="120" w:type="dxa"/>
            </w:tcMar>
            <w:vAlign w:val="center"/>
          </w:tcPr>
          <w:p>
            <w:pPr>
              <w:jc w:val="center"/>
            </w:pPr>
            <w:r>
              <w:rPr>
                <w:rFonts w:ascii="Calibri" w:hAnsi="Calibri"/>
                <w:b w:val="0"/>
                <w:i w:val="0"/>
                <w:sz w:val="18"/>
              </w:rPr>
              <w:t>py -3 -m pytest tests -q</w:t>
            </w:r>
          </w:p>
        </w:tc>
        <w:tc>
          <w:tcPr>
            <w:tcW w:type="dxa" w:w="3760"/>
            <w:tcMar>
              <w:top w:w="80" w:type="dxa"/>
              <w:start w:w="120" w:type="dxa"/>
              <w:bottom w:w="80" w:type="dxa"/>
              <w:end w:w="120" w:type="dxa"/>
            </w:tcMar>
            <w:vAlign w:val="center"/>
          </w:tcPr>
          <w:p>
            <w:pPr>
              <w:jc w:val="left"/>
            </w:pPr>
            <w:r>
              <w:rPr>
                <w:rFonts w:ascii="Calibri" w:hAnsi="Calibri"/>
                <w:b w:val="0"/>
                <w:i w:val="0"/>
                <w:sz w:val="18"/>
              </w:rPr>
              <w:t>Passed after fixes. Result: 20 passed.</w:t>
            </w:r>
          </w:p>
        </w:tc>
      </w:tr>
    </w:tbl>
    <w:p/>
    <w:p>
      <w:pPr>
        <w:pStyle w:val="Heading1"/>
      </w:pPr>
      <w:r>
        <w:t>8. Problems, Struggles, and Fixes</w:t>
      </w:r>
    </w:p>
    <w:p>
      <w:r>
        <w:rPr>
          <w:rFonts w:ascii="Calibri" w:hAnsi="Calibri"/>
          <w:b w:val="0"/>
          <w:i w:val="0"/>
        </w:rPr>
        <w:t>This project had real integration issues. I am documenting them clearly because they show how the final dashboard became stable.</w:t>
      </w:r>
    </w:p>
    <w:tbl>
      <w:tblPr>
        <w:tblStyle w:val="TableGrid"/>
        <w:tblW w:type="auto" w:w="0"/>
        <w:jc w:val="center"/>
        <w:tblLook w:firstColumn="1" w:firstRow="1" w:lastColumn="0" w:lastRow="0" w:noHBand="0" w:noVBand="1" w:val="04A0"/>
      </w:tblPr>
      <w:tblGrid>
        <w:gridCol w:w="3120"/>
        <w:gridCol w:w="3120"/>
        <w:gridCol w:w="3120"/>
      </w:tblGrid>
      <w:tr>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Problem faced</w:t>
            </w:r>
          </w:p>
        </w:tc>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Impact</w:t>
            </w:r>
          </w:p>
        </w:tc>
        <w:tc>
          <w:tcPr>
            <w:tcW w:type="dxa" w:w="3360"/>
            <w:tcMar>
              <w:top w:w="80" w:type="dxa"/>
              <w:start w:w="120" w:type="dxa"/>
              <w:bottom w:w="80" w:type="dxa"/>
              <w:end w:w="120" w:type="dxa"/>
            </w:tcMar>
            <w:shd w:fill="F2F4F7"/>
            <w:vAlign w:val="center"/>
          </w:tcPr>
          <w:p>
            <w:pPr>
              <w:jc w:val="center"/>
            </w:pPr>
            <w:r>
              <w:rPr>
                <w:rFonts w:ascii="Calibri" w:hAnsi="Calibri"/>
                <w:b/>
                <w:i w:val="0"/>
                <w:color w:val="1F4D78"/>
                <w:sz w:val="19"/>
              </w:rPr>
              <w:t>How it was fixed or handled</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Full features_data.csv was too large for GitHub.</w:t>
            </w:r>
          </w:p>
        </w:tc>
        <w:tc>
          <w:tcPr>
            <w:tcW w:type="dxa" w:w="3000"/>
            <w:tcMar>
              <w:top w:w="80" w:type="dxa"/>
              <w:start w:w="120" w:type="dxa"/>
              <w:bottom w:w="80" w:type="dxa"/>
              <w:end w:w="120" w:type="dxa"/>
            </w:tcMar>
            <w:vAlign w:val="center"/>
          </w:tcPr>
          <w:p>
            <w:pPr>
              <w:jc w:val="left"/>
            </w:pPr>
            <w:r>
              <w:rPr>
                <w:rFonts w:ascii="Calibri" w:hAnsi="Calibri"/>
                <w:b w:val="0"/>
                <w:i w:val="0"/>
                <w:sz w:val="18"/>
              </w:rPr>
              <w:t>Rohinee's full feature output could not be pushed normally because it is about 188 MB.</w:t>
            </w:r>
          </w:p>
        </w:tc>
        <w:tc>
          <w:tcPr>
            <w:tcW w:type="dxa" w:w="3360"/>
            <w:tcMar>
              <w:top w:w="80" w:type="dxa"/>
              <w:start w:w="120" w:type="dxa"/>
              <w:bottom w:w="80" w:type="dxa"/>
              <w:end w:w="120" w:type="dxa"/>
            </w:tcMar>
            <w:vAlign w:val="center"/>
          </w:tcPr>
          <w:p>
            <w:pPr>
              <w:jc w:val="left"/>
            </w:pPr>
            <w:r>
              <w:rPr>
                <w:rFonts w:ascii="Calibri" w:hAnsi="Calibri"/>
                <w:b w:val="0"/>
                <w:i w:val="0"/>
                <w:sz w:val="18"/>
              </w:rPr>
              <w:t>Kept full file locally/shared separately; used features_data_sample.csv and features_summary.json for repository-safe and dashboard-safe integration.</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Column naming mismatch between tests and generated files.</w:t>
            </w:r>
          </w:p>
        </w:tc>
        <w:tc>
          <w:tcPr>
            <w:tcW w:type="dxa" w:w="3000"/>
            <w:tcMar>
              <w:top w:w="80" w:type="dxa"/>
              <w:start w:w="120" w:type="dxa"/>
              <w:bottom w:w="80" w:type="dxa"/>
              <w:end w:w="120" w:type="dxa"/>
            </w:tcMar>
            <w:vAlign w:val="center"/>
          </w:tcPr>
          <w:p>
            <w:pPr>
              <w:jc w:val="left"/>
            </w:pPr>
            <w:r>
              <w:rPr>
                <w:rFonts w:ascii="Calibri" w:hAnsi="Calibri"/>
                <w:b w:val="0"/>
                <w:i w:val="0"/>
                <w:sz w:val="18"/>
              </w:rPr>
              <w:t>Original tests expected Customer ID, Lag1, Lag7, while generated/current files use Customer_ID, Lag_1, Lag_7.</w:t>
            </w:r>
          </w:p>
        </w:tc>
        <w:tc>
          <w:tcPr>
            <w:tcW w:type="dxa" w:w="3360"/>
            <w:tcMar>
              <w:top w:w="80" w:type="dxa"/>
              <w:start w:w="120" w:type="dxa"/>
              <w:bottom w:w="80" w:type="dxa"/>
              <w:end w:w="120" w:type="dxa"/>
            </w:tcMar>
            <w:vAlign w:val="center"/>
          </w:tcPr>
          <w:p>
            <w:pPr>
              <w:jc w:val="left"/>
            </w:pPr>
            <w:r>
              <w:rPr>
                <w:rFonts w:ascii="Calibri" w:hAnsi="Calibri"/>
                <w:b w:val="0"/>
                <w:i w:val="0"/>
                <w:sz w:val="18"/>
              </w:rPr>
              <w:t>Updated tests to use the standardized project schema.</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features_data.csv not present under data/processed in repo.</w:t>
            </w:r>
          </w:p>
        </w:tc>
        <w:tc>
          <w:tcPr>
            <w:tcW w:type="dxa" w:w="3000"/>
            <w:tcMar>
              <w:top w:w="80" w:type="dxa"/>
              <w:start w:w="120" w:type="dxa"/>
              <w:bottom w:w="80" w:type="dxa"/>
              <w:end w:w="120" w:type="dxa"/>
            </w:tcMar>
            <w:vAlign w:val="center"/>
          </w:tcPr>
          <w:p>
            <w:pPr>
              <w:jc w:val="left"/>
            </w:pPr>
            <w:r>
              <w:rPr>
                <w:rFonts w:ascii="Calibri" w:hAnsi="Calibri"/>
                <w:b w:val="0"/>
                <w:i w:val="0"/>
                <w:sz w:val="18"/>
              </w:rPr>
              <w:t>The full feature file is around 188 MB and should not be committed normally.</w:t>
            </w:r>
          </w:p>
        </w:tc>
        <w:tc>
          <w:tcPr>
            <w:tcW w:type="dxa" w:w="3360"/>
            <w:tcMar>
              <w:top w:w="80" w:type="dxa"/>
              <w:start w:w="120" w:type="dxa"/>
              <w:bottom w:w="80" w:type="dxa"/>
              <w:end w:w="120" w:type="dxa"/>
            </w:tcMar>
            <w:vAlign w:val="center"/>
          </w:tcPr>
          <w:p>
            <w:pPr>
              <w:jc w:val="left"/>
            </w:pPr>
            <w:r>
              <w:rPr>
                <w:rFonts w:ascii="Calibri" w:hAnsi="Calibri"/>
                <w:b w:val="0"/>
                <w:i w:val="0"/>
                <w:sz w:val="18"/>
              </w:rPr>
              <w:t>Updated tests to use the full file when present, otherwise validate data/processed/features_data_sample.csv. Dashboard uses sample + summary for browser-safe integration.</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Python environment initially lacked pandas, numpy, pytest.</w:t>
            </w:r>
          </w:p>
        </w:tc>
        <w:tc>
          <w:tcPr>
            <w:tcW w:type="dxa" w:w="3000"/>
            <w:tcMar>
              <w:top w:w="80" w:type="dxa"/>
              <w:start w:w="120" w:type="dxa"/>
              <w:bottom w:w="80" w:type="dxa"/>
              <w:end w:w="120" w:type="dxa"/>
            </w:tcMar>
            <w:vAlign w:val="center"/>
          </w:tcPr>
          <w:p>
            <w:pPr>
              <w:jc w:val="left"/>
            </w:pPr>
            <w:r>
              <w:rPr>
                <w:rFonts w:ascii="Calibri" w:hAnsi="Calibri"/>
                <w:b w:val="0"/>
                <w:i w:val="0"/>
                <w:sz w:val="18"/>
              </w:rPr>
              <w:t>Tests could not run at all.</w:t>
            </w:r>
          </w:p>
        </w:tc>
        <w:tc>
          <w:tcPr>
            <w:tcW w:type="dxa" w:w="3360"/>
            <w:tcMar>
              <w:top w:w="80" w:type="dxa"/>
              <w:start w:w="120" w:type="dxa"/>
              <w:bottom w:w="80" w:type="dxa"/>
              <w:end w:w="120" w:type="dxa"/>
            </w:tcMar>
            <w:vAlign w:val="center"/>
          </w:tcPr>
          <w:p>
            <w:pPr>
              <w:jc w:val="left"/>
            </w:pPr>
            <w:r>
              <w:rPr>
                <w:rFonts w:ascii="Calibri" w:hAnsi="Calibri"/>
                <w:b w:val="0"/>
                <w:i w:val="0"/>
                <w:sz w:val="18"/>
              </w:rPr>
              <w:t>Installed the required Python packages, reran pytest, and verified 20 passing tests.</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InvoiceDate fields were converted incorrectly.</w:t>
            </w:r>
          </w:p>
        </w:tc>
        <w:tc>
          <w:tcPr>
            <w:tcW w:type="dxa" w:w="3000"/>
            <w:tcMar>
              <w:top w:w="80" w:type="dxa"/>
              <w:start w:w="120" w:type="dxa"/>
              <w:bottom w:w="80" w:type="dxa"/>
              <w:end w:w="120" w:type="dxa"/>
            </w:tcMar>
            <w:vAlign w:val="center"/>
          </w:tcPr>
          <w:p>
            <w:pPr>
              <w:jc w:val="left"/>
            </w:pPr>
            <w:r>
              <w:rPr>
                <w:rFonts w:ascii="Calibri" w:hAnsi="Calibri"/>
                <w:b w:val="0"/>
                <w:i w:val="0"/>
                <w:sz w:val="18"/>
              </w:rPr>
              <w:t>The cleaned/features files contained Excel serial day values interpreted as nanoseconds after 1970, creating 1970 dates.</w:t>
            </w:r>
          </w:p>
        </w:tc>
        <w:tc>
          <w:tcPr>
            <w:tcW w:type="dxa" w:w="3360"/>
            <w:tcMar>
              <w:top w:w="80" w:type="dxa"/>
              <w:start w:w="120" w:type="dxa"/>
              <w:bottom w:w="80" w:type="dxa"/>
              <w:end w:w="120" w:type="dxa"/>
            </w:tcMar>
            <w:vAlign w:val="center"/>
          </w:tcPr>
          <w:p>
            <w:pPr>
              <w:jc w:val="left"/>
            </w:pPr>
            <w:r>
              <w:rPr>
                <w:rFonts w:ascii="Calibri" w:hAnsi="Calibri"/>
                <w:b w:val="0"/>
                <w:i w:val="0"/>
                <w:sz w:val="18"/>
              </w:rPr>
              <w:t>Recovered the Excel serial day values and normalized repo-safe files into real 2009-2011 dates; feature date columns now match.</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Default python path earlier resolved to an unrelated environment.</w:t>
            </w:r>
          </w:p>
        </w:tc>
        <w:tc>
          <w:tcPr>
            <w:tcW w:type="dxa" w:w="3000"/>
            <w:tcMar>
              <w:top w:w="80" w:type="dxa"/>
              <w:start w:w="120" w:type="dxa"/>
              <w:bottom w:w="80" w:type="dxa"/>
              <w:end w:w="120" w:type="dxa"/>
            </w:tcMar>
            <w:vAlign w:val="center"/>
          </w:tcPr>
          <w:p>
            <w:pPr>
              <w:jc w:val="left"/>
            </w:pPr>
            <w:r>
              <w:rPr>
                <w:rFonts w:ascii="Calibri" w:hAnsi="Calibri"/>
                <w:b w:val="0"/>
                <w:i w:val="0"/>
                <w:sz w:val="18"/>
              </w:rPr>
              <w:t>Commands could accidentally use the wrong Python stack.</w:t>
            </w:r>
          </w:p>
        </w:tc>
        <w:tc>
          <w:tcPr>
            <w:tcW w:type="dxa" w:w="3360"/>
            <w:tcMar>
              <w:top w:w="80" w:type="dxa"/>
              <w:start w:w="120" w:type="dxa"/>
              <w:bottom w:w="80" w:type="dxa"/>
              <w:end w:w="120" w:type="dxa"/>
            </w:tcMar>
            <w:vAlign w:val="center"/>
          </w:tcPr>
          <w:p>
            <w:pPr>
              <w:jc w:val="left"/>
            </w:pPr>
            <w:r>
              <w:rPr>
                <w:rFonts w:ascii="Calibri" w:hAnsi="Calibri"/>
                <w:b w:val="0"/>
                <w:i w:val="0"/>
                <w:sz w:val="18"/>
              </w:rPr>
              <w:t>Verified system Python with py -3 and documented the environment issue.</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Repeated Remotion Play Data videos.</w:t>
            </w:r>
          </w:p>
        </w:tc>
        <w:tc>
          <w:tcPr>
            <w:tcW w:type="dxa" w:w="3000"/>
            <w:tcMar>
              <w:top w:w="80" w:type="dxa"/>
              <w:start w:w="120" w:type="dxa"/>
              <w:bottom w:w="80" w:type="dxa"/>
              <w:end w:w="120" w:type="dxa"/>
            </w:tcMar>
            <w:vAlign w:val="center"/>
          </w:tcPr>
          <w:p>
            <w:pPr>
              <w:jc w:val="left"/>
            </w:pPr>
            <w:r>
              <w:rPr>
                <w:rFonts w:ascii="Calibri" w:hAnsi="Calibri"/>
                <w:b w:val="0"/>
                <w:i w:val="0"/>
                <w:sz w:val="18"/>
              </w:rPr>
              <w:t>Churn and Demand panels looked like copied story templates.</w:t>
            </w:r>
          </w:p>
        </w:tc>
        <w:tc>
          <w:tcPr>
            <w:tcW w:type="dxa" w:w="3360"/>
            <w:tcMar>
              <w:top w:w="80" w:type="dxa"/>
              <w:start w:w="120" w:type="dxa"/>
              <w:bottom w:w="80" w:type="dxa"/>
              <w:end w:w="120" w:type="dxa"/>
            </w:tcMar>
            <w:vAlign w:val="center"/>
          </w:tcPr>
          <w:p>
            <w:pPr>
              <w:jc w:val="left"/>
            </w:pPr>
            <w:r>
              <w:rPr>
                <w:rFonts w:ascii="Calibri" w:hAnsi="Calibri"/>
                <w:b w:val="0"/>
                <w:i w:val="0"/>
                <w:sz w:val="18"/>
              </w:rPr>
              <w:t>Added explicit story IDs and unique visuals for churn distribution, risk matrix, retention timeline, forecast horizon, seasonality, weekly cycle, and category forecast.</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Charts initially looked plain/incomplete.</w:t>
            </w:r>
          </w:p>
        </w:tc>
        <w:tc>
          <w:tcPr>
            <w:tcW w:type="dxa" w:w="3000"/>
            <w:tcMar>
              <w:top w:w="80" w:type="dxa"/>
              <w:start w:w="120" w:type="dxa"/>
              <w:bottom w:w="80" w:type="dxa"/>
              <w:end w:w="120" w:type="dxa"/>
            </w:tcMar>
            <w:vAlign w:val="center"/>
          </w:tcPr>
          <w:p>
            <w:pPr>
              <w:jc w:val="left"/>
            </w:pPr>
            <w:r>
              <w:rPr>
                <w:rFonts w:ascii="Calibri" w:hAnsi="Calibri"/>
                <w:b w:val="0"/>
                <w:i w:val="0"/>
                <w:sz w:val="18"/>
              </w:rPr>
              <w:t>Some charts lacked endpoint markers, overflow control, or professional animation.</w:t>
            </w:r>
          </w:p>
        </w:tc>
        <w:tc>
          <w:tcPr>
            <w:tcW w:type="dxa" w:w="3360"/>
            <w:tcMar>
              <w:top w:w="80" w:type="dxa"/>
              <w:start w:w="120" w:type="dxa"/>
              <w:bottom w:w="80" w:type="dxa"/>
              <w:end w:w="120" w:type="dxa"/>
            </w:tcMar>
            <w:vAlign w:val="center"/>
          </w:tcPr>
          <w:p>
            <w:pPr>
              <w:jc w:val="left"/>
            </w:pPr>
            <w:r>
              <w:rPr>
                <w:rFonts w:ascii="Calibri" w:hAnsi="Calibri"/>
                <w:b w:val="0"/>
                <w:i w:val="0"/>
                <w:sz w:val="18"/>
              </w:rPr>
              <w:t>Improved chart styling, bloom-on-scroll animation, point markers, and responsive chart containment.</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Gauge needle was detached earlier.</w:t>
            </w:r>
          </w:p>
        </w:tc>
        <w:tc>
          <w:tcPr>
            <w:tcW w:type="dxa" w:w="3000"/>
            <w:tcMar>
              <w:top w:w="80" w:type="dxa"/>
              <w:start w:w="120" w:type="dxa"/>
              <w:bottom w:w="80" w:type="dxa"/>
              <w:end w:w="120" w:type="dxa"/>
            </w:tcMar>
            <w:vAlign w:val="center"/>
          </w:tcPr>
          <w:p>
            <w:pPr>
              <w:jc w:val="left"/>
            </w:pPr>
            <w:r>
              <w:rPr>
                <w:rFonts w:ascii="Calibri" w:hAnsi="Calibri"/>
                <w:b w:val="0"/>
                <w:i w:val="0"/>
                <w:sz w:val="18"/>
              </w:rPr>
              <w:t>Inventory gauge looked broken and visually inaccurate.</w:t>
            </w:r>
          </w:p>
        </w:tc>
        <w:tc>
          <w:tcPr>
            <w:tcW w:type="dxa" w:w="3360"/>
            <w:tcMar>
              <w:top w:w="80" w:type="dxa"/>
              <w:start w:w="120" w:type="dxa"/>
              <w:bottom w:w="80" w:type="dxa"/>
              <w:end w:w="120" w:type="dxa"/>
            </w:tcMar>
            <w:vAlign w:val="center"/>
          </w:tcPr>
          <w:p>
            <w:pPr>
              <w:jc w:val="left"/>
            </w:pPr>
            <w:r>
              <w:rPr>
                <w:rFonts w:ascii="Calibri" w:hAnsi="Calibri"/>
                <w:b w:val="0"/>
                <w:i w:val="0"/>
                <w:sz w:val="18"/>
              </w:rPr>
              <w:t>Rebuilt gauge as a cohesive component with shared center coordinates for arc/needle.</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Header overlapped content while scrolling.</w:t>
            </w:r>
          </w:p>
        </w:tc>
        <w:tc>
          <w:tcPr>
            <w:tcW w:type="dxa" w:w="3000"/>
            <w:tcMar>
              <w:top w:w="80" w:type="dxa"/>
              <w:start w:w="120" w:type="dxa"/>
              <w:bottom w:w="80" w:type="dxa"/>
              <w:end w:w="120" w:type="dxa"/>
            </w:tcMar>
            <w:vAlign w:val="center"/>
          </w:tcPr>
          <w:p>
            <w:pPr>
              <w:jc w:val="left"/>
            </w:pPr>
            <w:r>
              <w:rPr>
                <w:rFonts w:ascii="Calibri" w:hAnsi="Calibri"/>
                <w:b w:val="0"/>
                <w:i w:val="0"/>
                <w:sz w:val="18"/>
              </w:rPr>
              <w:t>Cards scrolled underneath the header.</w:t>
            </w:r>
          </w:p>
        </w:tc>
        <w:tc>
          <w:tcPr>
            <w:tcW w:type="dxa" w:w="3360"/>
            <w:tcMar>
              <w:top w:w="80" w:type="dxa"/>
              <w:start w:w="120" w:type="dxa"/>
              <w:bottom w:w="80" w:type="dxa"/>
              <w:end w:w="120" w:type="dxa"/>
            </w:tcMar>
            <w:vAlign w:val="center"/>
          </w:tcPr>
          <w:p>
            <w:pPr>
              <w:jc w:val="left"/>
            </w:pPr>
            <w:r>
              <w:rPr>
                <w:rFonts w:ascii="Calibri" w:hAnsi="Calibri"/>
                <w:b w:val="0"/>
                <w:i w:val="0"/>
                <w:sz w:val="18"/>
              </w:rPr>
              <w:t>Fixed scroll container spacing and stacking behavior so content starts below the header.</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Background animations were distracting.</w:t>
            </w:r>
          </w:p>
        </w:tc>
        <w:tc>
          <w:tcPr>
            <w:tcW w:type="dxa" w:w="3000"/>
            <w:tcMar>
              <w:top w:w="80" w:type="dxa"/>
              <w:start w:w="120" w:type="dxa"/>
              <w:bottom w:w="80" w:type="dxa"/>
              <w:end w:w="120" w:type="dxa"/>
            </w:tcMar>
            <w:vAlign w:val="center"/>
          </w:tcPr>
          <w:p>
            <w:pPr>
              <w:jc w:val="left"/>
            </w:pPr>
            <w:r>
              <w:rPr>
                <w:rFonts w:ascii="Calibri" w:hAnsi="Calibri"/>
                <w:b w:val="0"/>
                <w:i w:val="0"/>
                <w:sz w:val="18"/>
              </w:rPr>
              <w:t>Moving spirals and heavy background effects competed with dashboard content.</w:t>
            </w:r>
          </w:p>
        </w:tc>
        <w:tc>
          <w:tcPr>
            <w:tcW w:type="dxa" w:w="3360"/>
            <w:tcMar>
              <w:top w:w="80" w:type="dxa"/>
              <w:start w:w="120" w:type="dxa"/>
              <w:bottom w:w="80" w:type="dxa"/>
              <w:end w:w="120" w:type="dxa"/>
            </w:tcMar>
            <w:vAlign w:val="center"/>
          </w:tcPr>
          <w:p>
            <w:pPr>
              <w:jc w:val="left"/>
            </w:pPr>
            <w:r>
              <w:rPr>
                <w:rFonts w:ascii="Calibri" w:hAnsi="Calibri"/>
                <w:b w:val="0"/>
                <w:i w:val="0"/>
                <w:sz w:val="18"/>
              </w:rPr>
              <w:t>Replaced them with low-poly SVG backgrounds for dark/light themes.</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Light theme palette was too dark.</w:t>
            </w:r>
          </w:p>
        </w:tc>
        <w:tc>
          <w:tcPr>
            <w:tcW w:type="dxa" w:w="3000"/>
            <w:tcMar>
              <w:top w:w="80" w:type="dxa"/>
              <w:start w:w="120" w:type="dxa"/>
              <w:bottom w:w="80" w:type="dxa"/>
              <w:end w:w="120" w:type="dxa"/>
            </w:tcMar>
            <w:vAlign w:val="center"/>
          </w:tcPr>
          <w:p>
            <w:pPr>
              <w:jc w:val="left"/>
            </w:pPr>
            <w:r>
              <w:rPr>
                <w:rFonts w:ascii="Calibri" w:hAnsi="Calibri"/>
                <w:b w:val="0"/>
                <w:i w:val="0"/>
                <w:sz w:val="18"/>
              </w:rPr>
              <w:t>Light mode looked muddy and misaligned with reference visuals.</w:t>
            </w:r>
          </w:p>
        </w:tc>
        <w:tc>
          <w:tcPr>
            <w:tcW w:type="dxa" w:w="3360"/>
            <w:tcMar>
              <w:top w:w="80" w:type="dxa"/>
              <w:start w:w="120" w:type="dxa"/>
              <w:bottom w:w="80" w:type="dxa"/>
              <w:end w:w="120" w:type="dxa"/>
            </w:tcMar>
            <w:vAlign w:val="center"/>
          </w:tcPr>
          <w:p>
            <w:pPr>
              <w:jc w:val="left"/>
            </w:pPr>
            <w:r>
              <w:rPr>
                <w:rFonts w:ascii="Calibri" w:hAnsi="Calibri"/>
                <w:b w:val="0"/>
                <w:i w:val="0"/>
                <w:sz w:val="18"/>
              </w:rPr>
              <w:t>Adjusted light theme toward brighter metallic/silver styling while preserving contrast.</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LibreOffice headless render hung locally.</w:t>
            </w:r>
          </w:p>
        </w:tc>
        <w:tc>
          <w:tcPr>
            <w:tcW w:type="dxa" w:w="3000"/>
            <w:tcMar>
              <w:top w:w="80" w:type="dxa"/>
              <w:start w:w="120" w:type="dxa"/>
              <w:bottom w:w="80" w:type="dxa"/>
              <w:end w:w="120" w:type="dxa"/>
            </w:tcMar>
            <w:vAlign w:val="center"/>
          </w:tcPr>
          <w:p>
            <w:pPr>
              <w:jc w:val="left"/>
            </w:pPr>
            <w:r>
              <w:rPr>
                <w:rFonts w:ascii="Calibri" w:hAnsi="Calibri"/>
                <w:b w:val="0"/>
                <w:i w:val="0"/>
                <w:sz w:val="18"/>
              </w:rPr>
              <w:t>DOCX-to-PNG render QA could not complete in this Windows environment.</w:t>
            </w:r>
          </w:p>
        </w:tc>
        <w:tc>
          <w:tcPr>
            <w:tcW w:type="dxa" w:w="3360"/>
            <w:tcMar>
              <w:top w:w="80" w:type="dxa"/>
              <w:start w:w="120" w:type="dxa"/>
              <w:bottom w:w="80" w:type="dxa"/>
              <w:end w:w="120" w:type="dxa"/>
            </w:tcMar>
            <w:vAlign w:val="center"/>
          </w:tcPr>
          <w:p>
            <w:pPr>
              <w:jc w:val="left"/>
            </w:pPr>
            <w:r>
              <w:rPr>
                <w:rFonts w:ascii="Calibri" w:hAnsi="Calibri"/>
                <w:b w:val="0"/>
                <w:i w:val="0"/>
                <w:sz w:val="18"/>
              </w:rPr>
              <w:t>Performed structural DOCX QA and embedded evidence images; documented render limitation transparently.</w:t>
            </w:r>
          </w:p>
        </w:tc>
      </w:tr>
    </w:tbl>
    <w:p/>
    <w:p>
      <w:pPr>
        <w:pStyle w:val="Heading1"/>
      </w:pPr>
      <w:r>
        <w:t>9. Interface Explanation in Detail</w:t>
      </w:r>
    </w:p>
    <w:p>
      <w:r>
        <w:rPr>
          <w:rFonts w:ascii="Calibri" w:hAnsi="Calibri"/>
          <w:b w:val="0"/>
          <w:i w:val="0"/>
        </w:rPr>
        <w:t>The interface is intentionally built as a live command center rather than a basic admin dashboard.</w:t>
      </w:r>
    </w:p>
    <w:tbl>
      <w:tblPr>
        <w:tblStyle w:val="TableGrid"/>
        <w:tblW w:type="auto" w:w="0"/>
        <w:jc w:val="center"/>
        <w:tblLook w:firstColumn="1" w:firstRow="1" w:lastColumn="0" w:lastRow="0" w:noHBand="0" w:noVBand="1" w:val="04A0"/>
      </w:tblPr>
      <w:tblGrid>
        <w:gridCol w:w="3120"/>
        <w:gridCol w:w="3120"/>
        <w:gridCol w:w="3120"/>
      </w:tblGrid>
      <w:tr>
        <w:tc>
          <w:tcPr>
            <w:tcW w:type="dxa" w:w="2300"/>
            <w:tcMar>
              <w:top w:w="80" w:type="dxa"/>
              <w:start w:w="120" w:type="dxa"/>
              <w:bottom w:w="80" w:type="dxa"/>
              <w:end w:w="120" w:type="dxa"/>
            </w:tcMar>
            <w:shd w:fill="F2F4F7"/>
            <w:vAlign w:val="center"/>
          </w:tcPr>
          <w:p>
            <w:pPr>
              <w:jc w:val="center"/>
            </w:pPr>
            <w:r>
              <w:rPr>
                <w:rFonts w:ascii="Calibri" w:hAnsi="Calibri"/>
                <w:b/>
                <w:i w:val="0"/>
                <w:color w:val="1F4D78"/>
                <w:sz w:val="19"/>
              </w:rPr>
              <w:t>Interface element</w:t>
            </w:r>
          </w:p>
        </w:tc>
        <w:tc>
          <w:tcPr>
            <w:tcW w:type="dxa" w:w="3600"/>
            <w:tcMar>
              <w:top w:w="80" w:type="dxa"/>
              <w:start w:w="120" w:type="dxa"/>
              <w:bottom w:w="80" w:type="dxa"/>
              <w:end w:w="120" w:type="dxa"/>
            </w:tcMar>
            <w:shd w:fill="F2F4F7"/>
            <w:vAlign w:val="center"/>
          </w:tcPr>
          <w:p>
            <w:pPr>
              <w:jc w:val="center"/>
            </w:pPr>
            <w:r>
              <w:rPr>
                <w:rFonts w:ascii="Calibri" w:hAnsi="Calibri"/>
                <w:b/>
                <w:i w:val="0"/>
                <w:color w:val="1F4D78"/>
                <w:sz w:val="19"/>
              </w:rPr>
              <w:t>Purpose</w:t>
            </w:r>
          </w:p>
        </w:tc>
        <w:tc>
          <w:tcPr>
            <w:tcW w:type="dxa" w:w="3460"/>
            <w:tcMar>
              <w:top w:w="80" w:type="dxa"/>
              <w:start w:w="120" w:type="dxa"/>
              <w:bottom w:w="80" w:type="dxa"/>
              <w:end w:w="120" w:type="dxa"/>
            </w:tcMar>
            <w:shd w:fill="F2F4F7"/>
            <w:vAlign w:val="center"/>
          </w:tcPr>
          <w:p>
            <w:pPr>
              <w:jc w:val="center"/>
            </w:pPr>
            <w:r>
              <w:rPr>
                <w:rFonts w:ascii="Calibri" w:hAnsi="Calibri"/>
                <w:b/>
                <w:i w:val="0"/>
                <w:color w:val="1F4D78"/>
                <w:sz w:val="19"/>
              </w:rPr>
              <w:t>Why it matters</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Sidebar navigation</w:t>
            </w:r>
          </w:p>
        </w:tc>
        <w:tc>
          <w:tcPr>
            <w:tcW w:type="dxa" w:w="3600"/>
            <w:tcMar>
              <w:top w:w="80" w:type="dxa"/>
              <w:start w:w="120" w:type="dxa"/>
              <w:bottom w:w="80" w:type="dxa"/>
              <w:end w:w="120" w:type="dxa"/>
            </w:tcMar>
            <w:vAlign w:val="center"/>
          </w:tcPr>
          <w:p>
            <w:pPr>
              <w:jc w:val="left"/>
            </w:pPr>
            <w:r>
              <w:rPr>
                <w:rFonts w:ascii="Calibri" w:hAnsi="Calibri"/>
                <w:b w:val="0"/>
                <w:i w:val="0"/>
                <w:sz w:val="18"/>
              </w:rPr>
              <w:t>Switches between Overview, Segmentation, Churn, Forecasting, Inventory, Reports, Media Studio, and Settings.</w:t>
            </w:r>
          </w:p>
        </w:tc>
        <w:tc>
          <w:tcPr>
            <w:tcW w:type="dxa" w:w="3460"/>
            <w:tcMar>
              <w:top w:w="80" w:type="dxa"/>
              <w:start w:w="120" w:type="dxa"/>
              <w:bottom w:w="80" w:type="dxa"/>
              <w:end w:w="120" w:type="dxa"/>
            </w:tcMar>
            <w:vAlign w:val="center"/>
          </w:tcPr>
          <w:p>
            <w:pPr>
              <w:jc w:val="left"/>
            </w:pPr>
            <w:r>
              <w:rPr>
                <w:rFonts w:ascii="Calibri" w:hAnsi="Calibri"/>
                <w:b w:val="0"/>
                <w:i w:val="0"/>
                <w:sz w:val="18"/>
              </w:rPr>
              <w:t>Keeps all project modules visible and demonstrates that my dashboard is the integration layer.</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Top search/command bar</w:t>
            </w:r>
          </w:p>
        </w:tc>
        <w:tc>
          <w:tcPr>
            <w:tcW w:type="dxa" w:w="3600"/>
            <w:tcMar>
              <w:top w:w="80" w:type="dxa"/>
              <w:start w:w="120" w:type="dxa"/>
              <w:bottom w:w="80" w:type="dxa"/>
              <w:end w:w="120" w:type="dxa"/>
            </w:tcMar>
            <w:vAlign w:val="center"/>
          </w:tcPr>
          <w:p>
            <w:pPr>
              <w:jc w:val="left"/>
            </w:pPr>
            <w:r>
              <w:rPr>
                <w:rFonts w:ascii="Calibri" w:hAnsi="Calibri"/>
                <w:b w:val="0"/>
                <w:i w:val="0"/>
                <w:sz w:val="18"/>
              </w:rPr>
              <w:t>Provides module search and quick command access.</w:t>
            </w:r>
          </w:p>
        </w:tc>
        <w:tc>
          <w:tcPr>
            <w:tcW w:type="dxa" w:w="3460"/>
            <w:tcMar>
              <w:top w:w="80" w:type="dxa"/>
              <w:start w:w="120" w:type="dxa"/>
              <w:bottom w:w="80" w:type="dxa"/>
              <w:end w:w="120" w:type="dxa"/>
            </w:tcMar>
            <w:vAlign w:val="center"/>
          </w:tcPr>
          <w:p>
            <w:pPr>
              <w:jc w:val="left"/>
            </w:pPr>
            <w:r>
              <w:rPr>
                <w:rFonts w:ascii="Calibri" w:hAnsi="Calibri"/>
                <w:b w:val="0"/>
                <w:i w:val="0"/>
                <w:sz w:val="18"/>
              </w:rPr>
              <w:t>Makes the dashboard feel like an operating system and helps navigate during presentation.</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Hero module panel</w:t>
            </w:r>
          </w:p>
        </w:tc>
        <w:tc>
          <w:tcPr>
            <w:tcW w:type="dxa" w:w="3600"/>
            <w:tcMar>
              <w:top w:w="80" w:type="dxa"/>
              <w:start w:w="120" w:type="dxa"/>
              <w:bottom w:w="80" w:type="dxa"/>
              <w:end w:w="120" w:type="dxa"/>
            </w:tcMar>
            <w:vAlign w:val="center"/>
          </w:tcPr>
          <w:p>
            <w:pPr>
              <w:jc w:val="left"/>
            </w:pPr>
            <w:r>
              <w:rPr>
                <w:rFonts w:ascii="Calibri" w:hAnsi="Calibri"/>
                <w:b w:val="0"/>
                <w:i w:val="0"/>
                <w:sz w:val="18"/>
              </w:rPr>
              <w:t>Summarizes each module with primary, operational, and trend state metrics.</w:t>
            </w:r>
          </w:p>
        </w:tc>
        <w:tc>
          <w:tcPr>
            <w:tcW w:type="dxa" w:w="3460"/>
            <w:tcMar>
              <w:top w:w="80" w:type="dxa"/>
              <w:start w:w="120" w:type="dxa"/>
              <w:bottom w:w="80" w:type="dxa"/>
              <w:end w:w="120" w:type="dxa"/>
            </w:tcMar>
            <w:vAlign w:val="center"/>
          </w:tcPr>
          <w:p>
            <w:pPr>
              <w:jc w:val="left"/>
            </w:pPr>
            <w:r>
              <w:rPr>
                <w:rFonts w:ascii="Calibri" w:hAnsi="Calibri"/>
                <w:b w:val="0"/>
                <w:i w:val="0"/>
                <w:sz w:val="18"/>
              </w:rPr>
              <w:t>Gives a fast executive read before detailed charts.</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KPI cards</w:t>
            </w:r>
          </w:p>
        </w:tc>
        <w:tc>
          <w:tcPr>
            <w:tcW w:type="dxa" w:w="3600"/>
            <w:tcMar>
              <w:top w:w="80" w:type="dxa"/>
              <w:start w:w="120" w:type="dxa"/>
              <w:bottom w:w="80" w:type="dxa"/>
              <w:end w:w="120" w:type="dxa"/>
            </w:tcMar>
            <w:vAlign w:val="center"/>
          </w:tcPr>
          <w:p>
            <w:pPr>
              <w:jc w:val="left"/>
            </w:pPr>
            <w:r>
              <w:rPr>
                <w:rFonts w:ascii="Calibri" w:hAnsi="Calibri"/>
                <w:b w:val="0"/>
                <w:i w:val="0"/>
                <w:sz w:val="18"/>
              </w:rPr>
              <w:t>Show major business metrics with readable trend indicators.</w:t>
            </w:r>
          </w:p>
        </w:tc>
        <w:tc>
          <w:tcPr>
            <w:tcW w:type="dxa" w:w="3460"/>
            <w:tcMar>
              <w:top w:w="80" w:type="dxa"/>
              <w:start w:w="120" w:type="dxa"/>
              <w:bottom w:w="80" w:type="dxa"/>
              <w:end w:w="120" w:type="dxa"/>
            </w:tcMar>
            <w:vAlign w:val="center"/>
          </w:tcPr>
          <w:p>
            <w:pPr>
              <w:jc w:val="left"/>
            </w:pPr>
            <w:r>
              <w:rPr>
                <w:rFonts w:ascii="Calibri" w:hAnsi="Calibri"/>
                <w:b w:val="0"/>
                <w:i w:val="0"/>
                <w:sz w:val="18"/>
              </w:rPr>
              <w:t>Makes module outcomes easy to explain to evaluators.</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Charts and tables</w:t>
            </w:r>
          </w:p>
        </w:tc>
        <w:tc>
          <w:tcPr>
            <w:tcW w:type="dxa" w:w="3600"/>
            <w:tcMar>
              <w:top w:w="80" w:type="dxa"/>
              <w:start w:w="120" w:type="dxa"/>
              <w:bottom w:w="80" w:type="dxa"/>
              <w:end w:w="120" w:type="dxa"/>
            </w:tcMar>
            <w:vAlign w:val="center"/>
          </w:tcPr>
          <w:p>
            <w:pPr>
              <w:jc w:val="left"/>
            </w:pPr>
            <w:r>
              <w:rPr>
                <w:rFonts w:ascii="Calibri" w:hAnsi="Calibri"/>
                <w:b w:val="0"/>
                <w:i w:val="0"/>
                <w:sz w:val="18"/>
              </w:rPr>
              <w:t>Render revenue, demand, categories, churn, stock, reports, and recommendations.</w:t>
            </w:r>
          </w:p>
        </w:tc>
        <w:tc>
          <w:tcPr>
            <w:tcW w:type="dxa" w:w="3460"/>
            <w:tcMar>
              <w:top w:w="80" w:type="dxa"/>
              <w:start w:w="120" w:type="dxa"/>
              <w:bottom w:w="80" w:type="dxa"/>
              <w:end w:w="120" w:type="dxa"/>
            </w:tcMar>
            <w:vAlign w:val="center"/>
          </w:tcPr>
          <w:p>
            <w:pPr>
              <w:jc w:val="left"/>
            </w:pPr>
            <w:r>
              <w:rPr>
                <w:rFonts w:ascii="Calibri" w:hAnsi="Calibri"/>
                <w:b w:val="0"/>
                <w:i w:val="0"/>
                <w:sz w:val="18"/>
              </w:rPr>
              <w:t>Turns CSV outputs into visible insight.</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Play Data buttons</w:t>
            </w:r>
          </w:p>
        </w:tc>
        <w:tc>
          <w:tcPr>
            <w:tcW w:type="dxa" w:w="3600"/>
            <w:tcMar>
              <w:top w:w="80" w:type="dxa"/>
              <w:start w:w="120" w:type="dxa"/>
              <w:bottom w:w="80" w:type="dxa"/>
              <w:end w:w="120" w:type="dxa"/>
            </w:tcMar>
            <w:vAlign w:val="center"/>
          </w:tcPr>
          <w:p>
            <w:pPr>
              <w:jc w:val="left"/>
            </w:pPr>
            <w:r>
              <w:rPr>
                <w:rFonts w:ascii="Calibri" w:hAnsi="Calibri"/>
                <w:b w:val="0"/>
                <w:i w:val="0"/>
                <w:sz w:val="18"/>
              </w:rPr>
              <w:t>Open Remotion-powered story videos for charts/panels.</w:t>
            </w:r>
          </w:p>
        </w:tc>
        <w:tc>
          <w:tcPr>
            <w:tcW w:type="dxa" w:w="3460"/>
            <w:tcMar>
              <w:top w:w="80" w:type="dxa"/>
              <w:start w:w="120" w:type="dxa"/>
              <w:bottom w:w="80" w:type="dxa"/>
              <w:end w:w="120" w:type="dxa"/>
            </w:tcMar>
            <w:vAlign w:val="center"/>
          </w:tcPr>
          <w:p>
            <w:pPr>
              <w:jc w:val="left"/>
            </w:pPr>
            <w:r>
              <w:rPr>
                <w:rFonts w:ascii="Calibri" w:hAnsi="Calibri"/>
                <w:b w:val="0"/>
                <w:i w:val="0"/>
                <w:sz w:val="18"/>
              </w:rPr>
              <w:t>Provides proof that dashboard data can be transformed into presentation-ready data films.</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Media Studio</w:t>
            </w:r>
          </w:p>
        </w:tc>
        <w:tc>
          <w:tcPr>
            <w:tcW w:type="dxa" w:w="3600"/>
            <w:tcMar>
              <w:top w:w="80" w:type="dxa"/>
              <w:start w:w="120" w:type="dxa"/>
              <w:bottom w:w="80" w:type="dxa"/>
              <w:end w:w="120" w:type="dxa"/>
            </w:tcMar>
            <w:vAlign w:val="center"/>
          </w:tcPr>
          <w:p>
            <w:pPr>
              <w:jc w:val="left"/>
            </w:pPr>
            <w:r>
              <w:rPr>
                <w:rFonts w:ascii="Calibri" w:hAnsi="Calibri"/>
                <w:b w:val="0"/>
                <w:i w:val="0"/>
                <w:sz w:val="18"/>
              </w:rPr>
              <w:t>Centralizes module videos and export-style story formats.</w:t>
            </w:r>
          </w:p>
        </w:tc>
        <w:tc>
          <w:tcPr>
            <w:tcW w:type="dxa" w:w="3460"/>
            <w:tcMar>
              <w:top w:w="80" w:type="dxa"/>
              <w:start w:w="120" w:type="dxa"/>
              <w:bottom w:w="80" w:type="dxa"/>
              <w:end w:w="120" w:type="dxa"/>
            </w:tcMar>
            <w:vAlign w:val="center"/>
          </w:tcPr>
          <w:p>
            <w:pPr>
              <w:jc w:val="left"/>
            </w:pPr>
            <w:r>
              <w:rPr>
                <w:rFonts w:ascii="Calibri" w:hAnsi="Calibri"/>
                <w:b w:val="0"/>
                <w:i w:val="0"/>
                <w:sz w:val="18"/>
              </w:rPr>
              <w:t>Useful for final demo and project presentation.</w:t>
            </w:r>
          </w:p>
        </w:tc>
      </w:tr>
      <w:tr>
        <w:tc>
          <w:tcPr>
            <w:tcW w:type="dxa" w:w="2300"/>
            <w:tcMar>
              <w:top w:w="80" w:type="dxa"/>
              <w:start w:w="120" w:type="dxa"/>
              <w:bottom w:w="80" w:type="dxa"/>
              <w:end w:w="120" w:type="dxa"/>
            </w:tcMar>
            <w:vAlign w:val="center"/>
          </w:tcPr>
          <w:p>
            <w:pPr>
              <w:jc w:val="left"/>
            </w:pPr>
            <w:r>
              <w:rPr>
                <w:rFonts w:ascii="Calibri" w:hAnsi="Calibri"/>
                <w:b w:val="0"/>
                <w:i w:val="0"/>
                <w:sz w:val="18"/>
              </w:rPr>
              <w:t>Settings</w:t>
            </w:r>
          </w:p>
        </w:tc>
        <w:tc>
          <w:tcPr>
            <w:tcW w:type="dxa" w:w="3600"/>
            <w:tcMar>
              <w:top w:w="80" w:type="dxa"/>
              <w:start w:w="120" w:type="dxa"/>
              <w:bottom w:w="80" w:type="dxa"/>
              <w:end w:w="120" w:type="dxa"/>
            </w:tcMar>
            <w:vAlign w:val="center"/>
          </w:tcPr>
          <w:p>
            <w:pPr>
              <w:jc w:val="left"/>
            </w:pPr>
            <w:r>
              <w:rPr>
                <w:rFonts w:ascii="Calibri" w:hAnsi="Calibri"/>
                <w:b w:val="0"/>
                <w:i w:val="0"/>
                <w:sz w:val="18"/>
              </w:rPr>
              <w:t>Holds model, forecast, team, notification, and theme controls.</w:t>
            </w:r>
          </w:p>
        </w:tc>
        <w:tc>
          <w:tcPr>
            <w:tcW w:type="dxa" w:w="3460"/>
            <w:tcMar>
              <w:top w:w="80" w:type="dxa"/>
              <w:start w:w="120" w:type="dxa"/>
              <w:bottom w:w="80" w:type="dxa"/>
              <w:end w:w="120" w:type="dxa"/>
            </w:tcMar>
            <w:vAlign w:val="center"/>
          </w:tcPr>
          <w:p>
            <w:pPr>
              <w:jc w:val="left"/>
            </w:pPr>
            <w:r>
              <w:rPr>
                <w:rFonts w:ascii="Calibri" w:hAnsi="Calibri"/>
                <w:b w:val="0"/>
                <w:i w:val="0"/>
                <w:sz w:val="18"/>
              </w:rPr>
              <w:t>Keeps controls professional and avoids clutter on analytics pages.</w:t>
            </w:r>
          </w:p>
        </w:tc>
      </w:tr>
    </w:tbl>
    <w:p/>
    <w:p>
      <w:pPr>
        <w:pStyle w:val="Heading1"/>
      </w:pPr>
      <w:r>
        <w:t>10. Current Final Assessment</w:t>
      </w:r>
    </w:p>
    <w:tbl>
      <w:tblPr>
        <w:tblW w:type="auto" w:w="0"/>
        <w:jc w:val="center"/>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tcPr>
          <w:p>
            <w:r>
              <w:rPr>
                <w:rFonts w:ascii="Calibri" w:hAnsi="Calibri"/>
                <w:b/>
                <w:i w:val="0"/>
                <w:color w:val="1F4D78"/>
              </w:rPr>
              <w:t>Final assessment by Rashad Roushan</w:t>
            </w:r>
          </w:p>
          <w:p>
            <w:r>
              <w:rPr>
                <w:rFonts w:ascii="Calibri" w:hAnsi="Calibri"/>
                <w:b w:val="0"/>
                <w:i w:val="0"/>
              </w:rPr>
              <w:t>The dashboard is integrated and ready for presentation/review: live dashboard files are connected, the UI builds, the browser walkthrough passes, modules render with proof screenshots, the dashboard data contract passes, and the Python test suite now passes. The only remaining team decision is where to store the full 188 MB features_data.csv for final submission.</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2600"/>
            <w:tcMar>
              <w:top w:w="80" w:type="dxa"/>
              <w:start w:w="120" w:type="dxa"/>
              <w:bottom w:w="80" w:type="dxa"/>
              <w:end w:w="120" w:type="dxa"/>
            </w:tcMar>
            <w:shd w:fill="F2F4F7"/>
            <w:vAlign w:val="center"/>
          </w:tcPr>
          <w:p>
            <w:pPr>
              <w:jc w:val="center"/>
            </w:pPr>
            <w:r>
              <w:rPr>
                <w:rFonts w:ascii="Calibri" w:hAnsi="Calibri"/>
                <w:b/>
                <w:i w:val="0"/>
                <w:color w:val="1F4D78"/>
                <w:sz w:val="19"/>
              </w:rPr>
              <w:t>Area</w:t>
            </w:r>
          </w:p>
        </w:tc>
        <w:tc>
          <w:tcPr>
            <w:tcW w:type="dxa" w:w="1600"/>
            <w:tcMar>
              <w:top w:w="80" w:type="dxa"/>
              <w:start w:w="120" w:type="dxa"/>
              <w:bottom w:w="80" w:type="dxa"/>
              <w:end w:w="120" w:type="dxa"/>
            </w:tcMar>
            <w:shd w:fill="F2F4F7"/>
            <w:vAlign w:val="center"/>
          </w:tcPr>
          <w:p>
            <w:pPr>
              <w:jc w:val="center"/>
            </w:pPr>
            <w:r>
              <w:rPr>
                <w:rFonts w:ascii="Calibri" w:hAnsi="Calibri"/>
                <w:b/>
                <w:i w:val="0"/>
                <w:color w:val="1F4D78"/>
                <w:sz w:val="19"/>
              </w:rPr>
              <w:t>Readiness</w:t>
            </w:r>
          </w:p>
        </w:tc>
        <w:tc>
          <w:tcPr>
            <w:tcW w:type="dxa" w:w="5160"/>
            <w:tcMar>
              <w:top w:w="80" w:type="dxa"/>
              <w:start w:w="120" w:type="dxa"/>
              <w:bottom w:w="80" w:type="dxa"/>
              <w:end w:w="120" w:type="dxa"/>
            </w:tcMar>
            <w:shd w:fill="F2F4F7"/>
            <w:vAlign w:val="center"/>
          </w:tcPr>
          <w:p>
            <w:pPr>
              <w:jc w:val="center"/>
            </w:pPr>
            <w:r>
              <w:rPr>
                <w:rFonts w:ascii="Calibri" w:hAnsi="Calibri"/>
                <w:b/>
                <w:i w:val="0"/>
                <w:color w:val="1F4D78"/>
                <w:sz w:val="19"/>
              </w:rPr>
              <w:t>Reason</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Dashboard UI</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All pages render and screenshots prove working state.</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Frontend build</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center"/>
            </w:pPr>
            <w:r>
              <w:rPr>
                <w:rFonts w:ascii="Calibri" w:hAnsi="Calibri"/>
                <w:b w:val="0"/>
                <w:i w:val="0"/>
                <w:sz w:val="18"/>
              </w:rPr>
              <w:t>Production build passes.</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Dashboard data integration</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Dashboard data contract check passes.</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Remotion Play Data</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Unique Churn and Demand stories verified.</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Team module outputs</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Main output files exist and are integrated; dashboard contract passes.</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Python tests</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20 tests passed after schema/date fixes.</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Documentation</w:t>
            </w:r>
          </w:p>
        </w:tc>
        <w:tc>
          <w:tcPr>
            <w:tcW w:type="dxa" w:w="1600"/>
            <w:tcMar>
              <w:top w:w="80" w:type="dxa"/>
              <w:start w:w="120" w:type="dxa"/>
              <w:bottom w:w="80" w:type="dxa"/>
              <w:end w:w="120" w:type="dxa"/>
            </w:tcMar>
            <w:vAlign w:val="center"/>
          </w:tcPr>
          <w:p>
            <w:pPr>
              <w:jc w:val="center"/>
            </w:pPr>
            <w:r>
              <w:rPr>
                <w:rFonts w:ascii="Calibri" w:hAnsi="Calibri"/>
                <w:b w:val="0"/>
                <w:i w:val="0"/>
                <w:sz w:val="18"/>
              </w:rPr>
              <w:t>Ready</w:t>
            </w:r>
          </w:p>
        </w:tc>
        <w:tc>
          <w:tcPr>
            <w:tcW w:type="dxa" w:w="5160"/>
            <w:tcMar>
              <w:top w:w="80" w:type="dxa"/>
              <w:start w:w="120" w:type="dxa"/>
              <w:bottom w:w="80" w:type="dxa"/>
              <w:end w:w="120" w:type="dxa"/>
            </w:tcMar>
            <w:vAlign w:val="center"/>
          </w:tcPr>
          <w:p>
            <w:pPr>
              <w:jc w:val="left"/>
            </w:pPr>
            <w:r>
              <w:rPr>
                <w:rFonts w:ascii="Calibri" w:hAnsi="Calibri"/>
                <w:b w:val="0"/>
                <w:i w:val="0"/>
                <w:sz w:val="18"/>
              </w:rPr>
              <w:t>This book contains architecture, screenshots, proof, test outputs, challenges, fixes, and next steps.</w:t>
            </w:r>
          </w:p>
        </w:tc>
      </w:tr>
    </w:tbl>
    <w:p/>
    <w:p>
      <w:pPr>
        <w:pStyle w:val="Heading1"/>
      </w:pPr>
      <w:r>
        <w:t>11. Final Next Steps Before Submission</w:t>
      </w:r>
    </w:p>
    <w:p>
      <w:pPr>
        <w:pStyle w:val="ListNumber"/>
      </w:pPr>
      <w:r>
        <w:rPr>
          <w:rFonts w:ascii="Calibri" w:hAnsi="Calibri"/>
          <w:b w:val="0"/>
          <w:i w:val="0"/>
        </w:rPr>
        <w:t>Decide how to store full features_data.csv: Git LFS, external Drive/OneDrive link, or keep only sample + summary in GitHub.</w:t>
      </w:r>
    </w:p>
    <w:p>
      <w:pPr>
        <w:pStyle w:val="ListNumber"/>
      </w:pPr>
      <w:r>
        <w:rPr>
          <w:rFonts w:ascii="Calibri" w:hAnsi="Calibri"/>
          <w:b w:val="0"/>
          <w:i w:val="0"/>
        </w:rPr>
        <w:t>Ask teammates to confirm the standardized schema names stay stable: Customer_ID, Lag_1, Lag_7, RollingMean7, RollingStd7.</w:t>
      </w:r>
    </w:p>
    <w:p>
      <w:pPr>
        <w:pStyle w:val="ListNumber"/>
      </w:pPr>
      <w:r>
        <w:rPr>
          <w:rFonts w:ascii="Calibri" w:hAnsi="Calibri"/>
          <w:b w:val="0"/>
          <w:i w:val="0"/>
        </w:rPr>
        <w:t>Keep the date-normalization helper documented so the Excel serial issue does not return.</w:t>
      </w:r>
    </w:p>
    <w:p>
      <w:pPr>
        <w:pStyle w:val="ListNumber"/>
      </w:pPr>
      <w:r>
        <w:rPr>
          <w:rFonts w:ascii="Calibri" w:hAnsi="Calibri"/>
          <w:b w:val="0"/>
          <w:i w:val="0"/>
        </w:rPr>
        <w:t>Run pytest again after any teammate output changes and document the final passing result.</w:t>
      </w:r>
    </w:p>
    <w:p>
      <w:pPr>
        <w:pStyle w:val="ListNumber"/>
      </w:pPr>
      <w:r>
        <w:rPr>
          <w:rFonts w:ascii="Calibri" w:hAnsi="Calibri"/>
          <w:b w:val="0"/>
          <w:i w:val="0"/>
        </w:rPr>
        <w:t>Deploy the latest dashboard build and run one final public URL browser smoke test.</w:t>
      </w:r>
    </w:p>
    <w:p>
      <w:pPr>
        <w:pStyle w:val="ListNumber"/>
      </w:pPr>
      <w:r>
        <w:rPr>
          <w:rFonts w:ascii="Calibri" w:hAnsi="Calibri"/>
          <w:b w:val="0"/>
          <w:i w:val="0"/>
        </w:rPr>
        <w:t>Use this book as the dashboard/integration documentation artifact for the final project report.</w:t>
      </w:r>
    </w:p>
    <w:p>
      <w:pPr>
        <w:pStyle w:val="Heading1"/>
      </w:pPr>
      <w:r>
        <w:t>Appendix A. Evidence File Locations</w:t>
      </w:r>
    </w:p>
    <w:tbl>
      <w:tblPr>
        <w:tblStyle w:val="TableGrid"/>
        <w:tblW w:type="auto" w:w="0"/>
        <w:jc w:val="center"/>
        <w:tblLook w:firstColumn="1" w:firstRow="1" w:lastColumn="0" w:lastRow="0" w:noHBand="0" w:noVBand="1" w:val="04A0"/>
      </w:tblPr>
      <w:tblGrid>
        <w:gridCol w:w="4680"/>
        <w:gridCol w:w="4680"/>
      </w:tblGrid>
      <w:tr>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Evidence type</w:t>
            </w:r>
          </w:p>
        </w:tc>
        <w:tc>
          <w:tcPr>
            <w:tcW w:type="dxa" w:w="6360"/>
            <w:tcMar>
              <w:top w:w="80" w:type="dxa"/>
              <w:start w:w="120" w:type="dxa"/>
              <w:bottom w:w="80" w:type="dxa"/>
              <w:end w:w="120" w:type="dxa"/>
            </w:tcMar>
            <w:shd w:fill="F2F4F7"/>
            <w:vAlign w:val="center"/>
          </w:tcPr>
          <w:p>
            <w:pPr>
              <w:jc w:val="center"/>
            </w:pPr>
            <w:r>
              <w:rPr>
                <w:rFonts w:ascii="Calibri" w:hAnsi="Calibri"/>
                <w:b/>
                <w:i w:val="0"/>
                <w:color w:val="1F4D78"/>
                <w:sz w:val="19"/>
              </w:rPr>
              <w:t>Location</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Complete book</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C:\Users\rasha\Downloads\RetailPulse\RetailPulse-Zidio\docs\RetailPulse_Complete_Dashboard_Integration_Book_Rashad_Roushan.docx</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Evidence screenshots</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C:\Users\rasha\Downloads\RetailPulse\RetailPulse-Zidio\docs\dashboard_evidence</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 data contract JSON</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C:\Users\rasha\Downloads\RetailPulse\RetailPulse-Zidio\docs\dashboard_evidence\dashboard_data_contract_results.json</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NPM build output</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C:\Users\rasha\Downloads\RetailPulse\RetailPulse-Zidio\docs\dashboard_evidence\npm_build_result.txt</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Pytest output</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C:\Users\rasha\Downloads\RetailPulse\RetailPulse-Zidio\docs\dashboard_evidence\pytest_result.txt</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 integration adapter</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C:\Users\rasha\Downloads\RetailPulse\RetailPulse-Zidio\dashboard\src\data\retailpulse-data.ts</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React app shell</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C:\Users\rasha\Downloads\RetailPulse\RetailPulse-Zidio\dashboard\src\App.tsx</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Remotion stories</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C:\Users\rasha\Downloads\RetailPulse\RetailPulse-Zidio\dashboard\src\chart-animations.tsx</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Full external features data</w:t>
            </w:r>
          </w:p>
        </w:tc>
        <w:tc>
          <w:tcPr>
            <w:tcW w:type="dxa" w:w="6360"/>
            <w:tcMar>
              <w:top w:w="80" w:type="dxa"/>
              <w:start w:w="120" w:type="dxa"/>
              <w:bottom w:w="80" w:type="dxa"/>
              <w:end w:w="120" w:type="dxa"/>
            </w:tcMar>
            <w:vAlign w:val="center"/>
          </w:tcPr>
          <w:p>
            <w:pPr>
              <w:jc w:val="left"/>
            </w:pPr>
            <w:r>
              <w:rPr>
                <w:rFonts w:ascii="Calibri" w:hAnsi="Calibri"/>
                <w:b w:val="0"/>
                <w:i w:val="0"/>
                <w:sz w:val="18"/>
              </w:rPr>
              <w:t>C:\Users\rasha\Downloads\features_data.csv</w:t>
            </w:r>
          </w:p>
        </w:tc>
      </w:tr>
    </w:tbl>
    <w:p/>
    <w:p>
      <w:pPr>
        <w:pStyle w:val="Heading1"/>
      </w:pPr>
      <w:r>
        <w:t>Appendix B. Commands Run</w:t>
      </w:r>
    </w:p>
    <w:p>
      <w:pPr>
        <w:pStyle w:val="ListBullet"/>
      </w:pPr>
      <w:r>
        <w:rPr>
          <w:rFonts w:ascii="Calibri" w:hAnsi="Calibri"/>
          <w:b w:val="0"/>
          <w:i w:val="0"/>
        </w:rPr>
        <w:t>npm run build</w:t>
      </w:r>
    </w:p>
    <w:p>
      <w:pPr>
        <w:pStyle w:val="ListBullet"/>
      </w:pPr>
      <w:r>
        <w:rPr>
          <w:rFonts w:ascii="Calibri" w:hAnsi="Calibri"/>
          <w:b w:val="0"/>
          <w:i w:val="0"/>
        </w:rPr>
        <w:t>Invoke-WebRequest -Uri http://127.0.0.1:4173/ -UseBasicParsing</w:t>
      </w:r>
    </w:p>
    <w:p>
      <w:pPr>
        <w:pStyle w:val="ListBullet"/>
      </w:pPr>
      <w:r>
        <w:rPr>
          <w:rFonts w:ascii="Calibri" w:hAnsi="Calibri"/>
          <w:b w:val="0"/>
          <w:i w:val="0"/>
        </w:rPr>
        <w:t>py -3 tools/dashboard_data_contract_check.py</w:t>
      </w:r>
    </w:p>
    <w:p>
      <w:pPr>
        <w:pStyle w:val="ListBullet"/>
      </w:pPr>
      <w:r>
        <w:rPr>
          <w:rFonts w:ascii="Calibri" w:hAnsi="Calibri"/>
          <w:b w:val="0"/>
          <w:i w:val="0"/>
        </w:rPr>
        <w:t>py -3 -m compileall src tests</w:t>
      </w:r>
    </w:p>
    <w:p>
      <w:pPr>
        <w:pStyle w:val="ListBullet"/>
      </w:pPr>
      <w:r>
        <w:rPr>
          <w:rFonts w:ascii="Calibri" w:hAnsi="Calibri"/>
          <w:b w:val="0"/>
          <w:i w:val="0"/>
        </w:rPr>
        <w:t>py -3 -m pytest tests -q</w:t>
      </w:r>
    </w:p>
    <w:p>
      <w:pPr>
        <w:pStyle w:val="ListBullet"/>
      </w:pPr>
      <w:r>
        <w:rPr>
          <w:rFonts w:ascii="Calibri" w:hAnsi="Calibri"/>
          <w:b w:val="0"/>
          <w:i w:val="0"/>
        </w:rPr>
        <w:t>Chrome/Playwright screenshot walkthrough across dashboard modules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8"/>
      </w:rPr>
      <w:t>RetailPulse Dashboard Integration Report - Prepared by Rashad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