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B5E20"/>
          <w:sz w:val="52"/>
          <w:szCs w:val="52"/>
        </w:rPr>
        <w:t xml:space="preserve">5 Core Solvable Issues</w:t>
      </w:r>
    </w:p>
    <w:p>
      <w:pPr>
        <w:spacing w:after="60" w:before="0"/>
        <w:jc w:val="center"/>
      </w:pPr>
      <w:r>
        <w:rPr>
          <w:rFonts w:ascii="Arial" w:cs="Arial" w:eastAsia="Arial" w:hAnsi="Arial"/>
          <w:b/>
          <w:bCs/>
          <w:color w:val="555555"/>
          <w:sz w:val="26"/>
          <w:szCs w:val="26"/>
        </w:rPr>
        <w:t xml:space="preserve">Agriculture Track — Hackathon Problem Domain</w:t>
      </w:r>
    </w:p>
    <w:p>
      <w:pPr>
        <w:spacing w:after="500" w:before="0"/>
        <w:jc w:val="center"/>
      </w:pPr>
      <w:r>
        <w:rPr>
          <w:rFonts w:ascii="Arial" w:cs="Arial" w:eastAsia="Arial" w:hAnsi="Arial"/>
          <w:i/>
          <w:iCs/>
          <w:color w:val="888888"/>
          <w:sz w:val="19"/>
          <w:szCs w:val="19"/>
        </w:rPr>
        <w:t xml:space="preserve">Based on: Assessing the Impact of Agricultural Information Utilization on Wheat Productivity of Smallholder Farmers — Ethiopia (2025, NIH/PMC)</w:t>
      </w:r>
    </w:p>
    <w:p>
      <w:pPr>
        <w:spacing w:after="200" w:before="0"/>
      </w:pPr>
      <w:r>
        <w:rPr>
          <w:rFonts w:ascii="Arial" w:cs="Arial" w:eastAsia="Arial" w:hAnsi="Arial"/>
          <w:color w:val="333333"/>
          <w:sz w:val="21"/>
          <w:szCs w:val="21"/>
        </w:rPr>
        <w:t xml:space="preserve">The following five issues are directly drawn from the peer-reviewed study on Ethiopian smallholder wheat farmers in the East Gojjam Zone (Amhara Region). Each issue is backed by statistical evidence from the study and is scoped to be realistically addressable within a hackathon project timeline.</w:t>
      </w:r>
    </w:p>
    <w:p>
      <w:pPr>
        <w:pBdr>
          <w:bottom w:val="single" w:color="2E7D32" w:sz="6" w:space="1"/>
        </w:pBdr>
        <w:spacing w:after="200" w:before="0"/>
      </w:pPr>
    </w:p>
    <w:p>
      <w:pPr>
        <w:spacing w:after="120" w:before="440"/>
      </w:pPr>
      <w:r>
        <w:rPr>
          <w:rFonts w:ascii="Arial" w:cs="Arial" w:eastAsia="Arial" w:hAnsi="Arial"/>
          <w:b/>
          <w:bCs/>
          <w:color w:val="2E7D32"/>
          <w:sz w:val="28"/>
          <w:szCs w:val="28"/>
        </w:rPr>
        <w:t xml:space="preserve">Issue 1:  </w:t>
      </w:r>
      <w:r>
        <w:rPr>
          <w:rFonts w:ascii="Arial" w:cs="Arial" w:eastAsia="Arial" w:hAnsi="Arial"/>
          <w:b/>
          <w:bCs/>
          <w:color w:val="1B5E20"/>
          <w:sz w:val="28"/>
          <w:szCs w:val="28"/>
        </w:rPr>
        <w:t xml:space="preserve">Lack of access to agricultural extension services</w:t>
      </w:r>
    </w:p>
    <w:p>
      <w:pPr>
        <w:spacing w:after="60" w:before="100"/>
      </w:pPr>
      <w:r>
        <w:rPr>
          <w:rFonts w:ascii="Arial" w:cs="Arial" w:eastAsia="Arial" w:hAnsi="Arial"/>
          <w:b/>
          <w:bCs/>
          <w:color w:val="2E7D32"/>
          <w:sz w:val="22"/>
          <w:szCs w:val="22"/>
        </w:rPr>
        <w:t xml:space="preserve">The Problem</w:t>
      </w:r>
    </w:p>
    <w:p>
      <w:pPr>
        <w:spacing w:after="140" w:before="0"/>
        <w:ind w:left="280"/>
      </w:pPr>
      <w:r>
        <w:rPr>
          <w:rFonts w:ascii="Arial" w:cs="Arial" w:eastAsia="Arial" w:hAnsi="Arial"/>
          <w:color w:val="222222"/>
          <w:sz w:val="21"/>
          <w:szCs w:val="21"/>
        </w:rPr>
        <w:t xml:space="preserve">Only a fraction of smallholder farmers in rural Ethiopia have consistent access to agricultural extension workers who can advise on crop management, input use, and best practices. Extension services are unevenly distributed, and many remote communities go without contact for entire growing seasons.</w:t>
      </w:r>
    </w:p>
    <w:p>
      <w:pPr>
        <w:spacing w:after="60" w:before="0"/>
      </w:pPr>
      <w:r>
        <w:rPr>
          <w:rFonts w:ascii="Arial" w:cs="Arial" w:eastAsia="Arial" w:hAnsi="Arial"/>
          <w:b/>
          <w:bCs/>
          <w:color w:val="2E7D32"/>
          <w:sz w:val="22"/>
          <w:szCs w:val="22"/>
        </w:rPr>
        <w:t xml:space="preserve">Evidence from research</w:t>
      </w:r>
    </w:p>
    <w:p>
      <w:pPr>
        <w:pBdr>
          <w:left w:val="single" w:color="81C784" w:sz="12" w:space="8"/>
        </w:pBdr>
        <w:spacing w:after="140" w:before="0"/>
        <w:ind w:left="280"/>
      </w:pPr>
      <w:r>
        <w:rPr>
          <w:rFonts w:ascii="Arial" w:cs="Arial" w:eastAsia="Arial" w:hAnsi="Arial"/>
          <w:i/>
          <w:iCs/>
          <w:color w:val="555555"/>
          <w:sz w:val="20"/>
          <w:szCs w:val="20"/>
        </w:rPr>
        <w:t xml:space="preserve">Access to extension services was found to be one of the most statistically significant predictors of agricultural information utilization (p ≤ 0.01). Farmers with extension access had substantially higher wheat yields than those without. Focus group discussions confirmed that farmers in remote kebeles rarely receive visits from development agents.</w:t>
      </w:r>
    </w:p>
    <w:p>
      <w:pPr>
        <w:spacing w:after="60" w:before="0"/>
      </w:pPr>
      <w:r>
        <w:rPr>
          <w:rFonts w:ascii="Arial" w:cs="Arial" w:eastAsia="Arial" w:hAnsi="Arial"/>
          <w:b/>
          <w:bCs/>
          <w:color w:val="2E7D32"/>
          <w:sz w:val="22"/>
          <w:szCs w:val="22"/>
        </w:rPr>
        <w:t xml:space="preserve">Proposed solution (hackathon deliverable)</w:t>
      </w:r>
    </w:p>
    <w:p>
      <w:pPr>
        <w:spacing w:after="120" w:before="0"/>
        <w:ind w:left="280"/>
      </w:pPr>
      <w:r>
        <w:rPr>
          <w:rFonts w:ascii="Arial" w:cs="Arial" w:eastAsia="Arial" w:hAnsi="Arial"/>
          <w:color w:val="222222"/>
          <w:sz w:val="21"/>
          <w:szCs w:val="21"/>
        </w:rPr>
        <w:t xml:space="preserve">Build a mobile or USSD-based extension advisory tool that connects farmers to recorded agronomic advice, crop management tips, and the ability to submit questions to extension agents — especially targeting areas with no internet or low smartphone usage.</w:t>
      </w:r>
    </w:p>
    <w:p>
      <w:pPr>
        <w:spacing w:after="80" w:before="0"/>
      </w:pPr>
      <w:r>
        <w:rPr>
          <w:rFonts w:ascii="Arial" w:cs="Arial" w:eastAsia="Arial" w:hAnsi="Arial"/>
          <w:b/>
          <w:bCs/>
          <w:color w:val="2E7D32"/>
          <w:sz w:val="22"/>
          <w:szCs w:val="22"/>
        </w:rPr>
        <w:t xml:space="preserve">Key features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Offline-capable app or USSD interface for low-connectivity rural areas</w:t>
            </w:r>
          </w:p>
        </w:tc>
      </w:tr>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Curated agronomic advice library in Amharic (wheat, teff, maize)</w:t>
            </w:r>
          </w:p>
        </w:tc>
      </w:tr>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Farmer question submission and expert reply via SMS or voice</w:t>
            </w:r>
          </w:p>
        </w:tc>
      </w:tr>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Coverage mapping — showing which kebeles lack extension access</w:t>
            </w:r>
          </w:p>
        </w:tc>
      </w:tr>
    </w:tbl>
    <w:p>
      <w:pPr>
        <w:spacing w:after="120" w:before="440"/>
      </w:pPr>
      <w:r>
        <w:rPr>
          <w:rFonts w:ascii="Arial" w:cs="Arial" w:eastAsia="Arial" w:hAnsi="Arial"/>
          <w:b/>
          <w:bCs/>
          <w:color w:val="2E7D32"/>
          <w:sz w:val="28"/>
          <w:szCs w:val="28"/>
        </w:rPr>
        <w:t xml:space="preserve">Issue 2:  </w:t>
      </w:r>
      <w:r>
        <w:rPr>
          <w:rFonts w:ascii="Arial" w:cs="Arial" w:eastAsia="Arial" w:hAnsi="Arial"/>
          <w:b/>
          <w:bCs/>
          <w:color w:val="1B5E20"/>
          <w:sz w:val="28"/>
          <w:szCs w:val="28"/>
        </w:rPr>
        <w:t xml:space="preserve">Limited access to electronic and print media for farm information</w:t>
      </w:r>
    </w:p>
    <w:p>
      <w:pPr>
        <w:spacing w:after="60" w:before="100"/>
      </w:pPr>
      <w:r>
        <w:rPr>
          <w:rFonts w:ascii="Arial" w:cs="Arial" w:eastAsia="Arial" w:hAnsi="Arial"/>
          <w:b/>
          <w:bCs/>
          <w:color w:val="2E7D32"/>
          <w:sz w:val="22"/>
          <w:szCs w:val="22"/>
        </w:rPr>
        <w:t xml:space="preserve">The Problem</w:t>
      </w:r>
    </w:p>
    <w:p>
      <w:pPr>
        <w:spacing w:after="140" w:before="0"/>
        <w:ind w:left="280"/>
      </w:pPr>
      <w:r>
        <w:rPr>
          <w:rFonts w:ascii="Arial" w:cs="Arial" w:eastAsia="Arial" w:hAnsi="Arial"/>
          <w:color w:val="222222"/>
          <w:sz w:val="21"/>
          <w:szCs w:val="21"/>
        </w:rPr>
        <w:t xml:space="preserve">Farmers who lack access to radio, television, mobile phones, or printed agricultural bulletins are cut off from timely information on weather, pest outbreaks, and market prices. This information gap directly reduces their ability to make good decisions during the planting and harvesting seasons.</w:t>
      </w:r>
    </w:p>
    <w:p>
      <w:pPr>
        <w:spacing w:after="60" w:before="0"/>
      </w:pPr>
      <w:r>
        <w:rPr>
          <w:rFonts w:ascii="Arial" w:cs="Arial" w:eastAsia="Arial" w:hAnsi="Arial"/>
          <w:b/>
          <w:bCs/>
          <w:color w:val="2E7D32"/>
          <w:sz w:val="22"/>
          <w:szCs w:val="22"/>
        </w:rPr>
        <w:t xml:space="preserve">Evidence from research</w:t>
      </w:r>
    </w:p>
    <w:p>
      <w:pPr>
        <w:pBdr>
          <w:left w:val="single" w:color="81C784" w:sz="12" w:space="8"/>
        </w:pBdr>
        <w:spacing w:after="140" w:before="0"/>
        <w:ind w:left="280"/>
      </w:pPr>
      <w:r>
        <w:rPr>
          <w:rFonts w:ascii="Arial" w:cs="Arial" w:eastAsia="Arial" w:hAnsi="Arial"/>
          <w:i/>
          <w:iCs/>
          <w:color w:val="555555"/>
          <w:sz w:val="20"/>
          <w:szCs w:val="20"/>
        </w:rPr>
        <w:t xml:space="preserve">Both electronic media exposure (p ≤ 0.01) and access to printed outlets (p &lt; 0.10) were statistically significant positive drivers of agricultural information utilization. Farmers with electronic media access were significantly more likely to use agricultural information effectively and achieve higher yields.</w:t>
      </w:r>
    </w:p>
    <w:p>
      <w:pPr>
        <w:spacing w:after="60" w:before="0"/>
      </w:pPr>
      <w:r>
        <w:rPr>
          <w:rFonts w:ascii="Arial" w:cs="Arial" w:eastAsia="Arial" w:hAnsi="Arial"/>
          <w:b/>
          <w:bCs/>
          <w:color w:val="2E7D32"/>
          <w:sz w:val="22"/>
          <w:szCs w:val="22"/>
        </w:rPr>
        <w:t xml:space="preserve">Proposed solution (hackathon deliverable)</w:t>
      </w:r>
    </w:p>
    <w:p>
      <w:pPr>
        <w:spacing w:after="120" w:before="0"/>
        <w:ind w:left="280"/>
      </w:pPr>
      <w:r>
        <w:rPr>
          <w:rFonts w:ascii="Arial" w:cs="Arial" w:eastAsia="Arial" w:hAnsi="Arial"/>
          <w:color w:val="222222"/>
          <w:sz w:val="21"/>
          <w:szCs w:val="21"/>
        </w:rPr>
        <w:t xml:space="preserve">Develop an agricultural information aggregator platform that pulls together weather alerts, pest warnings, and market prices from open data sources and delivers them to farmers via SMS broadcast, a simple mobile app, or community radio scripts — in local languages.</w:t>
      </w:r>
    </w:p>
    <w:p>
      <w:pPr>
        <w:spacing w:after="80" w:before="0"/>
      </w:pPr>
      <w:r>
        <w:rPr>
          <w:rFonts w:ascii="Arial" w:cs="Arial" w:eastAsia="Arial" w:hAnsi="Arial"/>
          <w:b/>
          <w:bCs/>
          <w:color w:val="2E7D32"/>
          <w:sz w:val="22"/>
          <w:szCs w:val="22"/>
        </w:rPr>
        <w:t xml:space="preserve">Key features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SMS/push alert system for weather forecasts and pest outbreaks</w:t>
            </w:r>
          </w:p>
        </w:tc>
      </w:tr>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Amharic-language crop advisory content formatted for radio broadcast</w:t>
            </w:r>
          </w:p>
        </w:tc>
      </w:tr>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Market price dashboard showing current commodity prices (teff, wheat, sesame)</w:t>
            </w:r>
          </w:p>
        </w:tc>
      </w:tr>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Printable weekly bulletin generator for extension offices and cooperatives</w:t>
            </w:r>
          </w:p>
        </w:tc>
      </w:tr>
    </w:tbl>
    <w:p>
      <w:pPr>
        <w:spacing w:after="120" w:before="440"/>
      </w:pPr>
      <w:r>
        <w:rPr>
          <w:rFonts w:ascii="Arial" w:cs="Arial" w:eastAsia="Arial" w:hAnsi="Arial"/>
          <w:b/>
          <w:bCs/>
          <w:color w:val="2E7D32"/>
          <w:sz w:val="28"/>
          <w:szCs w:val="28"/>
        </w:rPr>
        <w:t xml:space="preserve">Issue 3:  </w:t>
      </w:r>
      <w:r>
        <w:rPr>
          <w:rFonts w:ascii="Arial" w:cs="Arial" w:eastAsia="Arial" w:hAnsi="Arial"/>
          <w:b/>
          <w:bCs/>
          <w:color w:val="1B5E20"/>
          <w:sz w:val="28"/>
          <w:szCs w:val="28"/>
        </w:rPr>
        <w:t xml:space="preserve">Poor access to quality farm inputs (seeds, fertilizer, tools)</w:t>
      </w:r>
    </w:p>
    <w:p>
      <w:pPr>
        <w:spacing w:after="60" w:before="100"/>
      </w:pPr>
      <w:r>
        <w:rPr>
          <w:rFonts w:ascii="Arial" w:cs="Arial" w:eastAsia="Arial" w:hAnsi="Arial"/>
          <w:b/>
          <w:bCs/>
          <w:color w:val="2E7D32"/>
          <w:sz w:val="22"/>
          <w:szCs w:val="22"/>
        </w:rPr>
        <w:t xml:space="preserve">The Problem</w:t>
      </w:r>
    </w:p>
    <w:p>
      <w:pPr>
        <w:spacing w:after="140" w:before="0"/>
        <w:ind w:left="280"/>
      </w:pPr>
      <w:r>
        <w:rPr>
          <w:rFonts w:ascii="Arial" w:cs="Arial" w:eastAsia="Arial" w:hAnsi="Arial"/>
          <w:color w:val="222222"/>
          <w:sz w:val="21"/>
          <w:szCs w:val="21"/>
        </w:rPr>
        <w:t xml:space="preserve">Even when farmers know what inputs they need, they often cannot access them on time or in sufficient quantity. Input supply chains are weak in rural Ethiopia, and delayed or low-quality inputs lead to poor yields regardless of the farmer's knowledge or effort.</w:t>
      </w:r>
    </w:p>
    <w:p>
      <w:pPr>
        <w:spacing w:after="60" w:before="0"/>
      </w:pPr>
      <w:r>
        <w:rPr>
          <w:rFonts w:ascii="Arial" w:cs="Arial" w:eastAsia="Arial" w:hAnsi="Arial"/>
          <w:b/>
          <w:bCs/>
          <w:color w:val="2E7D32"/>
          <w:sz w:val="22"/>
          <w:szCs w:val="22"/>
        </w:rPr>
        <w:t xml:space="preserve">Evidence from research</w:t>
      </w:r>
    </w:p>
    <w:p>
      <w:pPr>
        <w:pBdr>
          <w:left w:val="single" w:color="81C784" w:sz="12" w:space="8"/>
        </w:pBdr>
        <w:spacing w:after="140" w:before="0"/>
        <w:ind w:left="280"/>
      </w:pPr>
      <w:r>
        <w:rPr>
          <w:rFonts w:ascii="Arial" w:cs="Arial" w:eastAsia="Arial" w:hAnsi="Arial"/>
          <w:i/>
          <w:iCs/>
          <w:color w:val="555555"/>
          <w:sz w:val="20"/>
          <w:szCs w:val="20"/>
        </w:rPr>
        <w:t xml:space="preserve">Access to farm inputs was the strongest significant variable (p ≤ 0.01) in predicting whether a farmer utilized agricultural information productively. The study found that input availability was not only a direct productivity driver but also a gateway to information utilization — farmers who had inputs were more motivated to seek and apply agronomic advice.</w:t>
      </w:r>
    </w:p>
    <w:p>
      <w:pPr>
        <w:spacing w:after="60" w:before="0"/>
      </w:pPr>
      <w:r>
        <w:rPr>
          <w:rFonts w:ascii="Arial" w:cs="Arial" w:eastAsia="Arial" w:hAnsi="Arial"/>
          <w:b/>
          <w:bCs/>
          <w:color w:val="2E7D32"/>
          <w:sz w:val="22"/>
          <w:szCs w:val="22"/>
        </w:rPr>
        <w:t xml:space="preserve">Proposed solution (hackathon deliverable)</w:t>
      </w:r>
    </w:p>
    <w:p>
      <w:pPr>
        <w:spacing w:after="120" w:before="0"/>
        <w:ind w:left="280"/>
      </w:pPr>
      <w:r>
        <w:rPr>
          <w:rFonts w:ascii="Arial" w:cs="Arial" w:eastAsia="Arial" w:hAnsi="Arial"/>
          <w:color w:val="222222"/>
          <w:sz w:val="21"/>
          <w:szCs w:val="21"/>
        </w:rPr>
        <w:t xml:space="preserve">Create a farm input availability and pre-order platform that maps nearby agro-dealers, shows real-time stock of seeds and fertilizers, and allows cooperatives or individual farmers to pre-order inputs before the planting season, reducing shortages and late deliveries.</w:t>
      </w:r>
    </w:p>
    <w:p>
      <w:pPr>
        <w:spacing w:after="80" w:before="0"/>
      </w:pPr>
      <w:r>
        <w:rPr>
          <w:rFonts w:ascii="Arial" w:cs="Arial" w:eastAsia="Arial" w:hAnsi="Arial"/>
          <w:b/>
          <w:bCs/>
          <w:color w:val="2E7D32"/>
          <w:sz w:val="22"/>
          <w:szCs w:val="22"/>
        </w:rPr>
        <w:t xml:space="preserve">Key features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Agro-dealer directory mapped by district/kebele with stock status</w:t>
            </w:r>
          </w:p>
        </w:tc>
      </w:tr>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Seasonal input pre-order system for cooperatives</w:t>
            </w:r>
          </w:p>
        </w:tc>
      </w:tr>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Low-stock and restock alert notifications for farmers</w:t>
            </w:r>
          </w:p>
        </w:tc>
      </w:tr>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Input quality rating and feedback by farmers</w:t>
            </w:r>
          </w:p>
        </w:tc>
      </w:tr>
    </w:tbl>
    <w:p>
      <w:pPr>
        <w:spacing w:after="120" w:before="440"/>
      </w:pPr>
      <w:r>
        <w:rPr>
          <w:rFonts w:ascii="Arial" w:cs="Arial" w:eastAsia="Arial" w:hAnsi="Arial"/>
          <w:b/>
          <w:bCs/>
          <w:color w:val="2E7D32"/>
          <w:sz w:val="28"/>
          <w:szCs w:val="28"/>
        </w:rPr>
        <w:t xml:space="preserve">Issue 4:  </w:t>
      </w:r>
      <w:r>
        <w:rPr>
          <w:rFonts w:ascii="Arial" w:cs="Arial" w:eastAsia="Arial" w:hAnsi="Arial"/>
          <w:b/>
          <w:bCs/>
          <w:color w:val="1B5E20"/>
          <w:sz w:val="28"/>
          <w:szCs w:val="28"/>
        </w:rPr>
        <w:t xml:space="preserve">Long distance to markets cuts farmers off from fair prices</w:t>
      </w:r>
    </w:p>
    <w:p>
      <w:pPr>
        <w:spacing w:after="60" w:before="100"/>
      </w:pPr>
      <w:r>
        <w:rPr>
          <w:rFonts w:ascii="Arial" w:cs="Arial" w:eastAsia="Arial" w:hAnsi="Arial"/>
          <w:b/>
          <w:bCs/>
          <w:color w:val="2E7D32"/>
          <w:sz w:val="22"/>
          <w:szCs w:val="22"/>
        </w:rPr>
        <w:t xml:space="preserve">The Problem</w:t>
      </w:r>
    </w:p>
    <w:p>
      <w:pPr>
        <w:spacing w:after="140" w:before="0"/>
        <w:ind w:left="280"/>
      </w:pPr>
      <w:r>
        <w:rPr>
          <w:rFonts w:ascii="Arial" w:cs="Arial" w:eastAsia="Arial" w:hAnsi="Arial"/>
          <w:color w:val="222222"/>
          <w:sz w:val="21"/>
          <w:szCs w:val="21"/>
        </w:rPr>
        <w:t xml:space="preserve">Farmers living far from market centers are unable to monitor commodity prices, compare buyers, or transport produce efficiently. This isolation forces them to sell at lower prices to local intermediaries, significantly reducing their income and discouraging investment in better farming practices.</w:t>
      </w:r>
    </w:p>
    <w:p>
      <w:pPr>
        <w:spacing w:after="60" w:before="0"/>
      </w:pPr>
      <w:r>
        <w:rPr>
          <w:rFonts w:ascii="Arial" w:cs="Arial" w:eastAsia="Arial" w:hAnsi="Arial"/>
          <w:b/>
          <w:bCs/>
          <w:color w:val="2E7D32"/>
          <w:sz w:val="22"/>
          <w:szCs w:val="22"/>
        </w:rPr>
        <w:t xml:space="preserve">Evidence from research</w:t>
      </w:r>
    </w:p>
    <w:p>
      <w:pPr>
        <w:pBdr>
          <w:left w:val="single" w:color="81C784" w:sz="12" w:space="8"/>
        </w:pBdr>
        <w:spacing w:after="140" w:before="0"/>
        <w:ind w:left="280"/>
      </w:pPr>
      <w:r>
        <w:rPr>
          <w:rFonts w:ascii="Arial" w:cs="Arial" w:eastAsia="Arial" w:hAnsi="Arial"/>
          <w:i/>
          <w:iCs/>
          <w:color w:val="555555"/>
          <w:sz w:val="20"/>
          <w:szCs w:val="20"/>
        </w:rPr>
        <w:t xml:space="preserve">Distance to market center had a statistically significant negative impact on agricultural information utilization at the 5% significance level (p ≤ 0.05). The farther a farmer lives from a market, the less likely they are to seek or use agricultural information effectively, and the lower their eventual income from the harvest.</w:t>
      </w:r>
    </w:p>
    <w:p>
      <w:pPr>
        <w:spacing w:after="60" w:before="0"/>
      </w:pPr>
      <w:r>
        <w:rPr>
          <w:rFonts w:ascii="Arial" w:cs="Arial" w:eastAsia="Arial" w:hAnsi="Arial"/>
          <w:b/>
          <w:bCs/>
          <w:color w:val="2E7D32"/>
          <w:sz w:val="22"/>
          <w:szCs w:val="22"/>
        </w:rPr>
        <w:t xml:space="preserve">Proposed solution (hackathon deliverable)</w:t>
      </w:r>
    </w:p>
    <w:p>
      <w:pPr>
        <w:spacing w:after="120" w:before="0"/>
        <w:ind w:left="280"/>
      </w:pPr>
      <w:r>
        <w:rPr>
          <w:rFonts w:ascii="Arial" w:cs="Arial" w:eastAsia="Arial" w:hAnsi="Arial"/>
          <w:color w:val="222222"/>
          <w:sz w:val="21"/>
          <w:szCs w:val="21"/>
        </w:rPr>
        <w:t xml:space="preserve">Build a direct market linkage platform that shows live commodity prices from nearby markets, connects farmers to verified urban buyers or cooperatives, and provides transport coordination — so remote farmers can sell without making a long and costly physical trip to a market center.</w:t>
      </w:r>
    </w:p>
    <w:p>
      <w:pPr>
        <w:spacing w:after="80" w:before="0"/>
      </w:pPr>
      <w:r>
        <w:rPr>
          <w:rFonts w:ascii="Arial" w:cs="Arial" w:eastAsia="Arial" w:hAnsi="Arial"/>
          <w:b/>
          <w:bCs/>
          <w:color w:val="2E7D32"/>
          <w:sz w:val="22"/>
          <w:szCs w:val="22"/>
        </w:rPr>
        <w:t xml:space="preserve">Key features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Real-time commodity price feed for wheat, teff, and maize across markets</w:t>
            </w:r>
          </w:p>
        </w:tc>
      </w:tr>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Buyer-farmer matching (cooperatives, wholesalers, urban traders)</w:t>
            </w:r>
          </w:p>
        </w:tc>
      </w:tr>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Produce listing: farmer posts crop type, quantity, and harvest date</w:t>
            </w:r>
          </w:p>
        </w:tc>
      </w:tr>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Transport coordination — connecting farmers to nearby vehicles/logistics</w:t>
            </w:r>
          </w:p>
        </w:tc>
      </w:tr>
    </w:tbl>
    <w:p>
      <w:pPr>
        <w:spacing w:after="120" w:before="440"/>
      </w:pPr>
      <w:r>
        <w:rPr>
          <w:rFonts w:ascii="Arial" w:cs="Arial" w:eastAsia="Arial" w:hAnsi="Arial"/>
          <w:b/>
          <w:bCs/>
          <w:color w:val="2E7D32"/>
          <w:sz w:val="28"/>
          <w:szCs w:val="28"/>
        </w:rPr>
        <w:t xml:space="preserve">Issue 5:  </w:t>
      </w:r>
      <w:r>
        <w:rPr>
          <w:rFonts w:ascii="Arial" w:cs="Arial" w:eastAsia="Arial" w:hAnsi="Arial"/>
          <w:b/>
          <w:bCs/>
          <w:color w:val="1B5E20"/>
          <w:sz w:val="28"/>
          <w:szCs w:val="28"/>
        </w:rPr>
        <w:t xml:space="preserve">Mobility barriers prevent farmers from reaching information sources</w:t>
      </w:r>
    </w:p>
    <w:p>
      <w:pPr>
        <w:spacing w:after="60" w:before="100"/>
      </w:pPr>
      <w:r>
        <w:rPr>
          <w:rFonts w:ascii="Arial" w:cs="Arial" w:eastAsia="Arial" w:hAnsi="Arial"/>
          <w:b/>
          <w:bCs/>
          <w:color w:val="2E7D32"/>
          <w:sz w:val="22"/>
          <w:szCs w:val="22"/>
        </w:rPr>
        <w:t xml:space="preserve">The Problem</w:t>
      </w:r>
    </w:p>
    <w:p>
      <w:pPr>
        <w:spacing w:after="140" w:before="0"/>
        <w:ind w:left="280"/>
      </w:pPr>
      <w:r>
        <w:rPr>
          <w:rFonts w:ascii="Arial" w:cs="Arial" w:eastAsia="Arial" w:hAnsi="Arial"/>
          <w:color w:val="222222"/>
          <w:sz w:val="21"/>
          <w:szCs w:val="21"/>
        </w:rPr>
        <w:t xml:space="preserve">Poor road infrastructure, lack of affordable transport, and long walking distances to extension offices, demonstration plots, and training centers mean that many Ethiopian smallholder farmers physically cannot access the information and services they need. This infrastructure gap is one of the most deeply rooted and persistent barriers.</w:t>
      </w:r>
    </w:p>
    <w:p>
      <w:pPr>
        <w:spacing w:after="60" w:before="0"/>
      </w:pPr>
      <w:r>
        <w:rPr>
          <w:rFonts w:ascii="Arial" w:cs="Arial" w:eastAsia="Arial" w:hAnsi="Arial"/>
          <w:b/>
          <w:bCs/>
          <w:color w:val="2E7D32"/>
          <w:sz w:val="22"/>
          <w:szCs w:val="22"/>
        </w:rPr>
        <w:t xml:space="preserve">Evidence from research</w:t>
      </w:r>
    </w:p>
    <w:p>
      <w:pPr>
        <w:pBdr>
          <w:left w:val="single" w:color="81C784" w:sz="12" w:space="8"/>
        </w:pBdr>
        <w:spacing w:after="140" w:before="0"/>
        <w:ind w:left="280"/>
      </w:pPr>
      <w:r>
        <w:rPr>
          <w:rFonts w:ascii="Arial" w:cs="Arial" w:eastAsia="Arial" w:hAnsi="Arial"/>
          <w:i/>
          <w:iCs/>
          <w:color w:val="555555"/>
          <w:sz w:val="20"/>
          <w:szCs w:val="20"/>
        </w:rPr>
        <w:t xml:space="preserve">Mobility had a statistically significant negative influence on agricultural information utilization at the 1% significance level (p ≤ 0.01). Focus group discussions and key informant interviews confirmed that farmers in remote locations rarely reach training centers or farmer cooperatives, and development agents cannot visit them frequently enough to fill the gap.</w:t>
      </w:r>
    </w:p>
    <w:p>
      <w:pPr>
        <w:spacing w:after="60" w:before="0"/>
      </w:pPr>
      <w:r>
        <w:rPr>
          <w:rFonts w:ascii="Arial" w:cs="Arial" w:eastAsia="Arial" w:hAnsi="Arial"/>
          <w:b/>
          <w:bCs/>
          <w:color w:val="2E7D32"/>
          <w:sz w:val="22"/>
          <w:szCs w:val="22"/>
        </w:rPr>
        <w:t xml:space="preserve">Proposed solution (hackathon deliverable)</w:t>
      </w:r>
    </w:p>
    <w:p>
      <w:pPr>
        <w:spacing w:after="120" w:before="0"/>
        <w:ind w:left="280"/>
      </w:pPr>
      <w:r>
        <w:rPr>
          <w:rFonts w:ascii="Arial" w:cs="Arial" w:eastAsia="Arial" w:hAnsi="Arial"/>
          <w:color w:val="222222"/>
          <w:sz w:val="21"/>
          <w:szCs w:val="21"/>
        </w:rPr>
        <w:t xml:space="preserve">Build a geospatial platform for agricultural service delivery planning — showing where farmers are clustered, which areas have the worst service gaps, and enabling district offices to optimally schedule field visits, deploy mobile extension units, and prioritize infrastructure investment based on data.</w:t>
      </w:r>
    </w:p>
    <w:p>
      <w:pPr>
        <w:spacing w:after="80" w:before="0"/>
      </w:pPr>
      <w:r>
        <w:rPr>
          <w:rFonts w:ascii="Arial" w:cs="Arial" w:eastAsia="Arial" w:hAnsi="Arial"/>
          <w:b/>
          <w:bCs/>
          <w:color w:val="2E7D32"/>
          <w:sz w:val="22"/>
          <w:szCs w:val="22"/>
        </w:rPr>
        <w:t xml:space="preserve">Key features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Interactive map of farmer locations vs. extension office locations</w:t>
            </w:r>
          </w:p>
        </w:tc>
      </w:tr>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Service gap analysis: areas with no extension visit in past 3 months</w:t>
            </w:r>
          </w:p>
        </w:tc>
      </w:tr>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Optimal field visit route planner for development agents</w:t>
            </w:r>
          </w:p>
        </w:tc>
      </w:tr>
      <w:tr>
        <w:tc>
          <w:tcPr>
            <w:tcW w:type="dxa" w:w="9360"/>
            <w:tcBorders>
              <w:top w:val="single" w:color="C8E6C9" w:sz="1"/>
              <w:left w:val="single" w:color="C8E6C9" w:sz="1"/>
              <w:bottom w:val="single" w:color="C8E6C9" w:sz="1"/>
              <w:right w:val="single" w:color="C8E6C9" w:sz="1"/>
            </w:tcBorders>
            <w:shd w:fill="F1F8E9" w:val="clear"/>
            <w:tcMar>
              <w:top w:type="dxa" w:w="80"/>
              <w:left w:type="dxa" w:w="160"/>
              <w:bottom w:type="dxa" w:w="80"/>
              <w:right w:type="dxa" w:w="160"/>
            </w:tcMar>
          </w:tcPr>
          <w:p>
            <w:r>
              <w:rPr>
                <w:rFonts w:ascii="Arial" w:cs="Arial" w:eastAsia="Arial" w:hAnsi="Arial"/>
                <w:b/>
                <w:bCs/>
                <w:color w:val="2E7D32"/>
                <w:sz w:val="20"/>
                <w:szCs w:val="20"/>
              </w:rPr>
              <w:t xml:space="preserve">→  </w:t>
            </w:r>
            <w:r>
              <w:rPr>
                <w:rFonts w:ascii="Arial" w:cs="Arial" w:eastAsia="Arial" w:hAnsi="Arial"/>
                <w:sz w:val="20"/>
                <w:szCs w:val="20"/>
              </w:rPr>
              <w:t xml:space="preserve">Mobile extension unit scheduling dashboard for district offices</w:t>
            </w:r>
          </w:p>
        </w:tc>
      </w:tr>
    </w:tbl>
    <w:p>
      <w:pPr>
        <w:pBdr>
          <w:bottom w:val="single" w:color="2E7D32" w:sz="6" w:space="1"/>
        </w:pBdr>
        <w:spacing w:after="200" w:before="0"/>
      </w:pPr>
    </w:p>
    <w:p>
      <w:pPr>
        <w:spacing w:after="160" w:before="200"/>
      </w:pPr>
      <w:r>
        <w:rPr>
          <w:rFonts w:ascii="Arial" w:cs="Arial" w:eastAsia="Arial" w:hAnsi="Arial"/>
          <w:b/>
          <w:bCs/>
          <w:color w:val="1B5E20"/>
          <w:sz w:val="26"/>
          <w:szCs w:val="26"/>
        </w:rPr>
        <w:t xml:space="preserve">Summary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80"/>
        <w:gridCol w:w="2880"/>
      </w:tblGrid>
      <w:tr>
        <w:tc>
          <w:tcPr>
            <w:tcW w:type="dxa" w:w="400"/>
            <w:tcBorders>
              <w:top w:val="single" w:color="81C784" w:sz="1"/>
              <w:left w:val="single" w:color="81C784" w:sz="1"/>
              <w:bottom w:val="single" w:color="81C784" w:sz="1"/>
              <w:right w:val="single" w:color="81C784" w:sz="1"/>
            </w:tcBorders>
            <w:shd w:fill="E8F5E9" w:val="clear"/>
            <w:tcMar>
              <w:top w:type="dxa" w:w="80"/>
              <w:left w:type="dxa" w:w="100"/>
              <w:bottom w:type="dxa" w:w="80"/>
              <w:right w:type="dxa" w:w="100"/>
            </w:tcMar>
          </w:tcPr>
          <w:p>
            <w:r>
              <w:rPr>
                <w:rFonts w:ascii="Arial" w:cs="Arial" w:eastAsia="Arial" w:hAnsi="Arial"/>
                <w:b/>
                <w:bCs/>
                <w:color w:val="1B5E20"/>
                <w:sz w:val="19"/>
                <w:szCs w:val="19"/>
              </w:rPr>
              <w:t xml:space="preserve">#</w:t>
            </w:r>
          </w:p>
        </w:tc>
        <w:tc>
          <w:tcPr>
            <w:tcW w:type="dxa" w:w="3200"/>
            <w:tcBorders>
              <w:top w:val="single" w:color="81C784" w:sz="1"/>
              <w:left w:val="single" w:color="81C784" w:sz="1"/>
              <w:bottom w:val="single" w:color="81C784" w:sz="1"/>
              <w:right w:val="single" w:color="81C784" w:sz="1"/>
            </w:tcBorders>
            <w:shd w:fill="E8F5E9" w:val="clear"/>
            <w:tcMar>
              <w:top w:type="dxa" w:w="80"/>
              <w:left w:type="dxa" w:w="120"/>
              <w:bottom w:type="dxa" w:w="80"/>
              <w:right w:type="dxa" w:w="120"/>
            </w:tcMar>
          </w:tcPr>
          <w:p>
            <w:r>
              <w:rPr>
                <w:rFonts w:ascii="Arial" w:cs="Arial" w:eastAsia="Arial" w:hAnsi="Arial"/>
                <w:b/>
                <w:bCs/>
                <w:color w:val="1B5E20"/>
                <w:sz w:val="19"/>
                <w:szCs w:val="19"/>
              </w:rPr>
              <w:t xml:space="preserve">Issue</w:t>
            </w:r>
          </w:p>
        </w:tc>
        <w:tc>
          <w:tcPr>
            <w:tcW w:type="dxa" w:w="2880"/>
            <w:tcBorders>
              <w:top w:val="single" w:color="81C784" w:sz="1"/>
              <w:left w:val="single" w:color="81C784" w:sz="1"/>
              <w:bottom w:val="single" w:color="81C784" w:sz="1"/>
              <w:right w:val="single" w:color="81C784" w:sz="1"/>
            </w:tcBorders>
            <w:shd w:fill="E8F5E9" w:val="clear"/>
            <w:tcMar>
              <w:top w:type="dxa" w:w="80"/>
              <w:left w:type="dxa" w:w="120"/>
              <w:bottom w:type="dxa" w:w="80"/>
              <w:right w:type="dxa" w:w="120"/>
            </w:tcMar>
          </w:tcPr>
          <w:p>
            <w:r>
              <w:rPr>
                <w:rFonts w:ascii="Arial" w:cs="Arial" w:eastAsia="Arial" w:hAnsi="Arial"/>
                <w:b/>
                <w:bCs/>
                <w:color w:val="1B5E20"/>
                <w:sz w:val="19"/>
                <w:szCs w:val="19"/>
              </w:rPr>
              <w:t xml:space="preserve">Root cause</w:t>
            </w:r>
          </w:p>
        </w:tc>
        <w:tc>
          <w:tcPr>
            <w:tcW w:type="dxa" w:w="2880"/>
            <w:tcBorders>
              <w:top w:val="single" w:color="81C784" w:sz="1"/>
              <w:left w:val="single" w:color="81C784" w:sz="1"/>
              <w:bottom w:val="single" w:color="81C784" w:sz="1"/>
              <w:right w:val="single" w:color="81C784" w:sz="1"/>
            </w:tcBorders>
            <w:shd w:fill="E8F5E9" w:val="clear"/>
            <w:tcMar>
              <w:top w:type="dxa" w:w="80"/>
              <w:left w:type="dxa" w:w="120"/>
              <w:bottom w:type="dxa" w:w="80"/>
              <w:right w:type="dxa" w:w="120"/>
            </w:tcMar>
          </w:tcPr>
          <w:p>
            <w:r>
              <w:rPr>
                <w:rFonts w:ascii="Arial" w:cs="Arial" w:eastAsia="Arial" w:hAnsi="Arial"/>
                <w:b/>
                <w:bCs/>
                <w:color w:val="1B5E20"/>
                <w:sz w:val="19"/>
                <w:szCs w:val="19"/>
              </w:rPr>
              <w:t xml:space="preserve">Solution type</w:t>
            </w:r>
          </w:p>
        </w:tc>
      </w:tr>
      <w:tr>
        <w:tc>
          <w:tcPr>
            <w:tcW w:type="dxa" w:w="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1</w:t>
            </w:r>
          </w:p>
        </w:tc>
        <w:tc>
          <w:tcPr>
            <w:tcW w:type="dxa" w:w="3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No extension access</w:t>
            </w:r>
          </w:p>
        </w:tc>
        <w:tc>
          <w:tcPr>
            <w:tcW w:type="dxa" w:w="28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Low coverage, remote areas</w:t>
            </w:r>
          </w:p>
        </w:tc>
        <w:tc>
          <w:tcPr>
            <w:tcW w:type="dxa" w:w="28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Advisory app / USSD chatbot</w:t>
            </w:r>
          </w:p>
        </w:tc>
      </w:tr>
      <w:tr>
        <w:tc>
          <w:tcPr>
            <w:tcW w:type="dxa" w:w="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2</w:t>
            </w:r>
          </w:p>
        </w:tc>
        <w:tc>
          <w:tcPr>
            <w:tcW w:type="dxa" w:w="3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No media access</w:t>
            </w:r>
          </w:p>
        </w:tc>
        <w:tc>
          <w:tcPr>
            <w:tcW w:type="dxa" w:w="28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No radio/phone/print</w:t>
            </w:r>
          </w:p>
        </w:tc>
        <w:tc>
          <w:tcPr>
            <w:tcW w:type="dxa" w:w="28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Info aggregator + SMS alerts</w:t>
            </w:r>
          </w:p>
        </w:tc>
      </w:tr>
      <w:tr>
        <w:tc>
          <w:tcPr>
            <w:tcW w:type="dxa" w:w="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3</w:t>
            </w:r>
          </w:p>
        </w:tc>
        <w:tc>
          <w:tcPr>
            <w:tcW w:type="dxa" w:w="3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Farm input shortage</w:t>
            </w:r>
          </w:p>
        </w:tc>
        <w:tc>
          <w:tcPr>
            <w:tcW w:type="dxa" w:w="28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Weak supply chains</w:t>
            </w:r>
          </w:p>
        </w:tc>
        <w:tc>
          <w:tcPr>
            <w:tcW w:type="dxa" w:w="28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Input marketplace + pre-order</w:t>
            </w:r>
          </w:p>
        </w:tc>
      </w:tr>
      <w:tr>
        <w:tc>
          <w:tcPr>
            <w:tcW w:type="dxa" w:w="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4</w:t>
            </w:r>
          </w:p>
        </w:tc>
        <w:tc>
          <w:tcPr>
            <w:tcW w:type="dxa" w:w="3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Far from markets</w:t>
            </w:r>
          </w:p>
        </w:tc>
        <w:tc>
          <w:tcPr>
            <w:tcW w:type="dxa" w:w="28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Poor road infrastructure</w:t>
            </w:r>
          </w:p>
        </w:tc>
        <w:tc>
          <w:tcPr>
            <w:tcW w:type="dxa" w:w="28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Market linkage platform</w:t>
            </w:r>
          </w:p>
        </w:tc>
      </w:tr>
      <w:tr>
        <w:tc>
          <w:tcPr>
            <w:tcW w:type="dxa" w:w="4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5</w:t>
            </w:r>
          </w:p>
        </w:tc>
        <w:tc>
          <w:tcPr>
            <w:tcW w:type="dxa" w:w="32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Low mobility</w:t>
            </w:r>
          </w:p>
        </w:tc>
        <w:tc>
          <w:tcPr>
            <w:tcW w:type="dxa" w:w="28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Bad roads, no transport</w:t>
            </w:r>
          </w:p>
        </w:tc>
        <w:tc>
          <w:tcPr>
            <w:tcW w:type="dxa" w:w="28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19"/>
                <w:szCs w:val="19"/>
              </w:rPr>
              <w:t xml:space="preserve">Service gap mapping tool</w:t>
            </w:r>
          </w:p>
        </w:tc>
      </w:tr>
    </w:tbl>
    <w:p>
      <w:pPr>
        <w:spacing w:after="0" w:before="600"/>
        <w:jc w:val="center"/>
      </w:pPr>
      <w:r>
        <w:rPr>
          <w:rFonts w:ascii="Arial" w:cs="Arial" w:eastAsia="Arial" w:hAnsi="Arial"/>
          <w:i/>
          <w:iCs/>
          <w:color w:val="AAAAAA"/>
          <w:sz w:val="18"/>
          <w:szCs w:val="18"/>
        </w:rPr>
        <w:t xml:space="preserve">Agriculture Hackathon — Problem Domain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5E2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2026-05-09T06:05:04.227Z</dcterms:created>
  <dcterms:modified xsi:type="dcterms:W3CDTF">2026-05-09T06:05:04.244Z</dcterms:modified>
</cp:coreProperties>
</file>

<file path=docProps/custom.xml><?xml version="1.0" encoding="utf-8"?>
<Properties xmlns="http://schemas.openxmlformats.org/officeDocument/2006/custom-properties" xmlns:vt="http://schemas.openxmlformats.org/officeDocument/2006/docPropsVTypes"/>
</file>