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5B9" w:rsidRDefault="008145B9">
      <w:r>
        <w:t xml:space="preserve">Geographers discuss human migration in terms of the following: </w:t>
      </w:r>
    </w:p>
    <w:p w:rsidR="008145B9" w:rsidRDefault="008145B9" w:rsidP="008145B9">
      <w:pPr>
        <w:tabs>
          <w:tab w:val="left" w:pos="90"/>
          <w:tab w:val="left" w:pos="720"/>
        </w:tabs>
        <w:ind w:left="630" w:hanging="540"/>
      </w:pPr>
      <w:r>
        <w:rPr>
          <w:b/>
          <w:i/>
        </w:rPr>
        <w:tab/>
        <w:t>Push factors</w:t>
      </w:r>
      <w:r>
        <w:t>: those conditions and perceptions that encourage people to leave their homes and/or countries</w:t>
      </w:r>
    </w:p>
    <w:p w:rsidR="008145B9" w:rsidRDefault="008145B9" w:rsidP="008145B9">
      <w:pPr>
        <w:tabs>
          <w:tab w:val="left" w:pos="90"/>
          <w:tab w:val="left" w:pos="720"/>
        </w:tabs>
        <w:ind w:left="630" w:hanging="540"/>
      </w:pPr>
      <w:r>
        <w:rPr>
          <w:b/>
          <w:i/>
        </w:rPr>
        <w:tab/>
        <w:t xml:space="preserve">Pull factors: </w:t>
      </w:r>
      <w:r>
        <w:t>those conditions and perceptions that attract people to certain locales from other places</w:t>
      </w:r>
    </w:p>
    <w:p w:rsidR="002C5B85" w:rsidRDefault="008145B9" w:rsidP="002C5B85">
      <w:pPr>
        <w:tabs>
          <w:tab w:val="left" w:pos="90"/>
          <w:tab w:val="left" w:pos="720"/>
        </w:tabs>
        <w:ind w:left="86"/>
      </w:pPr>
      <w:r>
        <w:t>The decision to migrate usually results from a combination of push and pull factors. Migration occurs on many scales – local, national, and international.</w:t>
      </w:r>
      <w:r w:rsidR="002C5B85">
        <w:t xml:space="preserve"> </w:t>
      </w:r>
      <w:r w:rsidR="002C5B85">
        <w:rPr>
          <w:b/>
          <w:i/>
        </w:rPr>
        <w:t>Forced Migration:</w:t>
      </w:r>
      <w:r w:rsidR="002C5B85">
        <w:t xml:space="preserve"> the conditions in which the migrant does not have a choice in the move, they must relocate out of fear for their life. </w:t>
      </w:r>
    </w:p>
    <w:p w:rsidR="008145B9" w:rsidRPr="00733478" w:rsidRDefault="008145B9" w:rsidP="008145B9">
      <w:pPr>
        <w:tabs>
          <w:tab w:val="left" w:pos="90"/>
          <w:tab w:val="left" w:pos="720"/>
        </w:tabs>
        <w:ind w:left="630" w:hanging="540"/>
        <w:rPr>
          <w:b/>
        </w:rPr>
      </w:pPr>
      <w:r>
        <w:rPr>
          <w:b/>
        </w:rPr>
        <w:t xml:space="preserve">Directions: </w:t>
      </w:r>
      <w:r>
        <w:t xml:space="preserve">in the space to the left, identify each of the following as a push factor or a pull factor </w:t>
      </w:r>
      <w:r>
        <w:rPr>
          <w:b/>
        </w:rPr>
        <w:t xml:space="preserve">and </w:t>
      </w:r>
      <w:r>
        <w:t xml:space="preserve">decide if it is an </w:t>
      </w:r>
      <w:r>
        <w:rPr>
          <w:b/>
        </w:rPr>
        <w:t>Economic (e),</w:t>
      </w:r>
      <w:r w:rsidR="00D81076">
        <w:rPr>
          <w:b/>
        </w:rPr>
        <w:t xml:space="preserve"> Social (s), Political (p), or </w:t>
      </w:r>
      <w:proofErr w:type="spellStart"/>
      <w:r w:rsidR="00D81076" w:rsidRPr="00D81076">
        <w:rPr>
          <w:b/>
          <w:u w:val="single"/>
        </w:rPr>
        <w:t>E</w:t>
      </w:r>
      <w:r w:rsidRPr="00D81076">
        <w:rPr>
          <w:b/>
          <w:u w:val="single"/>
        </w:rPr>
        <w:t>N</w:t>
      </w:r>
      <w:r>
        <w:rPr>
          <w:b/>
        </w:rPr>
        <w:t>vironmental</w:t>
      </w:r>
      <w:proofErr w:type="spellEnd"/>
      <w:r>
        <w:rPr>
          <w:b/>
        </w:rPr>
        <w:t xml:space="preserve"> (n</w:t>
      </w:r>
      <w:r w:rsidR="00733478">
        <w:rPr>
          <w:b/>
        </w:rPr>
        <w:t>) factor</w:t>
      </w:r>
      <w:r w:rsidR="00733478" w:rsidRPr="0078706D">
        <w:rPr>
          <w:b/>
          <w:i/>
        </w:rPr>
        <w:t>.</w:t>
      </w:r>
      <w:r w:rsidR="002C5B85" w:rsidRPr="0078706D">
        <w:rPr>
          <w:b/>
          <w:i/>
        </w:rPr>
        <w:t xml:space="preserve"> </w:t>
      </w:r>
      <w:r w:rsidR="002C5B85" w:rsidRPr="0078706D">
        <w:rPr>
          <w:i/>
        </w:rPr>
        <w:t xml:space="preserve">If the move is not voluntary, write </w:t>
      </w:r>
      <w:r w:rsidR="002C5B85" w:rsidRPr="0078706D">
        <w:rPr>
          <w:i/>
          <w:u w:val="single"/>
        </w:rPr>
        <w:t>“forced”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910"/>
        <w:gridCol w:w="1245"/>
        <w:gridCol w:w="7740"/>
      </w:tblGrid>
      <w:tr w:rsidR="005332F3" w:rsidTr="005332F3">
        <w:tc>
          <w:tcPr>
            <w:tcW w:w="9895" w:type="dxa"/>
            <w:gridSpan w:val="3"/>
            <w:shd w:val="clear" w:color="auto" w:fill="000000" w:themeFill="text1"/>
          </w:tcPr>
          <w:p w:rsidR="005332F3" w:rsidRPr="005332F3" w:rsidRDefault="005332F3" w:rsidP="008145B9">
            <w:pPr>
              <w:tabs>
                <w:tab w:val="left" w:pos="90"/>
                <w:tab w:val="left" w:pos="720"/>
              </w:tabs>
              <w:rPr>
                <w:b/>
              </w:rPr>
            </w:pPr>
            <w:r w:rsidRPr="005332F3">
              <w:rPr>
                <w:b/>
              </w:rPr>
              <w:t>Immigration to the United States</w:t>
            </w:r>
          </w:p>
        </w:tc>
      </w:tr>
      <w:tr w:rsidR="008145B9" w:rsidTr="00474926">
        <w:tc>
          <w:tcPr>
            <w:tcW w:w="910" w:type="dxa"/>
          </w:tcPr>
          <w:p w:rsidR="008145B9" w:rsidRPr="008145B9" w:rsidRDefault="008145B9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 w:rsidRPr="008145B9">
              <w:rPr>
                <w:sz w:val="18"/>
              </w:rPr>
              <w:t>Push/pull</w:t>
            </w:r>
          </w:p>
        </w:tc>
        <w:tc>
          <w:tcPr>
            <w:tcW w:w="1245" w:type="dxa"/>
          </w:tcPr>
          <w:p w:rsidR="008145B9" w:rsidRPr="008145B9" w:rsidRDefault="0047492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E, S, P, or En.</w:t>
            </w:r>
          </w:p>
        </w:tc>
        <w:tc>
          <w:tcPr>
            <w:tcW w:w="7740" w:type="dxa"/>
          </w:tcPr>
          <w:p w:rsidR="008145B9" w:rsidRPr="008145B9" w:rsidRDefault="008145B9" w:rsidP="008145B9">
            <w:pPr>
              <w:tabs>
                <w:tab w:val="left" w:pos="90"/>
                <w:tab w:val="left" w:pos="720"/>
              </w:tabs>
            </w:pPr>
            <w:r w:rsidRPr="008145B9">
              <w:t>Scenario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710C66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8145B9" w:rsidRP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India now provides the second highest number of immigrants as Indians come to fill our employment gap in the medical and technological fields.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More than 75% of Italians immigrating to the U.S. settled in the industrial cities of New York, Pennsylvania, and New England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E/S/P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Beginning in the 1970s, growing numbers of Haitians made their way to America to escape the grinding poverty and political repressions of their nation.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Forced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P/S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After 1880, harsh discriminatory measures against Jews were enacted and pogroms were frequent in Russia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8145B9" w:rsidRDefault="008145B9" w:rsidP="0073347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Mexico periodically experiences high levels of unemployment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Students from Africa often come to study medicine at American universities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In the 1830s, agricultural workers in Germany were displaced by the Industrial Revolution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During the 1980s, Guatemala, El Salvado</w:t>
            </w:r>
            <w:r w:rsidR="00FD4D45">
              <w:t>r</w:t>
            </w:r>
            <w:bookmarkStart w:id="0" w:name="_GoBack"/>
            <w:bookmarkEnd w:id="0"/>
            <w:r>
              <w:t>, and Nicaragua were all wracked by civil war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Forced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E/S</w:t>
            </w:r>
          </w:p>
        </w:tc>
        <w:tc>
          <w:tcPr>
            <w:tcW w:w="7740" w:type="dxa"/>
          </w:tcPr>
          <w:p w:rsidR="008145B9" w:rsidRDefault="008145B9" w:rsidP="0073347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Africans were sold into slavery and transported to the Americas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E/P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German immigration, spurred by the Homestead Act, reached a peak of 1.4 million during the 1880s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8145B9" w:rsidRDefault="008145B9" w:rsidP="0073347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Puritans emigrated in order to escape religious persecution in Britain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</w:t>
            </w:r>
          </w:p>
        </w:tc>
        <w:tc>
          <w:tcPr>
            <w:tcW w:w="7740" w:type="dxa"/>
          </w:tcPr>
          <w:p w:rsidR="008145B9" w:rsidRDefault="008145B9" w:rsidP="0073347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South Vietnam’s U.S. backed government collapsed in 1975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8145B9" w:rsidRDefault="008145B9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Early French settlers sought to organize a lucrative fur trading network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8145B9" w:rsidRDefault="009E27F7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The Hmong</w:t>
            </w:r>
            <w:r w:rsidR="008145B9">
              <w:t xml:space="preserve"> were allowed to be reunited</w:t>
            </w:r>
            <w:r>
              <w:t>/resettled</w:t>
            </w:r>
            <w:r w:rsidR="008145B9">
              <w:t xml:space="preserve"> in the United States</w:t>
            </w:r>
            <w:r>
              <w:t xml:space="preserve"> after the Vietnam War</w:t>
            </w:r>
          </w:p>
        </w:tc>
      </w:tr>
      <w:tr w:rsidR="008145B9" w:rsidTr="00474926">
        <w:trPr>
          <w:trHeight w:val="537"/>
        </w:trPr>
        <w:tc>
          <w:tcPr>
            <w:tcW w:w="910" w:type="dxa"/>
          </w:tcPr>
          <w:p w:rsidR="008145B9" w:rsidRPr="008145B9" w:rsidRDefault="005335D2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Forced</w:t>
            </w:r>
          </w:p>
        </w:tc>
        <w:tc>
          <w:tcPr>
            <w:tcW w:w="1245" w:type="dxa"/>
          </w:tcPr>
          <w:p w:rsidR="008145B9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E/EN</w:t>
            </w:r>
          </w:p>
        </w:tc>
        <w:tc>
          <w:tcPr>
            <w:tcW w:w="7740" w:type="dxa"/>
          </w:tcPr>
          <w:p w:rsidR="008145B9" w:rsidRDefault="00733478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Ireland’s potato crop was completely destroyed by blight disease in 1845 and 1846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5335D2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Forced</w:t>
            </w:r>
          </w:p>
        </w:tc>
        <w:tc>
          <w:tcPr>
            <w:tcW w:w="1245" w:type="dxa"/>
          </w:tcPr>
          <w:p w:rsidR="00733478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P/S</w:t>
            </w:r>
          </w:p>
        </w:tc>
        <w:tc>
          <w:tcPr>
            <w:tcW w:w="7740" w:type="dxa"/>
          </w:tcPr>
          <w:p w:rsidR="00733478" w:rsidRDefault="00733478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In 1915 and 1916, 1.5 million Armenians were slaughtered as the Ottoman Empire collapsed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733478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</w:t>
            </w:r>
          </w:p>
        </w:tc>
        <w:tc>
          <w:tcPr>
            <w:tcW w:w="7740" w:type="dxa"/>
          </w:tcPr>
          <w:p w:rsidR="00733478" w:rsidRDefault="00733478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Castro led a successful Communist revolution in Cuba in 1959</w:t>
            </w:r>
          </w:p>
        </w:tc>
      </w:tr>
      <w:tr w:rsidR="00733478" w:rsidTr="00474926">
        <w:trPr>
          <w:trHeight w:val="538"/>
        </w:trPr>
        <w:tc>
          <w:tcPr>
            <w:tcW w:w="910" w:type="dxa"/>
          </w:tcPr>
          <w:p w:rsidR="00733478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8145B9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733478" w:rsidRDefault="00733478" w:rsidP="008145B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After 1848, thousands of Chinese arrived in California to work in the gold fields and on the transcontinental railroad</w:t>
            </w:r>
          </w:p>
        </w:tc>
      </w:tr>
    </w:tbl>
    <w:p w:rsidR="002C5B85" w:rsidRDefault="002C5B85">
      <w:pPr>
        <w:sectPr w:rsidR="002C5B85" w:rsidSect="00733478">
          <w:head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br w:type="page"/>
      </w:r>
    </w:p>
    <w:p w:rsidR="002C5B85" w:rsidRDefault="002C5B85"/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1306"/>
        <w:gridCol w:w="1232"/>
        <w:gridCol w:w="7622"/>
      </w:tblGrid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P/S</w:t>
            </w:r>
          </w:p>
        </w:tc>
        <w:tc>
          <w:tcPr>
            <w:tcW w:w="7740" w:type="dxa"/>
          </w:tcPr>
          <w:p w:rsidR="00733478" w:rsidRPr="008145B9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The Refugee Act of 1980 increased the number of refugee visas that could be issued in a year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Mexican immigrants are attracted to seasonal employment in the agricultural sector of the U.S. economy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In 1848, an attempt to bring about a liberal revolution in Germany failed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The development of widespread pineapple cultivation in Hawaii in the early 1900s attracted Japanese immigrant labor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>/E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 xml:space="preserve">Between 1890 and 1920, overpopulation and a devastating infestation of the crop disease </w:t>
            </w:r>
            <w:proofErr w:type="spellStart"/>
            <w:r w:rsidRPr="00733478">
              <w:rPr>
                <w:i/>
              </w:rPr>
              <w:t>phylloxera</w:t>
            </w:r>
            <w:proofErr w:type="spellEnd"/>
            <w:r>
              <w:t xml:space="preserve"> had pushed southern Italy’s agricultural economy to collapse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Jewish migrants to the U.S. tended to settle in urban areas and in predominantly Jewish neighborhoods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P/E/S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Under European laws of entail and primogeniture, estates could not be broken up and were inherited by the eldest son (they could not be split among all children)</w:t>
            </w:r>
          </w:p>
        </w:tc>
      </w:tr>
      <w:tr w:rsidR="00CA2F2D" w:rsidTr="005332F3">
        <w:trPr>
          <w:trHeight w:val="537"/>
        </w:trPr>
        <w:tc>
          <w:tcPr>
            <w:tcW w:w="9895" w:type="dxa"/>
            <w:gridSpan w:val="3"/>
            <w:shd w:val="clear" w:color="auto" w:fill="000000" w:themeFill="text1"/>
          </w:tcPr>
          <w:p w:rsidR="00CA2F2D" w:rsidRDefault="00CA2F2D" w:rsidP="00733478">
            <w:pPr>
              <w:pStyle w:val="ListParagraph"/>
              <w:tabs>
                <w:tab w:val="left" w:pos="90"/>
                <w:tab w:val="left" w:pos="342"/>
              </w:tabs>
              <w:ind w:left="342"/>
            </w:pPr>
            <w:r>
              <w:t>Interregional Migration in the United States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The increased productivity of the American farmer made it difficult for individual farmers to earn a living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733478" w:rsidRDefault="00733478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High-tech workers are attracted to jobs in California and Texas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After 1825, industries developed along the route of the Erie Canal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  <w:r w:rsidR="005335D2">
              <w:rPr>
                <w:sz w:val="18"/>
              </w:rPr>
              <w:t>/Forced??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Escaped slaves in the American south fled harsh conditions and possible death if captured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P/E</w:t>
            </w:r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At noon on March 3, 1889, “Unassigned Lands” in Oklahoma’s Indian Territory were opened up for claim by homesteaders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Gold was discovered at Sutter’s Mill in 1849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>/E</w:t>
            </w:r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Retirees move to the Sunbelt where weather is milder and costs of living are lower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E/S</w:t>
            </w:r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The gentrification (economic investment and “fixing up”) of lower income neighborhoods means higher taxes for longtime residents</w:t>
            </w:r>
          </w:p>
        </w:tc>
      </w:tr>
      <w:tr w:rsidR="00733478" w:rsidTr="00474926">
        <w:trPr>
          <w:trHeight w:val="537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proofErr w:type="spellStart"/>
            <w:r>
              <w:rPr>
                <w:sz w:val="18"/>
              </w:rPr>
              <w:t>En</w:t>
            </w:r>
            <w:proofErr w:type="spellEnd"/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 xml:space="preserve">In the </w:t>
            </w:r>
            <w:proofErr w:type="spellStart"/>
            <w:r>
              <w:t>mid 1930s</w:t>
            </w:r>
            <w:proofErr w:type="spellEnd"/>
            <w:r>
              <w:t>, severe drought and poor agricultural practices created the Dust Bowl in the central United States</w:t>
            </w:r>
          </w:p>
        </w:tc>
      </w:tr>
      <w:tr w:rsidR="00733478" w:rsidTr="00474926">
        <w:trPr>
          <w:trHeight w:val="538"/>
        </w:trPr>
        <w:tc>
          <w:tcPr>
            <w:tcW w:w="910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733478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733478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New York City provides many cultural opportunities</w:t>
            </w:r>
          </w:p>
        </w:tc>
      </w:tr>
      <w:tr w:rsidR="00CA2F2D" w:rsidTr="00474926">
        <w:trPr>
          <w:trHeight w:val="538"/>
        </w:trPr>
        <w:tc>
          <w:tcPr>
            <w:tcW w:w="910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CA2F2D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During the 1950s, many middle class families moved to the suburbs to escape overcrowding, noise, and crime</w:t>
            </w:r>
          </w:p>
        </w:tc>
      </w:tr>
      <w:tr w:rsidR="00CA2F2D" w:rsidTr="00474926">
        <w:trPr>
          <w:trHeight w:val="538"/>
        </w:trPr>
        <w:tc>
          <w:tcPr>
            <w:tcW w:w="910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CA2F2D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As the U.S. entered the postindustrial era, many factories were closed or were relocated</w:t>
            </w:r>
          </w:p>
        </w:tc>
      </w:tr>
      <w:tr w:rsidR="00CA2F2D" w:rsidTr="00474926">
        <w:trPr>
          <w:trHeight w:val="538"/>
        </w:trPr>
        <w:tc>
          <w:tcPr>
            <w:tcW w:w="910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CA2F2D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Oil and gas exploration made Texas and Oklahoma boom states during the 1970s and 1980s</w:t>
            </w:r>
          </w:p>
        </w:tc>
      </w:tr>
      <w:tr w:rsidR="00CA2F2D" w:rsidTr="00474926">
        <w:trPr>
          <w:trHeight w:val="538"/>
        </w:trPr>
        <w:tc>
          <w:tcPr>
            <w:tcW w:w="910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Pull</w:t>
            </w:r>
          </w:p>
        </w:tc>
        <w:tc>
          <w:tcPr>
            <w:tcW w:w="1245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740" w:type="dxa"/>
          </w:tcPr>
          <w:p w:rsidR="00CA2F2D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During World War I, in what has come to be called “The Great Migration”, 400,000 southern black migrants were attracted to wartime jobs in the North</w:t>
            </w:r>
          </w:p>
        </w:tc>
      </w:tr>
      <w:tr w:rsidR="00CA2F2D" w:rsidTr="00474926">
        <w:trPr>
          <w:trHeight w:val="538"/>
        </w:trPr>
        <w:tc>
          <w:tcPr>
            <w:tcW w:w="910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Push</w:t>
            </w:r>
          </w:p>
        </w:tc>
        <w:tc>
          <w:tcPr>
            <w:tcW w:w="1245" w:type="dxa"/>
          </w:tcPr>
          <w:p w:rsidR="00CA2F2D" w:rsidRPr="008145B9" w:rsidRDefault="00710C66" w:rsidP="00AD1D08">
            <w:pPr>
              <w:tabs>
                <w:tab w:val="left" w:pos="90"/>
                <w:tab w:val="left" w:pos="72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7740" w:type="dxa"/>
          </w:tcPr>
          <w:p w:rsidR="00CA2F2D" w:rsidRDefault="00CA2F2D" w:rsidP="00AD1D08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342"/>
              </w:tabs>
              <w:ind w:left="342" w:hanging="342"/>
            </w:pPr>
            <w:r>
              <w:t>Faced with local hostility to their newly-formed church, Joseph Smith led the Mormons out of New York</w:t>
            </w:r>
          </w:p>
        </w:tc>
      </w:tr>
    </w:tbl>
    <w:p w:rsidR="00733478" w:rsidRDefault="00733478" w:rsidP="008145B9">
      <w:pPr>
        <w:tabs>
          <w:tab w:val="left" w:pos="90"/>
          <w:tab w:val="left" w:pos="720"/>
        </w:tabs>
        <w:ind w:left="630" w:hanging="540"/>
        <w:rPr>
          <w:b/>
        </w:rPr>
      </w:pPr>
    </w:p>
    <w:p w:rsidR="005332F3" w:rsidRDefault="00CA2F2D" w:rsidP="005332F3">
      <w:pPr>
        <w:tabs>
          <w:tab w:val="left" w:pos="90"/>
          <w:tab w:val="left" w:pos="720"/>
        </w:tabs>
        <w:ind w:left="630"/>
      </w:pPr>
      <w:r>
        <w:lastRenderedPageBreak/>
        <w:t xml:space="preserve">Cite </w:t>
      </w:r>
      <w:r>
        <w:rPr>
          <w:i/>
        </w:rPr>
        <w:t xml:space="preserve">specific </w:t>
      </w:r>
      <w:r>
        <w:t>examples from the push/pull handout to illustra</w:t>
      </w:r>
      <w:r w:rsidR="005332F3">
        <w:t xml:space="preserve">te each of the following. If you do not believe that a concept is represented, suggest an example. The examples on the push/pull handout apply to the United States, but you can use examples from other parts of the world if you know of them. 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5057"/>
        <w:gridCol w:w="5103"/>
      </w:tblGrid>
      <w:tr w:rsidR="005332F3" w:rsidTr="0078706D">
        <w:trPr>
          <w:trHeight w:val="1648"/>
        </w:trPr>
        <w:tc>
          <w:tcPr>
            <w:tcW w:w="5395" w:type="dxa"/>
          </w:tcPr>
          <w:p w:rsidR="005332F3" w:rsidRDefault="005332F3" w:rsidP="005332F3">
            <w:pPr>
              <w:tabs>
                <w:tab w:val="left" w:pos="90"/>
                <w:tab w:val="left" w:pos="720"/>
              </w:tabs>
            </w:pPr>
            <w:r>
              <w:t>U.S. internal migration patterns (historical and contemporary)</w:t>
            </w:r>
          </w:p>
          <w:p w:rsidR="00710C66" w:rsidRDefault="00710C66" w:rsidP="005332F3">
            <w:pPr>
              <w:tabs>
                <w:tab w:val="left" w:pos="90"/>
                <w:tab w:val="left" w:pos="720"/>
              </w:tabs>
            </w:pPr>
            <w:r>
              <w:t>The Great Migration</w:t>
            </w:r>
          </w:p>
          <w:p w:rsidR="00710C66" w:rsidRDefault="00710C66" w:rsidP="005332F3">
            <w:pPr>
              <w:tabs>
                <w:tab w:val="left" w:pos="90"/>
                <w:tab w:val="left" w:pos="720"/>
              </w:tabs>
            </w:pPr>
            <w:r>
              <w:t>Rust Belt to South</w:t>
            </w:r>
          </w:p>
        </w:tc>
        <w:tc>
          <w:tcPr>
            <w:tcW w:w="5395" w:type="dxa"/>
          </w:tcPr>
          <w:p w:rsidR="005332F3" w:rsidRDefault="005332F3" w:rsidP="008145B9">
            <w:pPr>
              <w:tabs>
                <w:tab w:val="left" w:pos="90"/>
                <w:tab w:val="left" w:pos="720"/>
              </w:tabs>
            </w:pPr>
            <w:proofErr w:type="spellStart"/>
            <w:r>
              <w:t>Ravenstein’s</w:t>
            </w:r>
            <w:proofErr w:type="spellEnd"/>
            <w:r>
              <w:t xml:space="preserve"> laws of migration (see handout)</w:t>
            </w:r>
          </w:p>
          <w:p w:rsidR="00710C66" w:rsidRDefault="00710C66" w:rsidP="008145B9">
            <w:pPr>
              <w:tabs>
                <w:tab w:val="left" w:pos="90"/>
                <w:tab w:val="left" w:pos="720"/>
              </w:tabs>
            </w:pPr>
            <w:r>
              <w:t>Single males more likely to move internationally than females</w:t>
            </w:r>
          </w:p>
          <w:p w:rsidR="00710C66" w:rsidRDefault="00C103DB" w:rsidP="008145B9">
            <w:pPr>
              <w:tabs>
                <w:tab w:val="left" w:pos="90"/>
                <w:tab w:val="left" w:pos="720"/>
              </w:tabs>
            </w:pPr>
            <w:r>
              <w:t>Migrants move to larger cities than smaller towns</w:t>
            </w:r>
          </w:p>
        </w:tc>
      </w:tr>
      <w:tr w:rsidR="005332F3" w:rsidTr="0078706D">
        <w:trPr>
          <w:trHeight w:val="1648"/>
        </w:trPr>
        <w:tc>
          <w:tcPr>
            <w:tcW w:w="5395" w:type="dxa"/>
          </w:tcPr>
          <w:p w:rsidR="005332F3" w:rsidRDefault="005332F3" w:rsidP="005332F3">
            <w:pPr>
              <w:tabs>
                <w:tab w:val="left" w:pos="90"/>
                <w:tab w:val="left" w:pos="720"/>
              </w:tabs>
            </w:pPr>
            <w:r>
              <w:t>The Gravity Model</w:t>
            </w:r>
          </w:p>
          <w:p w:rsidR="00C103DB" w:rsidRDefault="00C103DB" w:rsidP="005332F3">
            <w:pPr>
              <w:tabs>
                <w:tab w:val="left" w:pos="90"/>
                <w:tab w:val="left" w:pos="720"/>
              </w:tabs>
            </w:pPr>
            <w:r>
              <w:t>Volume of migration decreases as distance increases</w:t>
            </w:r>
          </w:p>
          <w:p w:rsidR="00C103DB" w:rsidRDefault="00C103DB" w:rsidP="005332F3">
            <w:pPr>
              <w:tabs>
                <w:tab w:val="left" w:pos="90"/>
                <w:tab w:val="left" w:pos="720"/>
              </w:tabs>
            </w:pPr>
            <w:r>
              <w:t>More immigrants move to closer locations than farther away: North Africa/SW Asia to Turkey, Europe than USA</w:t>
            </w:r>
          </w:p>
        </w:tc>
        <w:tc>
          <w:tcPr>
            <w:tcW w:w="5395" w:type="dxa"/>
          </w:tcPr>
          <w:p w:rsidR="005332F3" w:rsidRDefault="005332F3" w:rsidP="008145B9">
            <w:pPr>
              <w:tabs>
                <w:tab w:val="left" w:pos="90"/>
                <w:tab w:val="left" w:pos="720"/>
              </w:tabs>
            </w:pPr>
            <w:r>
              <w:t>Distance Decay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  <w:r>
              <w:t>Fewer migrants from North Africa/SW Asia to USA</w:t>
            </w:r>
          </w:p>
        </w:tc>
      </w:tr>
      <w:tr w:rsidR="005332F3" w:rsidTr="0078706D">
        <w:trPr>
          <w:trHeight w:val="1648"/>
        </w:trPr>
        <w:tc>
          <w:tcPr>
            <w:tcW w:w="5395" w:type="dxa"/>
          </w:tcPr>
          <w:p w:rsidR="005332F3" w:rsidRDefault="005332F3" w:rsidP="005332F3">
            <w:pPr>
              <w:tabs>
                <w:tab w:val="left" w:pos="90"/>
                <w:tab w:val="left" w:pos="720"/>
              </w:tabs>
            </w:pPr>
            <w:r>
              <w:t>Step Migration</w:t>
            </w:r>
          </w:p>
          <w:p w:rsidR="00C103DB" w:rsidRDefault="00C103DB" w:rsidP="005332F3">
            <w:pPr>
              <w:tabs>
                <w:tab w:val="left" w:pos="90"/>
                <w:tab w:val="left" w:pos="720"/>
              </w:tabs>
            </w:pPr>
            <w:r>
              <w:t>Move from Lubbock, to Austin, to New Mexico to California</w:t>
            </w:r>
          </w:p>
        </w:tc>
        <w:tc>
          <w:tcPr>
            <w:tcW w:w="5395" w:type="dxa"/>
          </w:tcPr>
          <w:p w:rsidR="005332F3" w:rsidRDefault="005332F3" w:rsidP="008145B9">
            <w:pPr>
              <w:tabs>
                <w:tab w:val="left" w:pos="90"/>
                <w:tab w:val="left" w:pos="720"/>
              </w:tabs>
            </w:pPr>
            <w:r>
              <w:t>Chain Migration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  <w:r>
              <w:t>Move to America from Mexico. Found work, settle in a neighborhood, then friends and family follow. Ethnic neighborhoods form due to this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  <w:r>
              <w:t>Jewish ethnic neighborhoods</w:t>
            </w:r>
          </w:p>
        </w:tc>
      </w:tr>
      <w:tr w:rsidR="005332F3" w:rsidTr="0078706D">
        <w:trPr>
          <w:trHeight w:val="1648"/>
        </w:trPr>
        <w:tc>
          <w:tcPr>
            <w:tcW w:w="5395" w:type="dxa"/>
          </w:tcPr>
          <w:p w:rsidR="005332F3" w:rsidRDefault="005332F3" w:rsidP="005332F3">
            <w:pPr>
              <w:tabs>
                <w:tab w:val="left" w:pos="90"/>
                <w:tab w:val="left" w:pos="720"/>
              </w:tabs>
            </w:pPr>
            <w:r>
              <w:t>Intervening opportunities</w:t>
            </w:r>
          </w:p>
          <w:p w:rsidR="00C103DB" w:rsidRDefault="00C103DB" w:rsidP="005332F3">
            <w:pPr>
              <w:tabs>
                <w:tab w:val="left" w:pos="90"/>
                <w:tab w:val="left" w:pos="720"/>
              </w:tabs>
            </w:pPr>
            <w:r>
              <w:t>Planning to move from Texas to California but find a better job in Nevada</w:t>
            </w:r>
          </w:p>
        </w:tc>
        <w:tc>
          <w:tcPr>
            <w:tcW w:w="5395" w:type="dxa"/>
          </w:tcPr>
          <w:p w:rsidR="005332F3" w:rsidRDefault="005332F3" w:rsidP="008145B9">
            <w:pPr>
              <w:tabs>
                <w:tab w:val="left" w:pos="90"/>
                <w:tab w:val="left" w:pos="720"/>
              </w:tabs>
            </w:pPr>
            <w:r>
              <w:t>Forced migrations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  <w:proofErr w:type="spellStart"/>
            <w:r>
              <w:t>Trans Atlantic</w:t>
            </w:r>
            <w:proofErr w:type="spellEnd"/>
            <w:r>
              <w:t xml:space="preserve"> Slave Trade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  <w:r>
              <w:t xml:space="preserve">Trail of Tears </w:t>
            </w:r>
          </w:p>
        </w:tc>
      </w:tr>
      <w:tr w:rsidR="005332F3" w:rsidTr="0078706D">
        <w:trPr>
          <w:trHeight w:val="1648"/>
        </w:trPr>
        <w:tc>
          <w:tcPr>
            <w:tcW w:w="5395" w:type="dxa"/>
          </w:tcPr>
          <w:p w:rsidR="005332F3" w:rsidRDefault="005332F3" w:rsidP="005332F3">
            <w:pPr>
              <w:tabs>
                <w:tab w:val="left" w:pos="90"/>
                <w:tab w:val="left" w:pos="720"/>
              </w:tabs>
            </w:pPr>
            <w:r>
              <w:t>Counter migrations</w:t>
            </w:r>
          </w:p>
          <w:p w:rsidR="00C103DB" w:rsidRDefault="00C103DB" w:rsidP="005332F3">
            <w:pPr>
              <w:tabs>
                <w:tab w:val="left" w:pos="90"/>
                <w:tab w:val="left" w:pos="720"/>
              </w:tabs>
            </w:pPr>
            <w:r>
              <w:t>For every number of migrants that move, some move back home</w:t>
            </w:r>
          </w:p>
          <w:p w:rsidR="00C103DB" w:rsidRDefault="00C103DB" w:rsidP="005332F3">
            <w:pPr>
              <w:tabs>
                <w:tab w:val="left" w:pos="90"/>
                <w:tab w:val="left" w:pos="720"/>
              </w:tabs>
            </w:pPr>
            <w:r>
              <w:t xml:space="preserve">1900-1914 13 million Europeans move, est. 4 million returned </w:t>
            </w:r>
          </w:p>
        </w:tc>
        <w:tc>
          <w:tcPr>
            <w:tcW w:w="5395" w:type="dxa"/>
          </w:tcPr>
          <w:p w:rsidR="005332F3" w:rsidRDefault="005332F3" w:rsidP="008145B9">
            <w:pPr>
              <w:tabs>
                <w:tab w:val="left" w:pos="90"/>
                <w:tab w:val="left" w:pos="720"/>
              </w:tabs>
            </w:pPr>
            <w:r>
              <w:t>Cyclic movement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  <w:r>
              <w:t>Transhumance/Pastoral nomadism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</w:p>
        </w:tc>
      </w:tr>
      <w:tr w:rsidR="005332F3" w:rsidTr="0078706D">
        <w:trPr>
          <w:trHeight w:val="1648"/>
        </w:trPr>
        <w:tc>
          <w:tcPr>
            <w:tcW w:w="5395" w:type="dxa"/>
          </w:tcPr>
          <w:p w:rsidR="005332F3" w:rsidRDefault="005332F3" w:rsidP="005332F3">
            <w:pPr>
              <w:tabs>
                <w:tab w:val="left" w:pos="90"/>
                <w:tab w:val="left" w:pos="720"/>
              </w:tabs>
            </w:pPr>
            <w:r>
              <w:t>Periodic movement</w:t>
            </w:r>
          </w:p>
          <w:p w:rsidR="00C103DB" w:rsidRDefault="00C103DB" w:rsidP="005332F3">
            <w:pPr>
              <w:tabs>
                <w:tab w:val="left" w:pos="90"/>
                <w:tab w:val="left" w:pos="720"/>
              </w:tabs>
            </w:pPr>
            <w:r>
              <w:t>Education/military service</w:t>
            </w:r>
          </w:p>
        </w:tc>
        <w:tc>
          <w:tcPr>
            <w:tcW w:w="5395" w:type="dxa"/>
          </w:tcPr>
          <w:p w:rsidR="005332F3" w:rsidRDefault="005332F3" w:rsidP="008145B9">
            <w:pPr>
              <w:tabs>
                <w:tab w:val="left" w:pos="90"/>
                <w:tab w:val="left" w:pos="720"/>
              </w:tabs>
            </w:pPr>
            <w:r>
              <w:t>Other?</w:t>
            </w:r>
          </w:p>
          <w:p w:rsidR="00C103DB" w:rsidRDefault="00C103DB" w:rsidP="008145B9">
            <w:pPr>
              <w:tabs>
                <w:tab w:val="left" w:pos="90"/>
                <w:tab w:val="left" w:pos="720"/>
              </w:tabs>
            </w:pPr>
            <w:r>
              <w:t>Your choice</w:t>
            </w:r>
          </w:p>
        </w:tc>
      </w:tr>
    </w:tbl>
    <w:p w:rsidR="00CA2F2D" w:rsidRDefault="00CA2F2D" w:rsidP="008145B9">
      <w:pPr>
        <w:tabs>
          <w:tab w:val="left" w:pos="90"/>
          <w:tab w:val="left" w:pos="720"/>
        </w:tabs>
        <w:ind w:left="630" w:hanging="540"/>
      </w:pPr>
    </w:p>
    <w:p w:rsidR="005332F3" w:rsidRDefault="005332F3" w:rsidP="008145B9">
      <w:pPr>
        <w:tabs>
          <w:tab w:val="left" w:pos="90"/>
          <w:tab w:val="left" w:pos="720"/>
        </w:tabs>
        <w:ind w:left="630" w:hanging="540"/>
      </w:pPr>
      <w:r>
        <w:t>What was the relationship between these migration patterns and Europe’s demographic transition?</w:t>
      </w:r>
    </w:p>
    <w:p w:rsidR="00C103DB" w:rsidRDefault="00C103DB" w:rsidP="008145B9">
      <w:pPr>
        <w:tabs>
          <w:tab w:val="left" w:pos="90"/>
          <w:tab w:val="left" w:pos="720"/>
        </w:tabs>
        <w:ind w:left="630" w:hanging="540"/>
      </w:pPr>
      <w:r>
        <w:t xml:space="preserve">Past: </w:t>
      </w:r>
      <w:r w:rsidR="00944B0A">
        <w:t>Europeans left (Stage2) as they had no access to land (all owned), fleeing religious persecution, etc.</w:t>
      </w:r>
    </w:p>
    <w:p w:rsidR="00944B0A" w:rsidRDefault="00944B0A" w:rsidP="008145B9">
      <w:pPr>
        <w:tabs>
          <w:tab w:val="left" w:pos="90"/>
          <w:tab w:val="left" w:pos="720"/>
        </w:tabs>
        <w:ind w:left="630" w:hanging="540"/>
      </w:pPr>
      <w:r>
        <w:t>Present: Immigrants (developing countries) coming to Europe (esp. western Europe) for jobs, education, higher standard of living, etc. Stage 3-4-5.</w:t>
      </w:r>
    </w:p>
    <w:sectPr w:rsidR="00944B0A" w:rsidSect="00733478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E0D" w:rsidRDefault="00901E0D" w:rsidP="008145B9">
      <w:pPr>
        <w:spacing w:after="0" w:line="240" w:lineRule="auto"/>
      </w:pPr>
      <w:r>
        <w:separator/>
      </w:r>
    </w:p>
  </w:endnote>
  <w:endnote w:type="continuationSeparator" w:id="0">
    <w:p w:rsidR="00901E0D" w:rsidRDefault="00901E0D" w:rsidP="00814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E0D" w:rsidRDefault="00901E0D" w:rsidP="008145B9">
      <w:pPr>
        <w:spacing w:after="0" w:line="240" w:lineRule="auto"/>
      </w:pPr>
      <w:r>
        <w:separator/>
      </w:r>
    </w:p>
  </w:footnote>
  <w:footnote w:type="continuationSeparator" w:id="0">
    <w:p w:rsidR="00901E0D" w:rsidRDefault="00901E0D" w:rsidP="00814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45B9" w:rsidRDefault="00495FDB" w:rsidP="00495FDB">
    <w:pPr>
      <w:pStyle w:val="Header"/>
    </w:pPr>
    <w:r>
      <w:t>Migration Concepts Application</w:t>
    </w:r>
    <w:r>
      <w:tab/>
    </w:r>
    <w:r>
      <w:tab/>
    </w:r>
    <w:proofErr w:type="spellStart"/>
    <w:r>
      <w:t>Name</w:t>
    </w:r>
    <w:proofErr w:type="gramStart"/>
    <w:r>
      <w:t>:_</w:t>
    </w:r>
    <w:proofErr w:type="gramEnd"/>
    <w:r>
      <w:t>_____________________________________Class</w:t>
    </w:r>
    <w:proofErr w:type="spellEnd"/>
    <w:r>
      <w:t xml:space="preserve"> _______</w:t>
    </w:r>
    <w:r w:rsidR="008145B9">
      <w:t xml:space="preserve"> </w:t>
    </w:r>
  </w:p>
  <w:p w:rsidR="00495FDB" w:rsidRDefault="00495FDB" w:rsidP="00495F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85" w:rsidRPr="002C5B85" w:rsidRDefault="002C5B85" w:rsidP="002C5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02B4"/>
    <w:multiLevelType w:val="hybridMultilevel"/>
    <w:tmpl w:val="275A1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15E41"/>
    <w:multiLevelType w:val="hybridMultilevel"/>
    <w:tmpl w:val="207A3706"/>
    <w:lvl w:ilvl="0" w:tplc="F5E61CB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7446658F"/>
    <w:multiLevelType w:val="hybridMultilevel"/>
    <w:tmpl w:val="501EF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5B9"/>
    <w:rsid w:val="002C5B85"/>
    <w:rsid w:val="00474926"/>
    <w:rsid w:val="00495FDB"/>
    <w:rsid w:val="005332F3"/>
    <w:rsid w:val="005335D2"/>
    <w:rsid w:val="00710C66"/>
    <w:rsid w:val="00733478"/>
    <w:rsid w:val="00755308"/>
    <w:rsid w:val="0078706D"/>
    <w:rsid w:val="008145B9"/>
    <w:rsid w:val="00901E0D"/>
    <w:rsid w:val="00944B0A"/>
    <w:rsid w:val="009E27F7"/>
    <w:rsid w:val="00B25B15"/>
    <w:rsid w:val="00C103DB"/>
    <w:rsid w:val="00CA2F2D"/>
    <w:rsid w:val="00D81076"/>
    <w:rsid w:val="00FD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6A95B50"/>
  <w15:chartTrackingRefBased/>
  <w15:docId w15:val="{AE496EF5-71C1-4493-BD08-065A2173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5B9"/>
  </w:style>
  <w:style w:type="paragraph" w:styleId="Footer">
    <w:name w:val="footer"/>
    <w:basedOn w:val="Normal"/>
    <w:link w:val="FooterChar"/>
    <w:uiPriority w:val="99"/>
    <w:unhideWhenUsed/>
    <w:rsid w:val="00814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5B9"/>
  </w:style>
  <w:style w:type="table" w:styleId="TableGrid">
    <w:name w:val="Table Grid"/>
    <w:basedOn w:val="TableNormal"/>
    <w:uiPriority w:val="39"/>
    <w:rsid w:val="00814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45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7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0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Round Rock ISD</Company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Cheryl_Frazier</dc:creator>
  <cp:keywords/>
  <dc:description/>
  <cp:lastModifiedBy>e128506</cp:lastModifiedBy>
  <cp:revision>5</cp:revision>
  <cp:lastPrinted>2019-09-24T18:01:00Z</cp:lastPrinted>
  <dcterms:created xsi:type="dcterms:W3CDTF">2019-09-27T20:58:00Z</dcterms:created>
  <dcterms:modified xsi:type="dcterms:W3CDTF">2025-09-24T17:00:00Z</dcterms:modified>
</cp:coreProperties>
</file>