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Q3 2026 Sustainability &amp; Operations Report</w:t>
      </w:r>
    </w:p>
    <w:p>
      <w:r>
        <w:t>This quarterly audit covers document processing efficiency, GPU offload ratios, and energy reduction metrics.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  <w:tc>
          <w:tcPr>
            <w:tcW w:type="dxa" w:w="2880"/>
          </w:tcPr>
          <w:p>
            <w:r>
              <w:t>Achieved</w:t>
            </w:r>
          </w:p>
        </w:tc>
      </w:tr>
      <w:tr>
        <w:tc>
          <w:tcPr>
            <w:tcW w:type="dxa" w:w="2880"/>
          </w:tcPr>
          <w:p>
            <w:r>
              <w:t>Local Fast-Track Ratio</w:t>
            </w:r>
          </w:p>
        </w:tc>
        <w:tc>
          <w:tcPr>
            <w:tcW w:type="dxa" w:w="2880"/>
          </w:tcPr>
          <w:p>
            <w:r>
              <w:t>&gt;= 70%</w:t>
            </w:r>
          </w:p>
        </w:tc>
        <w:tc>
          <w:tcPr>
            <w:tcW w:type="dxa" w:w="2880"/>
          </w:tcPr>
          <w:p>
            <w:r>
              <w:t>78.4%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