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qkomc5a1h0xx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2030095</wp:posOffset>
                  </wp:positionH>
                  <wp:positionV relativeFrom="paragraph">
                    <wp:posOffset>0</wp:posOffset>
                  </wp:positionV>
                  <wp:extent cx="1879600" cy="609600"/>
                  <wp:effectExtent b="0" l="0" r="0" t="0"/>
                  <wp:wrapSquare wrapText="bothSides" distB="0" distT="0" distL="114300" distR="11430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на разработку дашбордов в PowerBI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Ind w:w="0.0" w:type="dxa"/>
        <w:tblLayout w:type="fixed"/>
        <w:tblLook w:val="00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rHeight w:val="354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Заказчик: АКВАЭНИМАЛ XXI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Сфера деятельности – оптовая торговля зоотоварами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4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Команда Проекта:</w:t>
            </w:r>
          </w:p>
          <w:tbl>
            <w:tblPr>
              <w:tblStyle w:val="Table3"/>
              <w:tblW w:w="9354.0" w:type="dxa"/>
              <w:jc w:val="left"/>
              <w:tblBorders>
                <w:top w:color="44546a" w:space="0" w:sz="4" w:val="single"/>
                <w:left w:color="44546a" w:space="0" w:sz="4" w:val="single"/>
                <w:bottom w:color="44546a" w:space="0" w:sz="4" w:val="single"/>
                <w:right w:color="44546a" w:space="0" w:sz="4" w:val="single"/>
                <w:insideH w:color="44546a" w:space="0" w:sz="4" w:val="single"/>
                <w:insideV w:color="44546a" w:space="0" w:sz="4" w:val="single"/>
              </w:tblBorders>
              <w:tblLayout w:type="fixed"/>
              <w:tblLook w:val="0400"/>
            </w:tblPr>
            <w:tblGrid>
              <w:gridCol w:w="4677"/>
              <w:gridCol w:w="4677"/>
              <w:tblGridChange w:id="0">
                <w:tblGrid>
                  <w:gridCol w:w="4677"/>
                  <w:gridCol w:w="46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C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Со стороны Заказчика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D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Со стороны Исполнителя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44546a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Роман Русланович Нилов – ген.директор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44546a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Ксения Авдеева – проектный менеджер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bottom w:color="44546a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44546a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Александра Шипанова – бизнес-аналитик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bottom w:color="44546a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44546a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Технический аналитик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bottom w:color="44546a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44546a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6">
                  <w:pPr>
                    <w:spacing w:after="16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8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40" w:line="36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2f5496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2et92p0" w:id="5"/>
                  <w:bookmarkEnd w:id="5"/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2f5496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Встречи: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11.01.2022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B">
                  <w:pPr>
                    <w:rPr/>
                  </w:pPr>
                  <w:hyperlink r:id="rId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Встреча 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18.01.2022</w:t>
                  </w:r>
                </w:p>
              </w:tc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D">
                  <w:pPr>
                    <w:rPr/>
                  </w:pPr>
                  <w:hyperlink r:id="rId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Встреча 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21.01.2022</w:t>
                  </w:r>
                </w:p>
              </w:tc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F">
                  <w:pPr>
                    <w:rPr/>
                  </w:pPr>
                  <w:hyperlink r:id="rId1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Встреча 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  <w:sectPr>
          <w:headerReference r:id="rId11" w:type="default"/>
          <w:footerReference r:id="rId12" w:type="default"/>
          <w:pgSz w:h="16838" w:w="11906" w:orient="portrait"/>
          <w:pgMar w:bottom="1134" w:top="1134" w:left="1701" w:right="85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dy6vkm" w:id="7"/>
          <w:bookmarkEnd w:id="7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Описательная часть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Бизнес-модель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Ключевые боли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Ожидания и цели от внедрения PowerBI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Процессная часть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Аналитическая часть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Метрики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Аналитический </w:t>
            </w:r>
          </w:hyperlink>
          <w:hyperlink w:anchor="_heading=h.44sinio">
            <w:r w:rsidDel="00000000" w:rsidR="00000000" w:rsidRPr="00000000">
              <w:rPr>
                <w:rtl w:val="0"/>
              </w:rPr>
              <w:t xml:space="preserve">отчет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Продажи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Аналитический отчёт: Склад и снабжение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1. Архитектура аналитической модели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40"/>
          <w:szCs w:val="40"/>
        </w:rPr>
        <w:sectPr>
          <w:type w:val="nextPage"/>
          <w:pgSz w:h="16838" w:w="11906" w:orient="portrait"/>
          <w:pgMar w:bottom="1134" w:top="1134" w:left="1701" w:right="851" w:header="709" w:footer="709"/>
        </w:sect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nwol5ftftw0v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Описательная часть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Бизнес-модель</w:t>
      </w:r>
    </w:p>
    <w:tbl>
      <w:tblPr>
        <w:tblStyle w:val="Table4"/>
        <w:tblW w:w="9354.0" w:type="dxa"/>
        <w:jc w:val="left"/>
        <w:tblInd w:w="0.0" w:type="dxa"/>
        <w:tblLayout w:type="fixed"/>
        <w:tblLook w:val="0400"/>
      </w:tblPr>
      <w:tblGrid>
        <w:gridCol w:w="2123"/>
        <w:gridCol w:w="7231"/>
        <w:tblGridChange w:id="0">
          <w:tblGrid>
            <w:gridCol w:w="2123"/>
            <w:gridCol w:w="723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Общее описание бизнеса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Оптовая торговля зоотоварами. Продажи на маркетплейсах.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География поставщиков:</w:t>
            </w:r>
            <w:r w:rsidDel="00000000" w:rsidR="00000000" w:rsidRPr="00000000">
              <w:rPr>
                <w:rtl w:val="0"/>
              </w:rPr>
              <w:t xml:space="preserve"> Германия, Нидерланды, США, Польша, Китай, Россия, Украина.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Отрасль / Направления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Торговля оптовая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Первый поставщик на территории России.</w:t>
            </w:r>
          </w:p>
          <w:p w:rsidR="00000000" w:rsidDel="00000000" w:rsidP="00000000" w:rsidRDefault="00000000" w:rsidRPr="00000000" w14:paraId="0000003E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Широкий портфель брендов с высокой оборачиваемостью товаров</w:t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Отгрузка от 5000 руб в течение 48 часов</w:t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лояльности: личный кабинет клиента, применение индивидуальных скидок вне зависимости от суммы отгрузки</w:t>
            </w:r>
          </w:p>
          <w:p w:rsidR="00000000" w:rsidDel="00000000" w:rsidP="00000000" w:rsidRDefault="00000000" w:rsidRPr="00000000" w14:paraId="00000041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Сопровождение: промо-материалы, обучение персонала</w:t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4.0" w:type="dxa"/>
        <w:jc w:val="left"/>
        <w:tblInd w:w="0.0" w:type="dxa"/>
        <w:tblLayout w:type="fixed"/>
        <w:tblLook w:val="0400"/>
      </w:tblPr>
      <w:tblGrid>
        <w:gridCol w:w="2124"/>
        <w:gridCol w:w="2980"/>
        <w:gridCol w:w="4250"/>
        <w:tblGridChange w:id="0">
          <w:tblGrid>
            <w:gridCol w:w="2124"/>
            <w:gridCol w:w="2980"/>
            <w:gridCol w:w="42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Ключевые направления и товарные группы</w:t>
            </w:r>
          </w:p>
        </w:tc>
      </w:tr>
      <w:tr>
        <w:trPr>
          <w:cantSplit w:val="0"/>
          <w:trHeight w:val="1566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Ключевые направления: оптовые продажи, продажи на маркетплейсах.</w:t>
            </w:r>
          </w:p>
          <w:p w:rsidR="00000000" w:rsidDel="00000000" w:rsidP="00000000" w:rsidRDefault="00000000" w:rsidRPr="00000000" w14:paraId="00000047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Товарные группы (по данным сайта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https://www.aquanimal.ru/</w:t>
              </w:r>
            </w:hyperlink>
            <w:r w:rsidDel="00000000" w:rsidR="00000000" w:rsidRPr="00000000">
              <w:rPr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Аквариумистика, террариумистика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1800 SKU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Витамины, лакомства и аксессуары для собак и кошек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700 SKU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Витамины, лакомства, аксессуары, клетки для птиц и грызунов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 SKU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Товары для прудов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 SKU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Ключевые каналы продаж ОФЛАЙН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Звонки по клиентским базам.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Дистрибьюторская сеть.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Выставки и презентации.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Ключевые каналы продаж ОНЛАЙН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Сайт (1)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Маркетплейсы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кабинеты): Wildberries (4), Ozon (4), Яндекс (1), Сбер (1), </w:t>
            </w:r>
            <w:r w:rsidDel="00000000" w:rsidR="00000000" w:rsidRPr="00000000">
              <w:rPr>
                <w:rtl w:val="0"/>
              </w:rPr>
              <w:t xml:space="preserve">Казань Экспресс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(1), АлиЭкспресс (1 )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Ключевые каналы рекламы ОНЛАЙН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Сайт (1), WB (1), Яндекс (1), Ozon (1), Сбер (1), Алиэкспресс (1), КазаньЭкспресс (1), Instagram (1), ВК (1)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Количество рекламных кабинетов: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4.0" w:type="dxa"/>
        <w:jc w:val="left"/>
        <w:tblInd w:w="0.0" w:type="dxa"/>
        <w:tblLayout w:type="fixed"/>
        <w:tblLook w:val="0400"/>
      </w:tblPr>
      <w:tblGrid>
        <w:gridCol w:w="2123"/>
        <w:gridCol w:w="4398"/>
        <w:gridCol w:w="427"/>
        <w:gridCol w:w="2406"/>
        <w:tblGridChange w:id="0">
          <w:tblGrid>
            <w:gridCol w:w="2123"/>
            <w:gridCol w:w="4398"/>
            <w:gridCol w:w="427"/>
            <w:gridCol w:w="240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shd w:fill="e7e6e6" w:val="clear"/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Программное обеспечение в рамках Проекта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1С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Количество аккаунтов / Тариф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1С УТ 8.3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Версия: облако / десктоп / мобильная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Облачная, кастомизированная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склад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Количество аккаунтов / Тариф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Версия: облако / десктоп / мобильная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Облако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bottom w:color="e7e6e6" w:space="0" w:sz="4" w:val="single"/>
              <w:right w:color="000000" w:space="0" w:sz="0" w:val="nil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Эксель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Версия: облако / десктоп / мобильная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Гугл.Форма</w:t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gridSpan w:val="4"/>
            <w:tcBorders>
              <w:top w:color="e7e6e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4"/>
            <w:shd w:fill="e7e6e6" w:val="clear"/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Собственное программное обеспечение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Есть собственное ПО / Платформа / Визуализация метрик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ПО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Сайт с личным кабинетом для оптовых покупателей.</w:t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rPr/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Ключевые боли</w:t>
      </w:r>
    </w:p>
    <w:tbl>
      <w:tblPr>
        <w:tblStyle w:val="Table7"/>
        <w:tblW w:w="9354.0" w:type="dxa"/>
        <w:jc w:val="left"/>
        <w:tblInd w:w="0.0" w:type="dxa"/>
        <w:tblBorders>
          <w:bottom w:color="e7e6e6" w:space="0" w:sz="4" w:val="single"/>
          <w:insideH w:color="e7e6e6" w:space="0" w:sz="4" w:val="single"/>
        </w:tblBorders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Отсутствие сводной своевременной информации о ценах продаж на различных маркетплейсах.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Нет онлайн-контроля за ценообразованием.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Очень много времени тратится на формирование отчётов и проведение аналитики.</w:t>
            </w:r>
          </w:p>
        </w:tc>
      </w:tr>
    </w:tbl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Ожидания и цели от внедрения PowerBI</w:t>
      </w:r>
    </w:p>
    <w:tbl>
      <w:tblPr>
        <w:tblStyle w:val="Table8"/>
        <w:tblW w:w="9354.0" w:type="dxa"/>
        <w:jc w:val="left"/>
        <w:tblInd w:w="0.0" w:type="dxa"/>
        <w:tblBorders>
          <w:bottom w:color="e7e6e6" w:space="0" w:sz="4" w:val="single"/>
          <w:insideH w:color="e7e6e6" w:space="0" w:sz="4" w:val="single"/>
          <w:insideV w:color="e7e6e6" w:space="0" w:sz="4" w:val="single"/>
        </w:tblBorders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Видеть аналитическую информацию по маркетплейсам: базовая цена компании, цены продажи на товары, выручка, комиссионные отчисления, количество заказов, количество возвратов, процент выкупов.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Сравнивать цены на товары в разрезе различных маркетплейсов в режиме онлайн.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Контролировать складские остатки на маркетплейсах и планировать снабжение складов.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Формировать список товаров для заказа.</w:t>
            </w:r>
          </w:p>
        </w:tc>
      </w:tr>
    </w:tbl>
    <w:p w:rsidR="00000000" w:rsidDel="00000000" w:rsidP="00000000" w:rsidRDefault="00000000" w:rsidRPr="00000000" w14:paraId="000000B0">
      <w:pPr>
        <w:rPr/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rdcrjn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Процессная часть</w:t>
      </w:r>
    </w:p>
    <w:tbl>
      <w:tblPr>
        <w:tblStyle w:val="Table9"/>
        <w:tblW w:w="14570.0" w:type="dxa"/>
        <w:jc w:val="left"/>
        <w:tblInd w:w="0.0" w:type="dxa"/>
        <w:tblLayout w:type="fixed"/>
        <w:tblLook w:val="0400"/>
      </w:tblPr>
      <w:tblGrid>
        <w:gridCol w:w="14570"/>
        <w:tblGridChange w:id="0">
          <w:tblGrid>
            <w:gridCol w:w="145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Процесс «Ценообразование»</w:t>
            </w:r>
          </w:p>
        </w:tc>
      </w:tr>
      <w:tr>
        <w:trPr>
          <w:cantSplit w:val="0"/>
          <w:trHeight w:val="156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115425" cy="2578100"/>
                  <wp:effectExtent b="0" l="0" r="0" t="0"/>
                  <wp:docPr id="2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425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  <w:sectPr>
          <w:type w:val="nextPage"/>
          <w:pgSz w:h="11906" w:w="16838" w:orient="landscape"/>
          <w:pgMar w:bottom="851" w:top="1701" w:left="1134" w:right="1134" w:header="709" w:footer="709"/>
        </w:sectPr>
      </w:pPr>
      <w:r w:rsidDel="00000000" w:rsidR="00000000" w:rsidRPr="00000000">
        <w:rPr>
          <w:rtl w:val="0"/>
        </w:rPr>
        <w:t xml:space="preserve">Ссылка на процесс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“Ценообразование”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4.0" w:type="dxa"/>
        <w:jc w:val="left"/>
        <w:tblInd w:w="0.0" w:type="dxa"/>
        <w:tblLayout w:type="fixed"/>
        <w:tblLook w:val="0400"/>
      </w:tblPr>
      <w:tblGrid>
        <w:gridCol w:w="2166"/>
        <w:gridCol w:w="7188"/>
        <w:tblGridChange w:id="0">
          <w:tblGrid>
            <w:gridCol w:w="2166"/>
            <w:gridCol w:w="7188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Особенности процесса продажи и ценообразования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Особенности: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Цены формируются в рамках коридора: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Внутренний калькулятор ценообразования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Конкурентные цены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Менеджер может поставить цену выше внутренней, но не ниже её.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Ориентация на прибыль.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Демпинговая политика не практикуется.</w:t>
            </w:r>
          </w:p>
          <w:p w:rsidR="00000000" w:rsidDel="00000000" w:rsidP="00000000" w:rsidRDefault="00000000" w:rsidRPr="00000000" w14:paraId="000000B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Планы развития: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Визуализация аналитических данных по маркетплейсам.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 ценообразования.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Поиск и применение решений для роста выручки.</w:t>
            </w:r>
          </w:p>
        </w:tc>
      </w:tr>
    </w:tbl>
    <w:p w:rsidR="00000000" w:rsidDel="00000000" w:rsidP="00000000" w:rsidRDefault="00000000" w:rsidRPr="00000000" w14:paraId="000000C3">
      <w:pPr>
        <w:spacing w:after="0" w:lineRule="auto"/>
        <w:rPr/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Процессная часть</w:t>
      </w:r>
    </w:p>
    <w:tbl>
      <w:tblPr>
        <w:tblStyle w:val="Table11"/>
        <w:tblW w:w="14570.0" w:type="dxa"/>
        <w:jc w:val="left"/>
        <w:tblInd w:w="0.0" w:type="dxa"/>
        <w:tblLayout w:type="fixed"/>
        <w:tblLook w:val="0400"/>
      </w:tblPr>
      <w:tblGrid>
        <w:gridCol w:w="14570"/>
        <w:tblGridChange w:id="0">
          <w:tblGrid>
            <w:gridCol w:w="145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Процесс «Снабжение»</w:t>
            </w:r>
          </w:p>
        </w:tc>
      </w:tr>
      <w:tr>
        <w:trPr>
          <w:cantSplit w:val="0"/>
          <w:trHeight w:val="156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ind w:left="-105" w:firstLine="0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115425" cy="2540000"/>
                  <wp:effectExtent b="0" l="0" r="0" t="0"/>
                  <wp:docPr id="2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425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  <w:sectPr>
          <w:type w:val="nextPage"/>
          <w:pgSz w:h="11906" w:w="16838" w:orient="landscape"/>
          <w:pgMar w:bottom="851" w:top="1701" w:left="1134" w:right="1134" w:header="709" w:footer="709"/>
        </w:sectPr>
      </w:pPr>
      <w:r w:rsidDel="00000000" w:rsidR="00000000" w:rsidRPr="00000000">
        <w:rPr>
          <w:rtl w:val="0"/>
        </w:rPr>
        <w:t xml:space="preserve">Ссылка на процесс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“Снабжение”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</w:r>
    </w:p>
    <w:tbl>
      <w:tblPr>
        <w:tblStyle w:val="Table12"/>
        <w:tblW w:w="9354.0" w:type="dxa"/>
        <w:jc w:val="left"/>
        <w:tblInd w:w="0.0" w:type="dxa"/>
        <w:tblLayout w:type="fixed"/>
        <w:tblLook w:val="0400"/>
      </w:tblPr>
      <w:tblGrid>
        <w:gridCol w:w="2123"/>
        <w:gridCol w:w="7231"/>
        <w:tblGridChange w:id="0">
          <w:tblGrid>
            <w:gridCol w:w="2123"/>
            <w:gridCol w:w="7231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Особенности процесса снабжения склада маркетплейса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Особенности: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Данные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Используется матрица (гугл.таблицы) в которой общие остатки формируются из: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Остатков на сегодняшний день (вносятся по каждой позиции).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Виртуальных остатков – тех позиций, которые надо отгрузить (заказы в процессе сборки).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Используется аналитика MPSTAT для определения: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72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Продаж за период.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Склада, на который необходимо отправить поставку.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Анализа оборачиваемости товаров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Учёт излишков и недостач на складе WB фиксируется на виртуальном складе в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Планы развития: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Визуализация аналитических данных по маркетплейсам.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 ценообразования.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Поиск и применение решений для роста выручки.</w:t>
            </w:r>
          </w:p>
        </w:tc>
      </w:tr>
    </w:tbl>
    <w:p w:rsidR="00000000" w:rsidDel="00000000" w:rsidP="00000000" w:rsidRDefault="00000000" w:rsidRPr="00000000" w14:paraId="000000D9">
      <w:pPr>
        <w:spacing w:after="0" w:lineRule="auto"/>
        <w:rPr/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5nkun2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Аналитическая часть</w:t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color w:val="2f5496"/>
          <w:sz w:val="32"/>
          <w:szCs w:val="32"/>
        </w:rPr>
      </w:pPr>
      <w:bookmarkStart w:colFirst="0" w:colLast="0" w:name="_heading=h.1ksv4uv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Метрик</w:t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и</w:t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8"/>
      <w:bookmarkEnd w:id="18"/>
      <w:r w:rsidDel="00000000" w:rsidR="00000000" w:rsidRPr="00000000">
        <w:rPr>
          <w:color w:val="2f5496"/>
          <w:sz w:val="28"/>
          <w:szCs w:val="28"/>
          <w:rtl w:val="0"/>
        </w:rPr>
        <w:t xml:space="preserve">Аналитический отчёты: Продажи</w:t>
      </w:r>
      <w:r w:rsidDel="00000000" w:rsidR="00000000" w:rsidRPr="00000000">
        <w:rPr>
          <w:rtl w:val="0"/>
        </w:rPr>
      </w:r>
    </w:p>
    <w:tbl>
      <w:tblPr>
        <w:tblStyle w:val="Table13"/>
        <w:tblW w:w="9354.0" w:type="dxa"/>
        <w:jc w:val="left"/>
        <w:tblInd w:w="0.0" w:type="dxa"/>
        <w:tblLayout w:type="fixed"/>
        <w:tblLook w:val="0400"/>
      </w:tblPr>
      <w:tblGrid>
        <w:gridCol w:w="2694"/>
        <w:gridCol w:w="6660"/>
        <w:tblGridChange w:id="0">
          <w:tblGrid>
            <w:gridCol w:w="2694"/>
            <w:gridCol w:w="66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D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Вводная информация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Основные показатели деятельности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Цель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Видеть текущее состояние.</w:t>
            </w:r>
          </w:p>
          <w:p w:rsidR="00000000" w:rsidDel="00000000" w:rsidP="00000000" w:rsidRDefault="00000000" w:rsidRPr="00000000" w14:paraId="000000E3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Планировать развитие.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Владелец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РОП, Менеджер маркетплейса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Частота обновления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День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Номер отчёта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2"/>
        <w:gridCol w:w="4220"/>
        <w:gridCol w:w="2248"/>
        <w:gridCol w:w="2244"/>
        <w:tblGridChange w:id="0">
          <w:tblGrid>
            <w:gridCol w:w="632"/>
            <w:gridCol w:w="4220"/>
            <w:gridCol w:w="2248"/>
            <w:gridCol w:w="224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Фильтр</w:t>
            </w:r>
          </w:p>
        </w:tc>
        <w:tc>
          <w:tcPr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Источник</w:t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Продажи и заказы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Выручка общая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План-факт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 отклонения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Бренд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Способ оплаты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/ 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Выручка за вычетом дисконта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План-факт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 отклонения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 Rate 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Прирост вал.выручки за вычетом дисконта, комиссий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Мес к мес / Год к году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Заказы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Выкупы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Количество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Средний чек /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Медиана чека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Комиссия маркетплейса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Возвраты оплаченных заказов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Возвраты неоплаченных заказов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 в выручке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Бренд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Способ оплаты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/ Город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Причина возврата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Конверсия (по данным продаж WB)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Заказано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обработке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Отменено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Продано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Возвращено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Бренд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/ 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Чистая прибыль (сумма к выводу: за вычетом всех скидок, комиссии WB, стоимости доставки, стоимости хранения)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План-факт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/ 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Рентабельность единицы / бренда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/ 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Сравнение цен на маркетплейсах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Цена единицы продукции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Сравнение маркетплейсов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/ 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Формулы:</w:t>
      </w:r>
    </w:p>
    <w:p w:rsidR="00000000" w:rsidDel="00000000" w:rsidP="00000000" w:rsidRDefault="00000000" w:rsidRPr="00000000" w14:paraId="0000015F">
      <w:pPr>
        <w:numPr>
          <w:ilvl w:val="0"/>
          <w:numId w:val="1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Run Rate: продажи на момент измерения/количество прошедших рабочих дней) * количество рабочих дней за весь период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Прирост, % (мес к мес, год к году): сумма за текущий период * 100% / сумма за прошедший период</w:t>
      </w:r>
    </w:p>
    <w:p w:rsidR="00000000" w:rsidDel="00000000" w:rsidP="00000000" w:rsidRDefault="00000000" w:rsidRPr="00000000" w14:paraId="00000161">
      <w:pPr>
        <w:numPr>
          <w:ilvl w:val="0"/>
          <w:numId w:val="1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Медина чека: среднее значение ранжируемого ряда, формулу определить на основании данных</w:t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Чистая прибыль: выручка - сумма скидок - сумма комиссии ВБ - стоимость доставки - стоимость хранения</w:t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spacing w:after="0" w:line="276" w:lineRule="auto"/>
        <w:ind w:left="720" w:hanging="360"/>
        <w:rPr/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Рентабельность единицы / бренда: чистая прибыль * 100% / себестоимость</w:t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Аналитически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 отчёты: Склад и снабжение</w:t>
      </w:r>
    </w:p>
    <w:tbl>
      <w:tblPr>
        <w:tblStyle w:val="Table15"/>
        <w:tblW w:w="9354.0" w:type="dxa"/>
        <w:jc w:val="left"/>
        <w:tblInd w:w="0.0" w:type="dxa"/>
        <w:tblLayout w:type="fixed"/>
        <w:tblLook w:val="0400"/>
      </w:tblPr>
      <w:tblGrid>
        <w:gridCol w:w="2694"/>
        <w:gridCol w:w="6660"/>
        <w:tblGridChange w:id="0">
          <w:tblGrid>
            <w:gridCol w:w="2694"/>
            <w:gridCol w:w="66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1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Вводная информация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Основные показатели деятельности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Цель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Планировать поставки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Владелец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РОП, Менеджер маркетплейса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Частота обновления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День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120" w:before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Номер отчёта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2"/>
        <w:gridCol w:w="4220"/>
        <w:gridCol w:w="2248"/>
        <w:gridCol w:w="2244"/>
        <w:tblGridChange w:id="0">
          <w:tblGrid>
            <w:gridCol w:w="632"/>
            <w:gridCol w:w="4220"/>
            <w:gridCol w:w="2248"/>
            <w:gridCol w:w="224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Фильтр</w:t>
            </w:r>
          </w:p>
        </w:tc>
        <w:tc>
          <w:tcPr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Источник</w:t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Склад и снабжение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Текущие остатки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Шт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Бренд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Партнёр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/ 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Виртуальные остатки (планируются к отгрузке)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Шт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Оборачиваемость товаров</w: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Дни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Коэффициент оборачиваемости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Дни запаса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 учётом времени на доставку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Общая потребность на 45 дней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к заказу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Шт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Неликвидный товар</w:t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Шт</w:t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 в общем объёме товаров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Структура неликвидного товара</w:t>
            </w:r>
          </w:p>
          <w:p w:rsidR="00000000" w:rsidDel="00000000" w:rsidP="00000000" w:rsidRDefault="00000000" w:rsidRPr="00000000" w14:paraId="000001AB">
            <w:pPr>
              <w:spacing w:after="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Нюансы по заказу (Тип упаковки)</w:t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количество товара по каждому типу упаковки</w:t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стоимости доставки и хранения по каждому типу упаковки</w:t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структура по типу упаковки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Возвраты</w:t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Себестоимость товара</w:t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 в выручке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Бренд</w:t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Затраты на логистику (склад - склад WB)</w:t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Принимается определённому заказчиком проценту</w:t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 в выручке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/ 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 (заданная)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Затраты на упаковку (склад - склад WB)</w:t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Принимается определённому заказчиком проценту</w:t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 в выручке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 (заданная)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Затраты на хранение</w:t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Расчётная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Складские потери товара при приёмке на склад</w:t>
            </w:r>
          </w:p>
          <w:p w:rsidR="00000000" w:rsidDel="00000000" w:rsidP="00000000" w:rsidRDefault="00000000" w:rsidRPr="00000000" w14:paraId="000001D9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Руб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% в выручке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ABC- и XYZ-анализ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ABC- и XYZ-анализ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Бренд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Магазин</w:t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Регион / 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Формулы:</w:t>
      </w:r>
    </w:p>
    <w:p w:rsidR="00000000" w:rsidDel="00000000" w:rsidP="00000000" w:rsidRDefault="00000000" w:rsidRPr="00000000" w14:paraId="000001EA">
      <w:pPr>
        <w:numPr>
          <w:ilvl w:val="0"/>
          <w:numId w:val="7"/>
        </w:numPr>
        <w:spacing w:after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Оборачиваемость товарных позиций: кол-во дней в периоде * (</w:t>
      </w:r>
      <w:r w:rsidDel="00000000" w:rsidR="00000000" w:rsidRPr="00000000">
        <w:rPr>
          <w:highlight w:val="white"/>
          <w:rtl w:val="0"/>
        </w:rPr>
        <w:t xml:space="preserve">остатки на начало периода + остатки на конец периода) / (кол-во проданных товаров в периоде * 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7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Коэффициент оборачиваемости: выручка от продаж / среднегодовой размер запасов</w:t>
      </w:r>
    </w:p>
    <w:p w:rsidR="00000000" w:rsidDel="00000000" w:rsidP="00000000" w:rsidRDefault="00000000" w:rsidRPr="00000000" w14:paraId="000001EC">
      <w:pPr>
        <w:numPr>
          <w:ilvl w:val="0"/>
          <w:numId w:val="7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Дни запаса: количество товара на складе / среднедневное количество продаж</w:t>
      </w:r>
    </w:p>
    <w:p w:rsidR="00000000" w:rsidDel="00000000" w:rsidP="00000000" w:rsidRDefault="00000000" w:rsidRPr="00000000" w14:paraId="000001ED">
      <w:pPr>
        <w:numPr>
          <w:ilvl w:val="0"/>
          <w:numId w:val="7"/>
        </w:numPr>
        <w:spacing w:after="0" w:line="276" w:lineRule="auto"/>
        <w:ind w:left="720" w:hanging="360"/>
        <w:rPr/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Складские потери: разница между принятым на складе ВБ и отправленным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Этапы реализации проекта</w:t>
      </w:r>
    </w:p>
    <w:tbl>
      <w:tblPr>
        <w:tblStyle w:val="Table17"/>
        <w:tblW w:w="9360.0" w:type="dxa"/>
        <w:jc w:val="left"/>
        <w:tblInd w:w="0.0" w:type="dxa"/>
        <w:tblLayout w:type="fixed"/>
        <w:tblLook w:val="0400"/>
      </w:tblPr>
      <w:tblGrid>
        <w:gridCol w:w="9090"/>
        <w:gridCol w:w="270"/>
        <w:tblGridChange w:id="0">
          <w:tblGrid>
            <w:gridCol w:w="9090"/>
            <w:gridCol w:w="270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1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Визуализация данных из Wildberries дашборды Power BI. Продажи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2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Визуализация данных из Wildberries дашборды Power BI. Склад и снабжение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1F4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48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Описание этапов:</w:t>
          </w:r>
        </w:p>
      </w:sdtContent>
    </w:sdt>
    <w:p w:rsidR="00000000" w:rsidDel="00000000" w:rsidP="00000000" w:rsidRDefault="00000000" w:rsidRPr="00000000" w14:paraId="000001F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6"/>
          <w:szCs w:val="26"/>
          <w:u w:val="single"/>
          <w:shd w:fill="auto" w:val="clear"/>
          <w:vertAlign w:val="baseline"/>
        </w:rPr>
      </w:pPr>
      <w:bookmarkStart w:colFirst="0" w:colLast="0" w:name="_heading=h.nlm1eos30prj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1 Этап: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4"/>
          <w:szCs w:val="24"/>
          <w:highlight w:val="white"/>
          <w:u w:val="none"/>
          <w:vertAlign w:val="baseline"/>
          <w:rtl w:val="0"/>
        </w:rPr>
        <w:t xml:space="preserve">Визуализация данных из Wildberries дашборды Power BI. Продажи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after="0" w:lineRule="auto"/>
        <w:rPr>
          <w:highlight w:val="white"/>
        </w:rPr>
      </w:pPr>
      <w:r w:rsidDel="00000000" w:rsidR="00000000" w:rsidRPr="00000000">
        <w:rPr>
          <w:u w:val="single"/>
          <w:rtl w:val="0"/>
        </w:rPr>
        <w:t xml:space="preserve">Список шагов по реализации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Изучение структуры данных, передаваемых по api из Wildberries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Подключение к api Wildberries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Анализ структуры данных в Wildberries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Построение модели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Тестирование модели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Составление расчетных мер по показателям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Проверка данных расчетных мер по показателям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Создание шаблонов гугл-таблиц (до 5 метрик, плановые значения)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Подключение к гугл-таблицам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Визуализация данных в отчетах Power BI в виде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Визуализация данных в отчетах Power BI в виде графиков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Демонстрация готовых отчетов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Внесение правок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Демонстрация готовых отчетов, подтверждение выполненных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Подписание акта выполненных 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Техническая поддержка реализованных отчетов в системе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 выполнении работ по визуализации отчетов в Power BI клиент может вносить правки по количеству расчетных показателей в размере 20% от общего числа расчетных показателей.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numPr>
          <w:ilvl w:val="0"/>
          <w:numId w:val="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Изменение формулы расчета каждого показателя возможно 1 раз после утверждения формулы.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baicsz3jlsu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20B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Готовые дашборды:</w:t>
      </w:r>
    </w:p>
    <w:p w:rsidR="00000000" w:rsidDel="00000000" w:rsidP="00000000" w:rsidRDefault="00000000" w:rsidRPr="00000000" w14:paraId="0000020C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Аналитический: продажи</w:t>
      </w:r>
    </w:p>
    <w:sdt>
      <w:sdtPr>
        <w:tag w:val="goog_rdk_1"/>
      </w:sdtPr>
      <w:sdtContent>
        <w:p w:rsidR="00000000" w:rsidDel="00000000" w:rsidP="00000000" w:rsidRDefault="00000000" w:rsidRPr="00000000" w14:paraId="0000020D">
          <w:pPr>
            <w:spacing w:after="0" w:lineRule="auto"/>
            <w:rPr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0E">
      <w:pPr>
        <w:spacing w:after="0" w:lineRule="auto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Метрики:</w:t>
      </w:r>
      <w:r w:rsidDel="00000000" w:rsidR="00000000" w:rsidRPr="00000000">
        <w:rPr>
          <w:rtl w:val="0"/>
        </w:rPr>
      </w:r>
    </w:p>
    <w:tbl>
      <w:tblPr>
        <w:tblStyle w:val="Table18"/>
        <w:tblW w:w="93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960"/>
        <w:tblGridChange w:id="0">
          <w:tblGrid>
            <w:gridCol w:w="2355"/>
            <w:gridCol w:w="6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Аналитический: продажи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Выручка общая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Выручка за вычетом дисконта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Run 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Прирост вал.выручки за вычетом дисконта, комиссий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Заказы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Выкупы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Медиана чека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Комиссия маркетплейса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Возвраты оплаченных заказов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Возвраты неоплаченных заказов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Конверсия (по данным продаж WB)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after="0" w:before="0"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Чистая прибыль (сумма к выводу: за вычетом всех скидок, комиссии WB, стоимости доставки, стоимости хранения)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Рентабельность единицы / бренда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Цена продажи единицы товара</w:t>
            </w:r>
          </w:p>
        </w:tc>
      </w:tr>
    </w:tbl>
    <w:p w:rsidR="00000000" w:rsidDel="00000000" w:rsidP="00000000" w:rsidRDefault="00000000" w:rsidRPr="00000000" w14:paraId="0000021E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21F">
          <w:pPr>
            <w:spacing w:after="0" w:line="240" w:lineRule="auto"/>
            <w:rPr>
              <w:b w:val="1"/>
              <w:color w:val="2f5496"/>
              <w:sz w:val="24"/>
              <w:szCs w:val="24"/>
            </w:rPr>
          </w:pPr>
          <w:r w:rsidDel="00000000" w:rsidR="00000000" w:rsidRPr="00000000">
            <w:rPr>
              <w:b w:val="1"/>
              <w:color w:val="2f5496"/>
              <w:sz w:val="24"/>
              <w:szCs w:val="24"/>
              <w:rtl w:val="0"/>
            </w:rPr>
            <w:t xml:space="preserve">Срок реализации задачи: </w:t>
          </w:r>
        </w:p>
      </w:sdtContent>
    </w:sdt>
    <w:p w:rsidR="00000000" w:rsidDel="00000000" w:rsidP="00000000" w:rsidRDefault="00000000" w:rsidRPr="00000000" w14:paraId="00000220">
      <w:pPr>
        <w:spacing w:after="0" w:line="240" w:lineRule="auto"/>
        <w:rPr/>
      </w:pPr>
      <w:r w:rsidDel="00000000" w:rsidR="00000000" w:rsidRPr="00000000">
        <w:rPr>
          <w:highlight w:val="white"/>
          <w:rtl w:val="0"/>
        </w:rPr>
        <w:t xml:space="preserve">1 месяц.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highlight w:val="white"/>
        </w:rPr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rc7qp0ainunu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2 Этап: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4"/>
          <w:szCs w:val="24"/>
          <w:highlight w:val="white"/>
          <w:u w:val="none"/>
          <w:vertAlign w:val="baseline"/>
          <w:rtl w:val="0"/>
        </w:rPr>
        <w:t xml:space="preserve">Визуализация данных из Wildberries дашборды Power BI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. Склад и снабжение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after="0" w:lineRule="auto"/>
        <w:rPr>
          <w:highlight w:val="white"/>
        </w:rPr>
      </w:pPr>
      <w:r w:rsidDel="00000000" w:rsidR="00000000" w:rsidRPr="00000000">
        <w:rPr>
          <w:u w:val="single"/>
          <w:rtl w:val="0"/>
        </w:rPr>
        <w:t xml:space="preserve">Список шагов по реализации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Изучение структуры данных, передаваемых по api из Wildberries</w:t>
      </w:r>
    </w:p>
    <w:p w:rsidR="00000000" w:rsidDel="00000000" w:rsidP="00000000" w:rsidRDefault="00000000" w:rsidRPr="00000000" w14:paraId="00000226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Подключение к api Wildberries</w:t>
      </w:r>
    </w:p>
    <w:p w:rsidR="00000000" w:rsidDel="00000000" w:rsidP="00000000" w:rsidRDefault="00000000" w:rsidRPr="00000000" w14:paraId="00000227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Анализ структуры данных в Wildberries</w:t>
      </w:r>
    </w:p>
    <w:p w:rsidR="00000000" w:rsidDel="00000000" w:rsidP="00000000" w:rsidRDefault="00000000" w:rsidRPr="00000000" w14:paraId="00000228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Построение модели данных</w:t>
      </w:r>
    </w:p>
    <w:p w:rsidR="00000000" w:rsidDel="00000000" w:rsidP="00000000" w:rsidRDefault="00000000" w:rsidRPr="00000000" w14:paraId="00000229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Тестирование модели данных</w:t>
      </w:r>
    </w:p>
    <w:p w:rsidR="00000000" w:rsidDel="00000000" w:rsidP="00000000" w:rsidRDefault="00000000" w:rsidRPr="00000000" w14:paraId="0000022A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Составление расчетных мер по показателям</w:t>
      </w:r>
    </w:p>
    <w:p w:rsidR="00000000" w:rsidDel="00000000" w:rsidP="00000000" w:rsidRDefault="00000000" w:rsidRPr="00000000" w14:paraId="0000022B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данных расчетных мер по показателям</w:t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шаблонов гугл-таблиц (до 5 метрик, плановые значения)</w:t>
      </w:r>
    </w:p>
    <w:p w:rsidR="00000000" w:rsidDel="00000000" w:rsidP="00000000" w:rsidRDefault="00000000" w:rsidRPr="00000000" w14:paraId="0000022D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Подключение к гугл-таблицам</w:t>
      </w:r>
    </w:p>
    <w:p w:rsidR="00000000" w:rsidDel="00000000" w:rsidP="00000000" w:rsidRDefault="00000000" w:rsidRPr="00000000" w14:paraId="0000022E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Визуализация данных в отчетах Power BI в виде таблиц</w:t>
      </w:r>
    </w:p>
    <w:p w:rsidR="00000000" w:rsidDel="00000000" w:rsidP="00000000" w:rsidRDefault="00000000" w:rsidRPr="00000000" w14:paraId="0000022F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Визуализация данных в отчетах Power BI в виде графиков</w:t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Демонстрация готовых отчетов</w:t>
      </w:r>
    </w:p>
    <w:p w:rsidR="00000000" w:rsidDel="00000000" w:rsidP="00000000" w:rsidRDefault="00000000" w:rsidRPr="00000000" w14:paraId="00000231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Внесение правок</w:t>
      </w:r>
    </w:p>
    <w:p w:rsidR="00000000" w:rsidDel="00000000" w:rsidP="00000000" w:rsidRDefault="00000000" w:rsidRPr="00000000" w14:paraId="00000232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Демонстрация готовых отчетов, подтверждение выполненных работ</w:t>
      </w:r>
    </w:p>
    <w:p w:rsidR="00000000" w:rsidDel="00000000" w:rsidP="00000000" w:rsidRDefault="00000000" w:rsidRPr="00000000" w14:paraId="00000233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Подписание акта выполненных  работ</w:t>
      </w:r>
    </w:p>
    <w:p w:rsidR="00000000" w:rsidDel="00000000" w:rsidP="00000000" w:rsidRDefault="00000000" w:rsidRPr="00000000" w14:paraId="00000234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Техническая поддержка реализованных отчетов в системе Power BI</w:t>
      </w:r>
    </w:p>
    <w:p w:rsidR="00000000" w:rsidDel="00000000" w:rsidP="00000000" w:rsidRDefault="00000000" w:rsidRPr="00000000" w14:paraId="00000235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выполнении работ по визуализации отчетов в Power BI клиент может вносить правки по количеству расчетных показателей в размере 20% от общего числа расчетных показателей.</w:t>
      </w:r>
    </w:p>
    <w:p w:rsidR="00000000" w:rsidDel="00000000" w:rsidP="00000000" w:rsidRDefault="00000000" w:rsidRPr="00000000" w14:paraId="00000236">
      <w:pPr>
        <w:widowControl w:val="0"/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Изменение формулы расчета каждого показателя возможно 1 раз после утверждения формулы.</w:t>
      </w:r>
    </w:p>
    <w:p w:rsidR="00000000" w:rsidDel="00000000" w:rsidP="00000000" w:rsidRDefault="00000000" w:rsidRPr="00000000" w14:paraId="00000237">
      <w:pPr>
        <w:spacing w:after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muylin02hlg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239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Готовые дашборды:</w:t>
      </w:r>
    </w:p>
    <w:p w:rsidR="00000000" w:rsidDel="00000000" w:rsidP="00000000" w:rsidRDefault="00000000" w:rsidRPr="00000000" w14:paraId="0000023A">
      <w:pPr>
        <w:numPr>
          <w:ilvl w:val="0"/>
          <w:numId w:val="10"/>
        </w:numPr>
        <w:spacing w:after="0" w:lineRule="auto"/>
        <w:ind w:left="720" w:hanging="360"/>
        <w:rPr/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Аналитический: снабжение и склад</w:t>
      </w:r>
    </w:p>
    <w:p w:rsidR="00000000" w:rsidDel="00000000" w:rsidP="00000000" w:rsidRDefault="00000000" w:rsidRPr="00000000" w14:paraId="0000023B">
      <w:pPr>
        <w:spacing w:after="0" w:lineRule="auto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Метрики:</w:t>
      </w:r>
      <w:r w:rsidDel="00000000" w:rsidR="00000000" w:rsidRPr="00000000">
        <w:rPr>
          <w:rtl w:val="0"/>
        </w:rPr>
      </w:r>
    </w:p>
    <w:tbl>
      <w:tblPr>
        <w:tblStyle w:val="Table19"/>
        <w:tblW w:w="93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960"/>
        <w:tblGridChange w:id="0">
          <w:tblGrid>
            <w:gridCol w:w="2355"/>
            <w:gridCol w:w="6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Аналитический: снабжение и склад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Текущие остатки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Виртуальные остатки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Оборачиваемость товаров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Коэффициент оборачиваемости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Дни запаса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Общая потребность на 45 дней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Количество к заказу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Неликвидный товар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Структура неликвидного товара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Нюансы по заказу (Тип упаковки)</w:t>
            </w:r>
          </w:p>
          <w:p w:rsidR="00000000" w:rsidDel="00000000" w:rsidP="00000000" w:rsidRDefault="00000000" w:rsidRPr="00000000" w14:paraId="00000247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Возвраты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Себестоимость товара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Затраты на логистику (склад - склад WB)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Затраты на упаковку (склад - склад WB)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Затраты на хранение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Складские потери товара</w:t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ABC- и XYZ-анализ</w:t>
            </w:r>
          </w:p>
        </w:tc>
      </w:tr>
    </w:tbl>
    <w:p w:rsidR="00000000" w:rsidDel="00000000" w:rsidP="00000000" w:rsidRDefault="00000000" w:rsidRPr="00000000" w14:paraId="0000024E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24F">
          <w:pPr>
            <w:spacing w:after="0" w:line="240" w:lineRule="auto"/>
            <w:rPr>
              <w:b w:val="1"/>
              <w:color w:val="2f5496"/>
              <w:sz w:val="24"/>
              <w:szCs w:val="24"/>
            </w:rPr>
          </w:pPr>
          <w:r w:rsidDel="00000000" w:rsidR="00000000" w:rsidRPr="00000000">
            <w:rPr>
              <w:b w:val="1"/>
              <w:color w:val="2f5496"/>
              <w:sz w:val="24"/>
              <w:szCs w:val="24"/>
              <w:rtl w:val="0"/>
            </w:rPr>
            <w:t xml:space="preserve">Срок реализации задачи: </w:t>
          </w:r>
        </w:p>
      </w:sdtContent>
    </w:sdt>
    <w:p w:rsidR="00000000" w:rsidDel="00000000" w:rsidP="00000000" w:rsidRDefault="00000000" w:rsidRPr="00000000" w14:paraId="00000250">
      <w:pPr>
        <w:spacing w:after="0" w:line="240" w:lineRule="auto"/>
        <w:rPr/>
      </w:pPr>
      <w:r w:rsidDel="00000000" w:rsidR="00000000" w:rsidRPr="00000000">
        <w:rPr>
          <w:highlight w:val="white"/>
          <w:rtl w:val="0"/>
        </w:rPr>
        <w:t xml:space="preserve">1 месяц.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b w:val="1"/>
          <w:color w:val="2f5496"/>
          <w:sz w:val="24"/>
          <w:szCs w:val="24"/>
        </w:rPr>
      </w:pPr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Календарный план:</w:t>
      </w:r>
    </w:p>
    <w:p w:rsidR="00000000" w:rsidDel="00000000" w:rsidP="00000000" w:rsidRDefault="00000000" w:rsidRPr="00000000" w14:paraId="00000254">
      <w:pPr>
        <w:spacing w:after="0" w:line="240" w:lineRule="auto"/>
        <w:rPr>
          <w:color w:val="2f5496"/>
          <w:sz w:val="32"/>
          <w:szCs w:val="32"/>
        </w:rPr>
        <w:sectPr>
          <w:type w:val="nextPage"/>
          <w:pgSz w:h="16838" w:w="11906" w:orient="portrait"/>
          <w:pgMar w:bottom="1134" w:top="1134" w:left="1701" w:right="851" w:header="709" w:footer="709"/>
        </w:sect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https://docs.google.com/spreadsheets/d/1uTfPaXvhoZXZtRXSC1aIi6Xkc0jL-cN8TcwQrOvNzQ0/edit#gid=1486679419</w:t>
        </w:r>
      </w:hyperlink>
      <w:r w:rsidDel="00000000" w:rsidR="00000000" w:rsidRPr="00000000">
        <w:rPr>
          <w:color w:val="2f549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edmxa7ol30lo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Приложение 1. Архитектура аналитической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/>
        <w:drawing>
          <wp:inline distB="0" distT="0" distL="0" distR="0">
            <wp:extent cx="5978221" cy="2995298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12668" l="8819" r="13726" t="18264"/>
                    <a:stretch>
                      <a:fillRect/>
                    </a:stretch>
                  </pic:blipFill>
                  <pic:spPr>
                    <a:xfrm>
                      <a:off x="0" y="0"/>
                      <a:ext cx="5978221" cy="299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0"/>
        <w:tblW w:w="9356.0" w:type="dxa"/>
        <w:jc w:val="left"/>
        <w:tblInd w:w="0.0" w:type="dxa"/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Стратегический дашборд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Содержит основные финансовые показатели и их тренды. 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Цель стратегического дашборда: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 компании инвесторами/акционерами.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Основа для стратегического планирования.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56.0" w:type="dxa"/>
        <w:jc w:val="left"/>
        <w:tblInd w:w="0.0" w:type="dxa"/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5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Аналитический дашборд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Дашборд содержит расчетные показатели, которые отражают эффективность процесса. Аналитический дашборд - основа для тактического планирования.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Он может включать в себя сравнительный анализ, расчет долей, когорт и другой аналитики. 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 пользователь аналитического дашборда - руководитель направления.</w:t>
            </w:r>
          </w:p>
        </w:tc>
      </w:tr>
    </w:tbl>
    <w:p w:rsidR="00000000" w:rsidDel="00000000" w:rsidP="00000000" w:rsidRDefault="00000000" w:rsidRPr="00000000" w14:paraId="000002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56.0" w:type="dxa"/>
        <w:jc w:val="left"/>
        <w:tblInd w:w="0.0" w:type="dxa"/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6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Операционный дашборд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Отражает данные оперативной деятельности сотрудника, подразделения или процесса. Цель - отследить динамику и проследить эффективность процесса.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Операционный дашборд может включать в себя данные по воронкам, таблицы, динамику изменения метрики и т.п. 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 пользователь операционного дашборда - линейный специалист.</w:t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3"/>
      <w:tblW w:w="9345.0" w:type="dxa"/>
      <w:jc w:val="left"/>
      <w:tblInd w:w="0.0" w:type="dxa"/>
      <w:tblBorders>
        <w:top w:color="000000" w:space="0" w:sz="0" w:val="nil"/>
        <w:left w:color="000000" w:space="0" w:sz="0" w:val="nil"/>
        <w:bottom w:color="44546a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345"/>
      <w:tblGridChange w:id="0">
        <w:tblGrid>
          <w:gridCol w:w="9345"/>
        </w:tblGrid>
      </w:tblGridChange>
    </w:tblGrid>
    <w:tr>
      <w:trPr>
        <w:cantSplit w:val="0"/>
        <w:trHeight w:val="699" w:hRule="atLeast"/>
        <w:tblHeader w:val="0"/>
      </w:trPr>
      <w:tc>
        <w:tcPr/>
        <w:p w:rsidR="00000000" w:rsidDel="00000000" w:rsidP="00000000" w:rsidRDefault="00000000" w:rsidRPr="00000000" w14:paraId="000002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4670425</wp:posOffset>
                </wp:positionH>
                <wp:positionV relativeFrom="paragraph">
                  <wp:posOffset>17145</wp:posOffset>
                </wp:positionV>
                <wp:extent cx="1198405" cy="388672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405" cy="388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2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" w:lineRule="auto"/>
    </w:pPr>
    <w:rPr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" w:lineRule="auto"/>
    </w:pPr>
    <w:rPr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" w:lineRule="auto"/>
    </w:pPr>
    <w:rPr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z w:val="40"/>
      <w:szCs w:val="40"/>
    </w:rPr>
  </w:style>
  <w:style w:type="paragraph" w:styleId="a" w:default="1">
    <w:name w:val="Normal"/>
    <w:qFormat w:val="1"/>
    <w:rsid w:val="00074789"/>
    <w:pPr>
      <w:spacing w:line="360" w:lineRule="auto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 w:val="1"/>
    <w:rsid w:val="00CF7966"/>
    <w:pPr>
      <w:keepNext w:val="1"/>
      <w:keepLines w:val="1"/>
      <w:spacing w:after="0" w:before="240" w:line="480" w:lineRule="auto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30F70"/>
    <w:pPr>
      <w:keepNext w:val="1"/>
      <w:keepLines w:val="1"/>
      <w:spacing w:after="240" w:before="40"/>
      <w:outlineLvl w:val="1"/>
    </w:pPr>
    <w:rPr>
      <w:rFonts w:cstheme="majorBidi" w:eastAsiaTheme="majorEastAsia"/>
      <w:color w:val="2f5496" w:themeColor="accent1" w:themeShade="0000BF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278C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B278C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74789"/>
    <w:pPr>
      <w:ind w:left="720"/>
      <w:contextualSpacing w:val="1"/>
    </w:pPr>
  </w:style>
  <w:style w:type="paragraph" w:styleId="a4">
    <w:name w:val="No Spacing"/>
    <w:uiPriority w:val="1"/>
    <w:qFormat w:val="1"/>
    <w:rsid w:val="00074789"/>
    <w:pPr>
      <w:spacing w:after="0" w:line="240" w:lineRule="auto"/>
    </w:pPr>
    <w:rPr>
      <w:rFonts w:ascii="Arial" w:hAnsi="Arial"/>
    </w:rPr>
  </w:style>
  <w:style w:type="character" w:styleId="10" w:customStyle="1">
    <w:name w:val="Заголовок 1 Знак"/>
    <w:basedOn w:val="a0"/>
    <w:link w:val="1"/>
    <w:uiPriority w:val="9"/>
    <w:rsid w:val="00CF7966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130F70"/>
    <w:rPr>
      <w:rFonts w:ascii="Arial" w:hAnsi="Arial" w:cstheme="majorBidi" w:eastAsiaTheme="majorEastAsia"/>
      <w:color w:val="2f5496" w:themeColor="accent1" w:themeShade="0000BF"/>
      <w:sz w:val="28"/>
      <w:szCs w:val="26"/>
    </w:rPr>
  </w:style>
  <w:style w:type="paragraph" w:styleId="a5">
    <w:name w:val="Title"/>
    <w:basedOn w:val="a"/>
    <w:next w:val="a"/>
    <w:link w:val="a6"/>
    <w:uiPriority w:val="10"/>
    <w:qFormat w:val="1"/>
    <w:rsid w:val="00074789"/>
    <w:pPr>
      <w:spacing w:after="0"/>
      <w:contextualSpacing w:val="1"/>
    </w:pPr>
    <w:rPr>
      <w:rFonts w:cstheme="majorBidi" w:eastAsiaTheme="majorEastAsia"/>
      <w:spacing w:val="-10"/>
      <w:kern w:val="28"/>
      <w:sz w:val="40"/>
      <w:szCs w:val="56"/>
    </w:rPr>
  </w:style>
  <w:style w:type="character" w:styleId="a6" w:customStyle="1">
    <w:name w:val="Заголовок Знак"/>
    <w:basedOn w:val="a0"/>
    <w:link w:val="a5"/>
    <w:uiPriority w:val="10"/>
    <w:rsid w:val="00074789"/>
    <w:rPr>
      <w:rFonts w:ascii="Arial" w:hAnsi="Arial" w:cstheme="majorBidi" w:eastAsiaTheme="majorEastAsia"/>
      <w:spacing w:val="-10"/>
      <w:kern w:val="28"/>
      <w:sz w:val="40"/>
      <w:szCs w:val="56"/>
    </w:rPr>
  </w:style>
  <w:style w:type="paragraph" w:styleId="a7">
    <w:name w:val="Subtitle"/>
    <w:basedOn w:val="a"/>
    <w:next w:val="a"/>
    <w:link w:val="a8"/>
    <w:uiPriority w:val="11"/>
    <w:qFormat w:val="1"/>
    <w:rsid w:val="00074789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a8" w:customStyle="1">
    <w:name w:val="Подзаголовок Знак"/>
    <w:basedOn w:val="a0"/>
    <w:link w:val="a7"/>
    <w:uiPriority w:val="11"/>
    <w:rsid w:val="00074789"/>
    <w:rPr>
      <w:rFonts w:ascii="Arial" w:hAnsi="Arial" w:eastAsiaTheme="minorEastAsia"/>
      <w:color w:val="5a5a5a" w:themeColor="text1" w:themeTint="0000A5"/>
      <w:spacing w:val="15"/>
    </w:rPr>
  </w:style>
  <w:style w:type="paragraph" w:styleId="a9">
    <w:name w:val="header"/>
    <w:basedOn w:val="a"/>
    <w:link w:val="aa"/>
    <w:uiPriority w:val="99"/>
    <w:unhideWhenUsed w:val="1"/>
    <w:rsid w:val="007B1E67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7B1E67"/>
    <w:rPr>
      <w:rFonts w:ascii="Arial" w:hAnsi="Arial"/>
    </w:rPr>
  </w:style>
  <w:style w:type="paragraph" w:styleId="ab">
    <w:name w:val="footer"/>
    <w:basedOn w:val="a"/>
    <w:link w:val="ac"/>
    <w:uiPriority w:val="99"/>
    <w:unhideWhenUsed w:val="1"/>
    <w:rsid w:val="007B1E67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7B1E67"/>
    <w:rPr>
      <w:rFonts w:ascii="Arial" w:hAnsi="Arial"/>
    </w:rPr>
  </w:style>
  <w:style w:type="table" w:styleId="ad">
    <w:name w:val="Table Grid"/>
    <w:basedOn w:val="a1"/>
    <w:uiPriority w:val="1"/>
    <w:rsid w:val="007B1E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e" w:customStyle="1">
    <w:name w:val="Содержимое"/>
    <w:basedOn w:val="a"/>
    <w:link w:val="af"/>
    <w:qFormat w:val="1"/>
    <w:rsid w:val="007B1E67"/>
    <w:pPr>
      <w:spacing w:after="0"/>
    </w:pPr>
    <w:rPr>
      <w:rFonts w:asciiTheme="majorHAnsi" w:eastAsiaTheme="minorEastAsia" w:hAnsiTheme="majorHAnsi"/>
      <w:color w:val="000000" w:themeColor="text1"/>
      <w:sz w:val="24"/>
    </w:rPr>
  </w:style>
  <w:style w:type="character" w:styleId="af" w:customStyle="1">
    <w:name w:val="Содержимое (знак)"/>
    <w:basedOn w:val="a0"/>
    <w:link w:val="ae"/>
    <w:rsid w:val="007B1E67"/>
    <w:rPr>
      <w:rFonts w:asciiTheme="majorHAnsi" w:eastAsiaTheme="minorEastAsia" w:hAnsiTheme="majorHAnsi"/>
      <w:color w:val="000000" w:themeColor="text1"/>
      <w:sz w:val="24"/>
    </w:rPr>
  </w:style>
  <w:style w:type="character" w:styleId="af0">
    <w:name w:val="Hyperlink"/>
    <w:basedOn w:val="a0"/>
    <w:uiPriority w:val="99"/>
    <w:unhideWhenUsed w:val="1"/>
    <w:rsid w:val="007B1E67"/>
    <w:rPr>
      <w:color w:val="0563c1" w:themeColor="hyperlink"/>
      <w:u w:val="single"/>
    </w:rPr>
  </w:style>
  <w:style w:type="paragraph" w:styleId="af1">
    <w:name w:val="TOC Heading"/>
    <w:basedOn w:val="1"/>
    <w:next w:val="a"/>
    <w:uiPriority w:val="39"/>
    <w:unhideWhenUsed w:val="1"/>
    <w:qFormat w:val="1"/>
    <w:rsid w:val="00B278CF"/>
    <w:pPr>
      <w:spacing w:line="259" w:lineRule="auto"/>
      <w:outlineLvl w:val="9"/>
    </w:pPr>
    <w:rPr>
      <w:rFonts w:asciiTheme="majorHAnsi" w:hAnsiTheme="majorHAnsi"/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B278CF"/>
    <w:pPr>
      <w:spacing w:after="100"/>
      <w:ind w:left="220"/>
    </w:pPr>
  </w:style>
  <w:style w:type="character" w:styleId="30" w:customStyle="1">
    <w:name w:val="Заголовок 3 Знак"/>
    <w:basedOn w:val="a0"/>
    <w:link w:val="3"/>
    <w:uiPriority w:val="9"/>
    <w:semiHidden w:val="1"/>
    <w:rsid w:val="00B278CF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semiHidden w:val="1"/>
    <w:rsid w:val="00B278CF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11">
    <w:name w:val="toc 1"/>
    <w:basedOn w:val="a"/>
    <w:next w:val="a"/>
    <w:autoRedefine w:val="1"/>
    <w:uiPriority w:val="39"/>
    <w:unhideWhenUsed w:val="1"/>
    <w:rsid w:val="00B278CF"/>
    <w:pPr>
      <w:spacing w:after="100"/>
    </w:pPr>
  </w:style>
  <w:style w:type="paragraph" w:styleId="31">
    <w:name w:val="toc 3"/>
    <w:basedOn w:val="a"/>
    <w:next w:val="a"/>
    <w:autoRedefine w:val="1"/>
    <w:uiPriority w:val="39"/>
    <w:unhideWhenUsed w:val="1"/>
    <w:rsid w:val="00B278CF"/>
    <w:pPr>
      <w:spacing w:after="100"/>
      <w:ind w:left="440"/>
    </w:pPr>
  </w:style>
  <w:style w:type="character" w:styleId="af2">
    <w:name w:val="Placeholder Text"/>
    <w:basedOn w:val="a0"/>
    <w:uiPriority w:val="99"/>
    <w:semiHidden w:val="1"/>
    <w:rsid w:val="005A4EF2"/>
    <w:rPr>
      <w:color w:val="808080"/>
    </w:rPr>
  </w:style>
  <w:style w:type="paragraph" w:styleId="af3">
    <w:name w:val="Normal (Web)"/>
    <w:basedOn w:val="a"/>
    <w:uiPriority w:val="99"/>
    <w:semiHidden w:val="1"/>
    <w:unhideWhenUsed w:val="1"/>
    <w:rsid w:val="00130F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 w:val="1"/>
    <w:unhideWhenUsed w:val="1"/>
    <w:rsid w:val="00BF20A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 w:val="1"/>
    <w:unhideWhenUsed w:val="1"/>
    <w:rsid w:val="00BF20A1"/>
    <w:pPr>
      <w:spacing w:line="240" w:lineRule="auto"/>
    </w:pPr>
    <w:rPr>
      <w:sz w:val="20"/>
      <w:szCs w:val="20"/>
    </w:rPr>
  </w:style>
  <w:style w:type="character" w:styleId="af6" w:customStyle="1">
    <w:name w:val="Текст примечания Знак"/>
    <w:basedOn w:val="a0"/>
    <w:link w:val="af5"/>
    <w:uiPriority w:val="99"/>
    <w:semiHidden w:val="1"/>
    <w:rsid w:val="00BF20A1"/>
    <w:rPr>
      <w:rFonts w:ascii="Arial" w:hAnsi="Arial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 w:val="1"/>
    <w:unhideWhenUsed w:val="1"/>
    <w:rsid w:val="00BF20A1"/>
    <w:rPr>
      <w:b w:val="1"/>
      <w:bCs w:val="1"/>
    </w:rPr>
  </w:style>
  <w:style w:type="character" w:styleId="af8" w:customStyle="1">
    <w:name w:val="Тема примечания Знак"/>
    <w:basedOn w:val="af6"/>
    <w:link w:val="af7"/>
    <w:uiPriority w:val="99"/>
    <w:semiHidden w:val="1"/>
    <w:rsid w:val="00BF20A1"/>
    <w:rPr>
      <w:rFonts w:ascii="Arial" w:hAnsi="Arial"/>
      <w:b w:val="1"/>
      <w:bCs w:val="1"/>
      <w:sz w:val="20"/>
      <w:szCs w:val="20"/>
    </w:rPr>
  </w:style>
  <w:style w:type="paragraph" w:styleId="HTML">
    <w:name w:val="HTML Preformatted"/>
    <w:basedOn w:val="a"/>
    <w:link w:val="HTML0"/>
    <w:uiPriority w:val="99"/>
    <w:unhideWhenUsed w:val="1"/>
    <w:rsid w:val="009B5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9B533E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36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36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us02web.zoom.us/rec/share/MBb1X77FxBLHUplJoHc3d0cC2GegLUHC2ooxp2i5MUQ5_qfBGL9QMJJL-Jv_k9L7.X8JUz4MXkbCUvWsR?startTime=1642751932000" TargetMode="External"/><Relationship Id="rId13" Type="http://schemas.openxmlformats.org/officeDocument/2006/relationships/hyperlink" Target="https://www.aquanimal.ru/" TargetMode="Externa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2web.zoom.us/rec/share/QkMzAQAXGdqNQo10BSlFV1046sawhBcvKKy0g3rW1CCqR9gEtLAaLv06BqJiWYoo.MGDy6jggNPxseJnE?startTime=1642492526000" TargetMode="External"/><Relationship Id="rId15" Type="http://schemas.openxmlformats.org/officeDocument/2006/relationships/hyperlink" Target="https://miro.com/app/board/uXjVOVRJRvU=/?invite_link_id=938949405815" TargetMode="External"/><Relationship Id="rId14" Type="http://schemas.openxmlformats.org/officeDocument/2006/relationships/image" Target="media/image4.jpg"/><Relationship Id="rId17" Type="http://schemas.openxmlformats.org/officeDocument/2006/relationships/hyperlink" Target="https://miro.com/app/board/uXjVOVRJRvU=/?invite_link_id=938949405815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d/1uTfPaXvhoZXZtRXSC1aIi6Xkc0jL-cN8TcwQrOvNzQ0/edit#gid=1486679419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us02web.zoom.us/rec/share/muxU3xx2KZOyDVM2ou3CgCvkFUwSh7KWY6Ab6rrJYpFheZbNOzNUEDX62fNRM3aA.SVWQA-QQKW71YPBf?startTime=164188772000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tpbyhZ4KyUo2KgzppIzj8WhGbQ==">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2022-01-17T12:25:00Z</dcterms:created>
  <dc:creator>Shaona</dc:creator>
</cp:coreProperties>
</file>