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9F11" w14:textId="0BF5A436" w:rsidR="00FB3369" w:rsidRDefault="00D57BBC" w:rsidP="00D57BBC">
      <w:pPr>
        <w:spacing w:after="80" w:line="400" w:lineRule="exact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AI</w:t>
      </w:r>
      <w:r>
        <w:rPr>
          <w:rFonts w:ascii="Times New Roman" w:eastAsia="宋体" w:hAnsi="Times New Roman" w:cs="Times New Roman" w:hint="eastAsia"/>
          <w:sz w:val="28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8"/>
        </w:rPr>
        <w:t>化工作流中</w:t>
      </w:r>
      <w:proofErr w:type="gramEnd"/>
      <w:r>
        <w:rPr>
          <w:rFonts w:ascii="Times New Roman" w:eastAsia="宋体" w:hAnsi="Times New Roman" w:cs="Times New Roman" w:hint="eastAsia"/>
          <w:sz w:val="28"/>
        </w:rPr>
        <w:t>的隐私安全风险及伦理治理</w:t>
      </w:r>
    </w:p>
    <w:p w14:paraId="243B902A" w14:textId="1C166A03" w:rsidR="00D57BBC" w:rsidRDefault="00D57BBC" w:rsidP="00D57BBC">
      <w:pPr>
        <w:spacing w:after="120" w:line="400" w:lineRule="exact"/>
        <w:jc w:val="center"/>
        <w:rPr>
          <w:rFonts w:ascii="Times New Roman" w:eastAsia="宋体" w:hAnsi="Times New Roman" w:cs="Times New Roman"/>
          <w:sz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</w:rPr>
        <w:t>朱铮扬</w:t>
      </w:r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</w:rPr>
        <w:t>通信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工程专硕</w:t>
      </w:r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 252080165</w:t>
      </w:r>
    </w:p>
    <w:p w14:paraId="11DBBAB0" w14:textId="4A6A747F" w:rsidR="00D57BBC" w:rsidRDefault="00D57BBC" w:rsidP="00D57BBC">
      <w:pPr>
        <w:spacing w:after="0" w:line="400" w:lineRule="exact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摘要：</w:t>
      </w:r>
      <w:r>
        <w:rPr>
          <w:rFonts w:ascii="Times New Roman" w:eastAsia="宋体" w:hAnsi="Times New Roman" w:cs="Times New Roman" w:hint="eastAsia"/>
          <w:sz w:val="24"/>
        </w:rPr>
        <w:t>文章围绕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化工作流在真实组织中的应用场景，梳理了数据边界扩张、提示注入、越权调用、日志留存和责任模糊等主要风险，并结合现行法律规范、风险管理框架、行业调查数据与公开事故案例，对其隐私安全问题进行了伦理与技术双重分析。研究表明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风险并不只来自模型生成错误，更来自跨系统连接后形成的连续数据处理链和行动链。只有将最小必要、最小授权、人类审批和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可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审计机制嵌入系统设计与管理制度之中，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流才能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在提升效率的同时守住个人权益、组织安全与工程责任的底线。</w:t>
      </w:r>
    </w:p>
    <w:p w14:paraId="4326B0D4" w14:textId="31F686F1" w:rsidR="00D57BBC" w:rsidRDefault="00D57BBC" w:rsidP="00D57BBC">
      <w:pPr>
        <w:spacing w:after="0" w:line="400" w:lineRule="exact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关键词：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自动化工作流；隐私保护；数据安全；提示注入；伦理治理</w:t>
      </w:r>
    </w:p>
    <w:p w14:paraId="7274E862" w14:textId="0A03DF62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1 </w:t>
      </w:r>
      <w:r>
        <w:rPr>
          <w:rFonts w:ascii="Times New Roman" w:eastAsia="宋体" w:hAnsi="Times New Roman" w:cs="Times New Roman" w:hint="eastAsia"/>
          <w:b/>
          <w:sz w:val="24"/>
        </w:rPr>
        <w:t>引言</w:t>
      </w:r>
    </w:p>
    <w:p w14:paraId="1BEF3B22" w14:textId="43BC4A6A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自动化工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作流正在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成为生成式人工智能落地组织场景的主要方式。与单纯的问答系统不同，这类工作流通常同时连接知识库、办公系统、邮件系统、代码仓库和业务平台，能够根据自然语言指令完成检索、汇总、生成、分发和更新等连续操作。其优势在于显著降低重复劳动成本，提高信息处理效率，但其风险也因此从“内容生成偏差”扩展为“数据流动失控”和“行动权限失控”。</w:t>
      </w:r>
    </w:p>
    <w:p w14:paraId="1D6F4A96" w14:textId="2FDA9E87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从工程伦理角度看，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化工作流不只是</w:t>
      </w:r>
      <w:proofErr w:type="gramEnd"/>
      <w:r>
        <w:rPr>
          <w:rFonts w:ascii="Times New Roman" w:eastAsia="宋体" w:hAnsi="Times New Roman" w:cs="Times New Roman" w:hint="eastAsia"/>
          <w:sz w:val="24"/>
        </w:rPr>
        <w:t>一个技术工具，更是嵌入组织权力结构和责任结构的行动系统。一旦其处理对象涉及员工信息、客户档案、合同文本、会议记录和代码资产，隐私保护、安全保障、知情边界和责任归属就不再是附属问题，而成为系统能否被正当部署的前提条件。《个人信息保护法》要求个人信息处理具有明确、合理的目的，并采取对个人权益影响最小的方式</w:t>
      </w:r>
      <w:r>
        <w:rPr>
          <w:rFonts w:ascii="Times New Roman" w:eastAsia="宋体" w:hAnsi="Times New Roman" w:cs="Times New Roman" w:hint="eastAsia"/>
          <w:sz w:val="24"/>
        </w:rPr>
        <w:t>[1]</w:t>
      </w:r>
      <w:r>
        <w:rPr>
          <w:rFonts w:ascii="Times New Roman" w:eastAsia="宋体" w:hAnsi="Times New Roman" w:cs="Times New Roman" w:hint="eastAsia"/>
          <w:sz w:val="24"/>
        </w:rPr>
        <w:t>；《数据安全法》要求对数据处理活动实施分类分级保护</w:t>
      </w:r>
      <w:r>
        <w:rPr>
          <w:rFonts w:ascii="Times New Roman" w:eastAsia="宋体" w:hAnsi="Times New Roman" w:cs="Times New Roman" w:hint="eastAsia"/>
          <w:sz w:val="24"/>
        </w:rPr>
        <w:t>[2]</w:t>
      </w:r>
      <w:r>
        <w:rPr>
          <w:rFonts w:ascii="Times New Roman" w:eastAsia="宋体" w:hAnsi="Times New Roman" w:cs="Times New Roman" w:hint="eastAsia"/>
          <w:sz w:val="24"/>
        </w:rPr>
        <w:t>；《生成式人工智能服务管理暂行办法》进一步要求保护用户输入信息和使用记录，不得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收集非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必要个人信息</w:t>
      </w:r>
      <w:r>
        <w:rPr>
          <w:rFonts w:ascii="Times New Roman" w:eastAsia="宋体" w:hAnsi="Times New Roman" w:cs="Times New Roman" w:hint="eastAsia"/>
          <w:sz w:val="24"/>
        </w:rPr>
        <w:t>[3]</w:t>
      </w:r>
      <w:r>
        <w:rPr>
          <w:rFonts w:ascii="Times New Roman" w:eastAsia="宋体" w:hAnsi="Times New Roman" w:cs="Times New Roman" w:hint="eastAsia"/>
          <w:sz w:val="24"/>
        </w:rPr>
        <w:t>。这表明，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工作流的治理必须从一开始就被纳入合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和伦理框架。</w:t>
      </w:r>
    </w:p>
    <w:p w14:paraId="3A012714" w14:textId="5944ECE0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从社会接受度看，隐私风险已经不只是技术人员的专业担忧。</w:t>
      </w:r>
      <w:r>
        <w:rPr>
          <w:rFonts w:ascii="Times New Roman" w:eastAsia="宋体" w:hAnsi="Times New Roman" w:cs="Times New Roman" w:hint="eastAsia"/>
          <w:sz w:val="24"/>
        </w:rPr>
        <w:t>Cisco</w:t>
      </w:r>
      <w:r>
        <w:rPr>
          <w:rFonts w:ascii="Times New Roman" w:eastAsia="宋体" w:hAnsi="Times New Roman" w:cs="Times New Roman" w:hint="eastAsia"/>
          <w:sz w:val="24"/>
        </w:rPr>
        <w:t>于</w:t>
      </w:r>
      <w:r>
        <w:rPr>
          <w:rFonts w:ascii="Times New Roman" w:eastAsia="宋体" w:hAnsi="Times New Roman" w:cs="Times New Roman" w:hint="eastAsia"/>
          <w:sz w:val="24"/>
        </w:rPr>
        <w:t>2024</w:t>
      </w:r>
      <w:r>
        <w:rPr>
          <w:rFonts w:ascii="Times New Roman" w:eastAsia="宋体" w:hAnsi="Times New Roman" w:cs="Times New Roman" w:hint="eastAsia"/>
          <w:sz w:val="24"/>
        </w:rPr>
        <w:t>年发布的消费者隐私调查显示，</w:t>
      </w:r>
      <w:r>
        <w:rPr>
          <w:rFonts w:ascii="Times New Roman" w:eastAsia="宋体" w:hAnsi="Times New Roman" w:cs="Times New Roman" w:hint="eastAsia"/>
          <w:sz w:val="24"/>
        </w:rPr>
        <w:t>30%</w:t>
      </w:r>
      <w:r>
        <w:rPr>
          <w:rFonts w:ascii="Times New Roman" w:eastAsia="宋体" w:hAnsi="Times New Roman" w:cs="Times New Roman" w:hint="eastAsia"/>
          <w:sz w:val="24"/>
        </w:rPr>
        <w:t>的生成式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用户承认曾向相关工具输入个人或机密信息，但与此同时，</w:t>
      </w:r>
      <w:r>
        <w:rPr>
          <w:rFonts w:ascii="Times New Roman" w:eastAsia="宋体" w:hAnsi="Times New Roman" w:cs="Times New Roman" w:hint="eastAsia"/>
          <w:sz w:val="24"/>
        </w:rPr>
        <w:t>84%</w:t>
      </w:r>
      <w:r>
        <w:rPr>
          <w:rFonts w:ascii="Times New Roman" w:eastAsia="宋体" w:hAnsi="Times New Roman" w:cs="Times New Roman" w:hint="eastAsia"/>
          <w:sz w:val="24"/>
        </w:rPr>
        <w:t>的受访者又担心这些输入内容会被公开</w:t>
      </w:r>
      <w:r>
        <w:rPr>
          <w:rFonts w:ascii="Times New Roman" w:eastAsia="宋体" w:hAnsi="Times New Roman" w:cs="Times New Roman" w:hint="eastAsia"/>
          <w:sz w:val="24"/>
        </w:rPr>
        <w:t>[12]</w:t>
      </w:r>
      <w:r>
        <w:rPr>
          <w:rFonts w:ascii="Times New Roman" w:eastAsia="宋体" w:hAnsi="Times New Roman" w:cs="Times New Roman" w:hint="eastAsia"/>
          <w:sz w:val="24"/>
        </w:rPr>
        <w:t>。这说明普通用户在“便利性”与“风险感知”之间存在明显张力，也意味着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化工作流一旦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进入教育、医疗、政务和企业办公等实际场景，隐私与安全就必须被视为系统设计阶段的核心约束，而不是事后补救的问题。</w:t>
      </w:r>
    </w:p>
    <w:p w14:paraId="6EED7AF7" w14:textId="27934946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2 AI</w:t>
      </w:r>
      <w:r>
        <w:rPr>
          <w:rFonts w:ascii="Times New Roman" w:eastAsia="宋体" w:hAnsi="Times New Roman" w:cs="Times New Roman" w:hint="eastAsia"/>
          <w:b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b/>
          <w:sz w:val="24"/>
        </w:rPr>
        <w:t>化工作流的</w:t>
      </w:r>
      <w:proofErr w:type="gramEnd"/>
      <w:r>
        <w:rPr>
          <w:rFonts w:ascii="Times New Roman" w:eastAsia="宋体" w:hAnsi="Times New Roman" w:cs="Times New Roman" w:hint="eastAsia"/>
          <w:b/>
          <w:sz w:val="24"/>
        </w:rPr>
        <w:t>隐私安全风险机理</w:t>
      </w:r>
    </w:p>
    <w:p w14:paraId="2ACF50BF" w14:textId="6E5982C8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2.1 </w:t>
      </w:r>
      <w:r>
        <w:rPr>
          <w:rFonts w:ascii="Times New Roman" w:eastAsia="宋体" w:hAnsi="Times New Roman" w:cs="Times New Roman" w:hint="eastAsia"/>
          <w:b/>
          <w:sz w:val="24"/>
        </w:rPr>
        <w:t>数据边界扩张带来的隐私侵入</w:t>
      </w:r>
    </w:p>
    <w:p w14:paraId="0D0F8AD2" w14:textId="4016DFC5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为了提升任务完成率，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自动化工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作流往往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倾向于接入更多上下文，包括历史对</w:t>
      </w:r>
      <w:r>
        <w:rPr>
          <w:rFonts w:ascii="Times New Roman" w:eastAsia="宋体" w:hAnsi="Times New Roman" w:cs="Times New Roman" w:hint="eastAsia"/>
          <w:sz w:val="24"/>
        </w:rPr>
        <w:lastRenderedPageBreak/>
        <w:t>话、内部文档、用户画像、业务记录和外部知识源。表面上看，这提高了系统的“理解能力”，但实际上也扩大了数据暴露面。原本分别保存在不同系统中的信息，在工作流执行过程中会进入统一上下文，并可能同时出现在缓存、检索索引、日志和第三方接口请求之中。一旦任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环节控制失效，泄露影响就会从单点扩展为整条数据链。</w:t>
      </w:r>
    </w:p>
    <w:p w14:paraId="625E87A3" w14:textId="0452AD3B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这类做法容易违反“最小必要”原则。许多系统并不是基于明确目的选择数据，而是为了提高未来可用性而持续积累上下文。</w:t>
      </w:r>
      <w:r>
        <w:rPr>
          <w:rFonts w:ascii="Times New Roman" w:eastAsia="宋体" w:hAnsi="Times New Roman" w:cs="Times New Roman" w:hint="eastAsia"/>
          <w:sz w:val="24"/>
        </w:rPr>
        <w:t>NIST AI</w:t>
      </w:r>
      <w:r>
        <w:rPr>
          <w:rFonts w:ascii="Times New Roman" w:eastAsia="宋体" w:hAnsi="Times New Roman" w:cs="Times New Roman" w:hint="eastAsia"/>
          <w:sz w:val="24"/>
        </w:rPr>
        <w:t>风险管理框架指出，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系统风险与使用场景、治理能力和外部环境密切相关，不能只从模型性能角度理解安全问题</w:t>
      </w:r>
      <w:r>
        <w:rPr>
          <w:rFonts w:ascii="Times New Roman" w:eastAsia="宋体" w:hAnsi="Times New Roman" w:cs="Times New Roman" w:hint="eastAsia"/>
          <w:sz w:val="24"/>
        </w:rPr>
        <w:t>[4]</w:t>
      </w:r>
      <w:r>
        <w:rPr>
          <w:rFonts w:ascii="Times New Roman" w:eastAsia="宋体" w:hAnsi="Times New Roman" w:cs="Times New Roman" w:hint="eastAsia"/>
          <w:sz w:val="24"/>
        </w:rPr>
        <w:t>。对于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工作流而言，越多的数据调用并不必然意味着越好的治理，相反可能使用户在并不知情的情况下承担更高的隐私暴露风险。</w:t>
      </w:r>
    </w:p>
    <w:p w14:paraId="6B496B3E" w14:textId="26715764" w:rsidR="00D57BBC" w:rsidRDefault="00285941" w:rsidP="00285941">
      <w:pPr>
        <w:spacing w:after="0" w:line="400" w:lineRule="exact"/>
        <w:ind w:firstLine="480"/>
        <w:jc w:val="both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C20D47D" wp14:editId="26D4B4E6">
            <wp:simplePos x="0" y="0"/>
            <wp:positionH relativeFrom="margin">
              <wp:posOffset>483124</wp:posOffset>
            </wp:positionH>
            <wp:positionV relativeFrom="paragraph">
              <wp:posOffset>1650780</wp:posOffset>
            </wp:positionV>
            <wp:extent cx="4751705" cy="2757170"/>
            <wp:effectExtent l="0" t="0" r="0" b="5080"/>
            <wp:wrapTopAndBottom/>
            <wp:docPr id="1739863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39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7BBC">
        <w:rPr>
          <w:rFonts w:ascii="Times New Roman" w:eastAsia="宋体" w:hAnsi="Times New Roman" w:cs="Times New Roman" w:hint="eastAsia"/>
          <w:sz w:val="24"/>
        </w:rPr>
        <w:t>行业调查进一步证明，输入侧泄露已经是现实问题而非理论假设。</w:t>
      </w:r>
      <w:r w:rsidR="00D57BBC">
        <w:rPr>
          <w:rFonts w:ascii="Times New Roman" w:eastAsia="宋体" w:hAnsi="Times New Roman" w:cs="Times New Roman" w:hint="eastAsia"/>
          <w:sz w:val="24"/>
        </w:rPr>
        <w:t>Cisco</w:t>
      </w:r>
      <w:r w:rsidR="00D57BBC">
        <w:rPr>
          <w:rFonts w:ascii="Times New Roman" w:eastAsia="宋体" w:hAnsi="Times New Roman" w:cs="Times New Roman" w:hint="eastAsia"/>
          <w:sz w:val="24"/>
        </w:rPr>
        <w:t>发布的《</w:t>
      </w:r>
      <w:r w:rsidR="00D57BBC">
        <w:rPr>
          <w:rFonts w:ascii="Times New Roman" w:eastAsia="宋体" w:hAnsi="Times New Roman" w:cs="Times New Roman" w:hint="eastAsia"/>
          <w:sz w:val="24"/>
        </w:rPr>
        <w:t>2024 Data Privacy Benchmark Study</w:t>
      </w:r>
      <w:r w:rsidR="00D57BBC">
        <w:rPr>
          <w:rFonts w:ascii="Times New Roman" w:eastAsia="宋体" w:hAnsi="Times New Roman" w:cs="Times New Roman" w:hint="eastAsia"/>
          <w:sz w:val="24"/>
        </w:rPr>
        <w:t>》指出，受访者在使用生成式</w:t>
      </w:r>
      <w:r w:rsidR="00D57BBC">
        <w:rPr>
          <w:rFonts w:ascii="Times New Roman" w:eastAsia="宋体" w:hAnsi="Times New Roman" w:cs="Times New Roman" w:hint="eastAsia"/>
          <w:sz w:val="24"/>
        </w:rPr>
        <w:t>AI</w:t>
      </w:r>
      <w:r w:rsidR="00D57BBC">
        <w:rPr>
          <w:rFonts w:ascii="Times New Roman" w:eastAsia="宋体" w:hAnsi="Times New Roman" w:cs="Times New Roman" w:hint="eastAsia"/>
          <w:sz w:val="24"/>
        </w:rPr>
        <w:t>应用时，</w:t>
      </w:r>
      <w:r w:rsidR="00D57BBC">
        <w:rPr>
          <w:rFonts w:ascii="Times New Roman" w:eastAsia="宋体" w:hAnsi="Times New Roman" w:cs="Times New Roman" w:hint="eastAsia"/>
          <w:sz w:val="24"/>
        </w:rPr>
        <w:t>62%</w:t>
      </w:r>
      <w:r w:rsidR="00D57BBC">
        <w:rPr>
          <w:rFonts w:ascii="Times New Roman" w:eastAsia="宋体" w:hAnsi="Times New Roman" w:cs="Times New Roman" w:hint="eastAsia"/>
          <w:sz w:val="24"/>
        </w:rPr>
        <w:t>输入过内部流程信息，</w:t>
      </w:r>
      <w:r w:rsidR="00D57BBC">
        <w:rPr>
          <w:rFonts w:ascii="Times New Roman" w:eastAsia="宋体" w:hAnsi="Times New Roman" w:cs="Times New Roman" w:hint="eastAsia"/>
          <w:sz w:val="24"/>
        </w:rPr>
        <w:t>48%</w:t>
      </w:r>
      <w:r w:rsidR="00D57BBC">
        <w:rPr>
          <w:rFonts w:ascii="Times New Roman" w:eastAsia="宋体" w:hAnsi="Times New Roman" w:cs="Times New Roman" w:hint="eastAsia"/>
          <w:sz w:val="24"/>
        </w:rPr>
        <w:t>输入过非公开公司信息，</w:t>
      </w:r>
      <w:r w:rsidR="00D57BBC">
        <w:rPr>
          <w:rFonts w:ascii="Times New Roman" w:eastAsia="宋体" w:hAnsi="Times New Roman" w:cs="Times New Roman" w:hint="eastAsia"/>
          <w:sz w:val="24"/>
        </w:rPr>
        <w:t>45%</w:t>
      </w:r>
      <w:r w:rsidR="00D57BBC">
        <w:rPr>
          <w:rFonts w:ascii="Times New Roman" w:eastAsia="宋体" w:hAnsi="Times New Roman" w:cs="Times New Roman" w:hint="eastAsia"/>
          <w:sz w:val="24"/>
        </w:rPr>
        <w:t>输入过员工姓名或员工信息，</w:t>
      </w:r>
      <w:r w:rsidR="00D57BBC">
        <w:rPr>
          <w:rFonts w:ascii="Times New Roman" w:eastAsia="宋体" w:hAnsi="Times New Roman" w:cs="Times New Roman" w:hint="eastAsia"/>
          <w:sz w:val="24"/>
        </w:rPr>
        <w:t>38%</w:t>
      </w:r>
      <w:r w:rsidR="00D57BBC">
        <w:rPr>
          <w:rFonts w:ascii="Times New Roman" w:eastAsia="宋体" w:hAnsi="Times New Roman" w:cs="Times New Roman" w:hint="eastAsia"/>
          <w:sz w:val="24"/>
        </w:rPr>
        <w:t>输入过客户姓名或客户信息</w:t>
      </w:r>
      <w:r w:rsidR="00D57BBC">
        <w:rPr>
          <w:rFonts w:ascii="Times New Roman" w:eastAsia="宋体" w:hAnsi="Times New Roman" w:cs="Times New Roman" w:hint="eastAsia"/>
          <w:sz w:val="24"/>
        </w:rPr>
        <w:t>[11]</w:t>
      </w:r>
      <w:r w:rsidR="00D57BBC">
        <w:rPr>
          <w:rFonts w:ascii="Times New Roman" w:eastAsia="宋体" w:hAnsi="Times New Roman" w:cs="Times New Roman" w:hint="eastAsia"/>
          <w:sz w:val="24"/>
        </w:rPr>
        <w:t>。如图</w:t>
      </w:r>
      <w:r w:rsidR="00D57BBC">
        <w:rPr>
          <w:rFonts w:ascii="Times New Roman" w:eastAsia="宋体" w:hAnsi="Times New Roman" w:cs="Times New Roman" w:hint="eastAsia"/>
          <w:sz w:val="24"/>
        </w:rPr>
        <w:t>1</w:t>
      </w:r>
      <w:r w:rsidR="00D57BBC">
        <w:rPr>
          <w:rFonts w:ascii="Times New Roman" w:eastAsia="宋体" w:hAnsi="Times New Roman" w:cs="Times New Roman" w:hint="eastAsia"/>
          <w:sz w:val="24"/>
        </w:rPr>
        <w:t>所示，被输入模型的内容并不只是公开知识，更大量涉及组织运营和个人信息。一旦</w:t>
      </w:r>
      <w:r w:rsidR="00D57BBC">
        <w:rPr>
          <w:rFonts w:ascii="Times New Roman" w:eastAsia="宋体" w:hAnsi="Times New Roman" w:cs="Times New Roman" w:hint="eastAsia"/>
          <w:sz w:val="24"/>
        </w:rPr>
        <w:t>AI</w:t>
      </w:r>
      <w:r w:rsidR="00D57BBC"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 w:rsidR="00D57BBC">
        <w:rPr>
          <w:rFonts w:ascii="Times New Roman" w:eastAsia="宋体" w:hAnsi="Times New Roman" w:cs="Times New Roman" w:hint="eastAsia"/>
          <w:sz w:val="24"/>
        </w:rPr>
        <w:t>化工作流默认</w:t>
      </w:r>
      <w:proofErr w:type="gramEnd"/>
      <w:r w:rsidR="00D57BBC">
        <w:rPr>
          <w:rFonts w:ascii="Times New Roman" w:eastAsia="宋体" w:hAnsi="Times New Roman" w:cs="Times New Roman" w:hint="eastAsia"/>
          <w:sz w:val="24"/>
        </w:rPr>
        <w:t>抓取“更多上下文”来提升回答效果，就可能在无形中突破商业秘密和个人信息保护边界。</w:t>
      </w:r>
    </w:p>
    <w:p w14:paraId="1CEB33F1" w14:textId="74B3BEBA" w:rsidR="00D57BBC" w:rsidRDefault="00D57BBC" w:rsidP="00D57BBC">
      <w:pPr>
        <w:spacing w:after="0" w:line="400" w:lineRule="exact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 xml:space="preserve">1 </w:t>
      </w:r>
      <w:r>
        <w:rPr>
          <w:rFonts w:ascii="Times New Roman" w:eastAsia="宋体" w:hAnsi="Times New Roman" w:cs="Times New Roman" w:hint="eastAsia"/>
          <w:sz w:val="24"/>
        </w:rPr>
        <w:t>员工向生成式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应用输入的敏感信息类型占比（数据来源：</w:t>
      </w:r>
      <w:r>
        <w:rPr>
          <w:rFonts w:ascii="Times New Roman" w:eastAsia="宋体" w:hAnsi="Times New Roman" w:cs="Times New Roman" w:hint="eastAsia"/>
          <w:sz w:val="24"/>
        </w:rPr>
        <w:t>Cisco 2024 Data Privacy Benchmark Study</w:t>
      </w:r>
      <w:r>
        <w:rPr>
          <w:rFonts w:ascii="Times New Roman" w:eastAsia="宋体" w:hAnsi="Times New Roman" w:cs="Times New Roman" w:hint="eastAsia"/>
          <w:sz w:val="24"/>
        </w:rPr>
        <w:t>）</w:t>
      </w:r>
    </w:p>
    <w:p w14:paraId="0C655559" w14:textId="632BB6F5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2.2 </w:t>
      </w:r>
      <w:r>
        <w:rPr>
          <w:rFonts w:ascii="Times New Roman" w:eastAsia="宋体" w:hAnsi="Times New Roman" w:cs="Times New Roman" w:hint="eastAsia"/>
          <w:b/>
          <w:sz w:val="24"/>
        </w:rPr>
        <w:t>提示注入与越权调用导致的安全失控</w:t>
      </w:r>
    </w:p>
    <w:p w14:paraId="44295732" w14:textId="0102E1EC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另一个突出风险，在于其无法像传统软件那样清晰地区分“数据”与“指令”。当系统会自动读取网页、邮件、附件或知识库内容时，外部文本就可能混入恶意提示，诱导模型改变原本的任务目标。相关研究表明，针对</w:t>
      </w:r>
      <w:r>
        <w:rPr>
          <w:rFonts w:ascii="Times New Roman" w:eastAsia="宋体" w:hAnsi="Times New Roman" w:cs="Times New Roman" w:hint="eastAsia"/>
          <w:sz w:val="24"/>
        </w:rPr>
        <w:t>LLM</w:t>
      </w:r>
      <w:r>
        <w:rPr>
          <w:rFonts w:ascii="Times New Roman" w:eastAsia="宋体" w:hAnsi="Times New Roman" w:cs="Times New Roman" w:hint="eastAsia"/>
          <w:sz w:val="24"/>
        </w:rPr>
        <w:t>集成应用的提示注入攻击可以诱导系统泄露提示、误用工具甚至执行非预期操作</w:t>
      </w:r>
      <w:r>
        <w:rPr>
          <w:rFonts w:ascii="Times New Roman" w:eastAsia="宋体" w:hAnsi="Times New Roman" w:cs="Times New Roman" w:hint="eastAsia"/>
          <w:sz w:val="24"/>
        </w:rPr>
        <w:t>[7]</w:t>
      </w:r>
      <w:r>
        <w:rPr>
          <w:rFonts w:ascii="Times New Roman" w:eastAsia="宋体" w:hAnsi="Times New Roman" w:cs="Times New Roman" w:hint="eastAsia"/>
          <w:sz w:val="24"/>
        </w:rPr>
        <w:t>；间接提示注入</w:t>
      </w:r>
      <w:r>
        <w:rPr>
          <w:rFonts w:ascii="Times New Roman" w:eastAsia="宋体" w:hAnsi="Times New Roman" w:cs="Times New Roman" w:hint="eastAsia"/>
          <w:sz w:val="24"/>
        </w:rPr>
        <w:lastRenderedPageBreak/>
        <w:t>还能够通过被检索到的外部内容远程影响真实应用行为</w:t>
      </w:r>
      <w:r>
        <w:rPr>
          <w:rFonts w:ascii="Times New Roman" w:eastAsia="宋体" w:hAnsi="Times New Roman" w:cs="Times New Roman" w:hint="eastAsia"/>
          <w:sz w:val="24"/>
        </w:rPr>
        <w:t>[8]</w:t>
      </w:r>
      <w:r>
        <w:rPr>
          <w:rFonts w:ascii="Times New Roman" w:eastAsia="宋体" w:hAnsi="Times New Roman" w:cs="Times New Roman" w:hint="eastAsia"/>
          <w:sz w:val="24"/>
        </w:rPr>
        <w:t>。这意味着攻击者不必直接入侵后台，也可能通过普通文档改变工作流输出与行动。</w:t>
      </w:r>
    </w:p>
    <w:p w14:paraId="6A95C696" w14:textId="0EF05FDB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从伦理层面看，这种风险会削弱用户真实自主性。用户以为自己只是在让系统“总结文档”或“整理邮件”，但系统可能已经在后台读取了超出任务范围的数据，或者被外部文本诱导执行额外动作。生成式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画像指出，生成式系统在信息完整性、保密性和访问控制方面面临新的系统性挑战</w:t>
      </w:r>
      <w:r>
        <w:rPr>
          <w:rFonts w:ascii="Times New Roman" w:eastAsia="宋体" w:hAnsi="Times New Roman" w:cs="Times New Roman" w:hint="eastAsia"/>
          <w:sz w:val="24"/>
        </w:rPr>
        <w:t>[5]</w:t>
      </w:r>
      <w:r>
        <w:rPr>
          <w:rFonts w:ascii="Times New Roman" w:eastAsia="宋体" w:hAnsi="Times New Roman" w:cs="Times New Roman" w:hint="eastAsia"/>
          <w:sz w:val="24"/>
        </w:rPr>
        <w:t>。因此，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工作流的安全问题并不只属于网络防护范畴，也涉及是否尊重用户授权边界与组织信任边界。</w:t>
      </w:r>
    </w:p>
    <w:p w14:paraId="503B5B88" w14:textId="10335F27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2.3 </w:t>
      </w:r>
      <w:r>
        <w:rPr>
          <w:rFonts w:ascii="Times New Roman" w:eastAsia="宋体" w:hAnsi="Times New Roman" w:cs="Times New Roman" w:hint="eastAsia"/>
          <w:b/>
          <w:sz w:val="24"/>
        </w:rPr>
        <w:t>日志留存与责任链模糊</w:t>
      </w:r>
    </w:p>
    <w:p w14:paraId="3AA8C2D6" w14:textId="77474F66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化工作流通常需要保留调用日志、提示记录、检索结果和执行轨迹，以支持调试和审计。但如果日志留存缺乏边界，同样会成为新的敏感数据池。尤其当系统把用户输入、内部文件摘要和执行结果长期保存在统一日志中时，调试便利就可能以牺牲隐私为代价。更严重的是，一旦发生事故，平台提供者、模型提供者、部署组织、插件供应商和终端用户之间往往相互推责，导致受损方难以获得及时救济。</w:t>
      </w:r>
    </w:p>
    <w:p w14:paraId="64A2E060" w14:textId="5786A33B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从工程伦理看，谁掌握更强的设计权、权限分配权和数据控制权，谁就应承担更高的审慎义务。若组织将高权限自动化能力开放给模型，却在事故后仅要求普通用户承担全部后果，显然不符合责任与控制能力相匹配的原则。可见，日志和追责机制若设计不当，既会扩大信息泄露风险，也会加剧责任失衡问题。</w:t>
      </w:r>
    </w:p>
    <w:p w14:paraId="69AFB00B" w14:textId="140184D1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3 </w:t>
      </w:r>
      <w:r>
        <w:rPr>
          <w:rFonts w:ascii="Times New Roman" w:eastAsia="宋体" w:hAnsi="Times New Roman" w:cs="Times New Roman" w:hint="eastAsia"/>
          <w:b/>
          <w:sz w:val="24"/>
        </w:rPr>
        <w:t>典型案例分析</w:t>
      </w:r>
    </w:p>
    <w:p w14:paraId="56342B48" w14:textId="2A6D538E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3.1 ChatGPT</w:t>
      </w:r>
      <w:r>
        <w:rPr>
          <w:rFonts w:ascii="Times New Roman" w:eastAsia="宋体" w:hAnsi="Times New Roman" w:cs="Times New Roman" w:hint="eastAsia"/>
          <w:b/>
          <w:sz w:val="24"/>
        </w:rPr>
        <w:t>数据暴露事件的启示</w:t>
      </w:r>
    </w:p>
    <w:p w14:paraId="7A1ED3EC" w14:textId="0BB4FF65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2023</w:t>
      </w:r>
      <w:r>
        <w:rPr>
          <w:rFonts w:ascii="Times New Roman" w:eastAsia="宋体" w:hAnsi="Times New Roman" w:cs="Times New Roman" w:hint="eastAsia"/>
          <w:sz w:val="24"/>
        </w:rPr>
        <w:t>年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月，</w:t>
      </w:r>
      <w:r>
        <w:rPr>
          <w:rFonts w:ascii="Times New Roman" w:eastAsia="宋体" w:hAnsi="Times New Roman" w:cs="Times New Roman" w:hint="eastAsia"/>
          <w:sz w:val="24"/>
        </w:rPr>
        <w:t>OpenAI</w:t>
      </w:r>
      <w:r>
        <w:rPr>
          <w:rFonts w:ascii="Times New Roman" w:eastAsia="宋体" w:hAnsi="Times New Roman" w:cs="Times New Roman" w:hint="eastAsia"/>
          <w:sz w:val="24"/>
        </w:rPr>
        <w:t>公开说明了一次</w:t>
      </w:r>
      <w:r>
        <w:rPr>
          <w:rFonts w:ascii="Times New Roman" w:eastAsia="宋体" w:hAnsi="Times New Roman" w:cs="Times New Roman" w:hint="eastAsia"/>
          <w:sz w:val="24"/>
        </w:rPr>
        <w:t>ChatGPT</w:t>
      </w:r>
      <w:r>
        <w:rPr>
          <w:rFonts w:ascii="Times New Roman" w:eastAsia="宋体" w:hAnsi="Times New Roman" w:cs="Times New Roman" w:hint="eastAsia"/>
          <w:sz w:val="24"/>
        </w:rPr>
        <w:t>服务故障。根据其公告，在</w:t>
      </w:r>
      <w:r>
        <w:rPr>
          <w:rFonts w:ascii="Times New Roman" w:eastAsia="宋体" w:hAnsi="Times New Roman" w:cs="Times New Roman" w:hint="eastAsia"/>
          <w:sz w:val="24"/>
        </w:rPr>
        <w:t>2023</w:t>
      </w:r>
      <w:r>
        <w:rPr>
          <w:rFonts w:ascii="Times New Roman" w:eastAsia="宋体" w:hAnsi="Times New Roman" w:cs="Times New Roman" w:hint="eastAsia"/>
          <w:sz w:val="24"/>
        </w:rPr>
        <w:t>年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月</w:t>
      </w:r>
      <w:r>
        <w:rPr>
          <w:rFonts w:ascii="Times New Roman" w:eastAsia="宋体" w:hAnsi="Times New Roman" w:cs="Times New Roman" w:hint="eastAsia"/>
          <w:sz w:val="24"/>
        </w:rPr>
        <w:t>20</w:t>
      </w:r>
      <w:r>
        <w:rPr>
          <w:rFonts w:ascii="Times New Roman" w:eastAsia="宋体" w:hAnsi="Times New Roman" w:cs="Times New Roman" w:hint="eastAsia"/>
          <w:sz w:val="24"/>
        </w:rPr>
        <w:t>日持续约</w:t>
      </w:r>
      <w:r>
        <w:rPr>
          <w:rFonts w:ascii="Times New Roman" w:eastAsia="宋体" w:hAnsi="Times New Roman" w:cs="Times New Roman" w:hint="eastAsia"/>
          <w:sz w:val="24"/>
        </w:rPr>
        <w:t>9</w:t>
      </w:r>
      <w:r>
        <w:rPr>
          <w:rFonts w:ascii="Times New Roman" w:eastAsia="宋体" w:hAnsi="Times New Roman" w:cs="Times New Roman" w:hint="eastAsia"/>
          <w:sz w:val="24"/>
        </w:rPr>
        <w:t>小时的时间窗口内，约</w:t>
      </w:r>
      <w:r>
        <w:rPr>
          <w:rFonts w:ascii="Times New Roman" w:eastAsia="宋体" w:hAnsi="Times New Roman" w:cs="Times New Roman" w:hint="eastAsia"/>
          <w:sz w:val="24"/>
        </w:rPr>
        <w:t>1.2%</w:t>
      </w:r>
      <w:r>
        <w:rPr>
          <w:rFonts w:ascii="Times New Roman" w:eastAsia="宋体" w:hAnsi="Times New Roman" w:cs="Times New Roman" w:hint="eastAsia"/>
          <w:sz w:val="24"/>
        </w:rPr>
        <w:t>的活跃</w:t>
      </w:r>
      <w:r>
        <w:rPr>
          <w:rFonts w:ascii="Times New Roman" w:eastAsia="宋体" w:hAnsi="Times New Roman" w:cs="Times New Roman" w:hint="eastAsia"/>
          <w:sz w:val="24"/>
        </w:rPr>
        <w:t>ChatGPT Plus</w:t>
      </w:r>
      <w:r>
        <w:rPr>
          <w:rFonts w:ascii="Times New Roman" w:eastAsia="宋体" w:hAnsi="Times New Roman" w:cs="Times New Roman" w:hint="eastAsia"/>
          <w:sz w:val="24"/>
        </w:rPr>
        <w:t>订阅用户可能暴露了姓名、电子邮箱、账单地址、信用卡类型、卡号后四位及到期日等付款相关信息</w:t>
      </w:r>
      <w:r>
        <w:rPr>
          <w:rFonts w:ascii="Times New Roman" w:eastAsia="宋体" w:hAnsi="Times New Roman" w:cs="Times New Roman" w:hint="eastAsia"/>
          <w:sz w:val="24"/>
        </w:rPr>
        <w:t>[6]</w:t>
      </w:r>
      <w:r>
        <w:rPr>
          <w:rFonts w:ascii="Times New Roman" w:eastAsia="宋体" w:hAnsi="Times New Roman" w:cs="Times New Roman" w:hint="eastAsia"/>
          <w:sz w:val="24"/>
        </w:rPr>
        <w:t>。这一事件并非典型的外部攻击，而是缓存和连接复用缺陷引发的数据边界破坏。</w:t>
      </w:r>
    </w:p>
    <w:p w14:paraId="2A52E146" w14:textId="48990F2C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如果这一问题发生在接入内部业务系统的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化工作流中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，影响会更加严重。因为工作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流处理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的往往不只是聊天内容，还可能包括客户名单、合同条款、研发信息和组织内部决策材料。由此可见，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工作流的隐私保护不能仅依赖“模型本身可靠”，还必须依赖缓存隔离、租户隔离、日志隔离和权限隔离等底层工程机制。</w:t>
      </w:r>
    </w:p>
    <w:p w14:paraId="07C3477D" w14:textId="699A3B28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3.2 </w:t>
      </w:r>
      <w:r>
        <w:rPr>
          <w:rFonts w:ascii="Times New Roman" w:eastAsia="宋体" w:hAnsi="Times New Roman" w:cs="Times New Roman" w:hint="eastAsia"/>
          <w:b/>
          <w:sz w:val="24"/>
        </w:rPr>
        <w:t>从案例到一般风险</w:t>
      </w:r>
    </w:p>
    <w:p w14:paraId="0EB29F40" w14:textId="4B16334B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公开案例与学术研究共同说明，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安全事故往往不是单一模型输出错误，而是多个环节共同失效的结果：数据接入过宽、权限拆分不足、外部内容缺乏净化、审批节点被省略、日志保留无边界。相关综述也指出，数据泄露、提示操纵、工具滥用和代理型攻击已成为</w:t>
      </w:r>
      <w:r>
        <w:rPr>
          <w:rFonts w:ascii="Times New Roman" w:eastAsia="宋体" w:hAnsi="Times New Roman" w:cs="Times New Roman" w:hint="eastAsia"/>
          <w:sz w:val="24"/>
        </w:rPr>
        <w:t>LLM</w:t>
      </w:r>
      <w:r>
        <w:rPr>
          <w:rFonts w:ascii="Times New Roman" w:eastAsia="宋体" w:hAnsi="Times New Roman" w:cs="Times New Roman" w:hint="eastAsia"/>
          <w:sz w:val="24"/>
        </w:rPr>
        <w:t>应用的主要安全与隐私风险类别</w:t>
      </w:r>
      <w:r>
        <w:rPr>
          <w:rFonts w:ascii="Times New Roman" w:eastAsia="宋体" w:hAnsi="Times New Roman" w:cs="Times New Roman" w:hint="eastAsia"/>
          <w:sz w:val="24"/>
        </w:rPr>
        <w:t>[10]</w:t>
      </w:r>
      <w:r>
        <w:rPr>
          <w:rFonts w:ascii="Times New Roman" w:eastAsia="宋体" w:hAnsi="Times New Roman" w:cs="Times New Roman" w:hint="eastAsia"/>
          <w:sz w:val="24"/>
        </w:rPr>
        <w:t>。若把公开事故与行业调查放在一起观察，可以看到一个更清晰的事实：风险既来自平台架构缺陷，也</w:t>
      </w:r>
      <w:r>
        <w:rPr>
          <w:rFonts w:ascii="Times New Roman" w:eastAsia="宋体" w:hAnsi="Times New Roman" w:cs="Times New Roman" w:hint="eastAsia"/>
          <w:sz w:val="24"/>
        </w:rPr>
        <w:lastRenderedPageBreak/>
        <w:t>来自用户输入习惯和组织治理不足。表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汇总了与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化工作流隐私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安全直接相关的几组公开数据，它们共同说明，隐私风险已经贯穿“输入、处理、存储、输出”全链条，而非只存在于模型生成结果这一单点。</w:t>
      </w:r>
    </w:p>
    <w:p w14:paraId="6E3AE209" w14:textId="63FE75B8" w:rsidR="00D57BBC" w:rsidRDefault="00D57BBC" w:rsidP="00D57BBC">
      <w:pPr>
        <w:spacing w:after="0" w:line="400" w:lineRule="exact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</w:t>
      </w:r>
      <w:r>
        <w:rPr>
          <w:rFonts w:ascii="Times New Roman" w:eastAsia="宋体" w:hAnsi="Times New Roman" w:cs="Times New Roman" w:hint="eastAsia"/>
          <w:sz w:val="24"/>
        </w:rPr>
        <w:t>1 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化工作流隐私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安全相关公开数据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1"/>
        <w:gridCol w:w="1134"/>
        <w:gridCol w:w="4876"/>
      </w:tblGrid>
      <w:tr w:rsidR="00D57BBC" w14:paraId="674ABB18" w14:textId="77777777" w:rsidTr="00D57BBC">
        <w:tc>
          <w:tcPr>
            <w:tcW w:w="2721" w:type="dxa"/>
          </w:tcPr>
          <w:p w14:paraId="4C3066AD" w14:textId="0B8BC019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b/>
                <w:sz w:val="24"/>
              </w:rPr>
              <w:t>指标</w:t>
            </w:r>
          </w:p>
        </w:tc>
        <w:tc>
          <w:tcPr>
            <w:tcW w:w="1134" w:type="dxa"/>
          </w:tcPr>
          <w:p w14:paraId="77DFE10C" w14:textId="0B554751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b/>
                <w:sz w:val="24"/>
              </w:rPr>
              <w:t>数值</w:t>
            </w:r>
          </w:p>
        </w:tc>
        <w:tc>
          <w:tcPr>
            <w:tcW w:w="4876" w:type="dxa"/>
          </w:tcPr>
          <w:p w14:paraId="62C98045" w14:textId="619DA5CC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b/>
                <w:sz w:val="24"/>
              </w:rPr>
              <w:t>说明</w:t>
            </w:r>
          </w:p>
        </w:tc>
      </w:tr>
      <w:tr w:rsidR="00D57BBC" w14:paraId="57EE7E49" w14:textId="77777777" w:rsidTr="00D57BBC">
        <w:tc>
          <w:tcPr>
            <w:tcW w:w="2721" w:type="dxa"/>
          </w:tcPr>
          <w:p w14:paraId="38F8745E" w14:textId="77EE65DD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组织限制可输入数据</w:t>
            </w:r>
          </w:p>
        </w:tc>
        <w:tc>
          <w:tcPr>
            <w:tcW w:w="1134" w:type="dxa"/>
          </w:tcPr>
          <w:p w14:paraId="2E94FC29" w14:textId="0FC6B890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/>
                <w:sz w:val="24"/>
              </w:rPr>
              <w:t>63%</w:t>
            </w:r>
          </w:p>
        </w:tc>
        <w:tc>
          <w:tcPr>
            <w:tcW w:w="4876" w:type="dxa"/>
          </w:tcPr>
          <w:p w14:paraId="249A8BB6" w14:textId="55A327BB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说明输入边界已成为治理重点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[11]</w:t>
            </w:r>
          </w:p>
        </w:tc>
      </w:tr>
      <w:tr w:rsidR="00D57BBC" w14:paraId="734CBAB4" w14:textId="77777777" w:rsidTr="00D57BBC">
        <w:tc>
          <w:tcPr>
            <w:tcW w:w="2721" w:type="dxa"/>
          </w:tcPr>
          <w:p w14:paraId="736FA70F" w14:textId="6F380C58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组织限制可用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GenAI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工具</w:t>
            </w:r>
          </w:p>
        </w:tc>
        <w:tc>
          <w:tcPr>
            <w:tcW w:w="1134" w:type="dxa"/>
          </w:tcPr>
          <w:p w14:paraId="1D68E3E9" w14:textId="543E7CE3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/>
                <w:sz w:val="24"/>
              </w:rPr>
              <w:t>61%</w:t>
            </w:r>
          </w:p>
        </w:tc>
        <w:tc>
          <w:tcPr>
            <w:tcW w:w="4876" w:type="dxa"/>
          </w:tcPr>
          <w:p w14:paraId="5BFC260D" w14:textId="7C49E01C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反映工具白名单和分级接入需求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[11]</w:t>
            </w:r>
          </w:p>
        </w:tc>
      </w:tr>
      <w:tr w:rsidR="00D57BBC" w14:paraId="37DDC173" w14:textId="77777777" w:rsidTr="00D57BBC">
        <w:tc>
          <w:tcPr>
            <w:tcW w:w="2721" w:type="dxa"/>
          </w:tcPr>
          <w:p w14:paraId="61A38080" w14:textId="39279599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组织临时禁用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GenAI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应用</w:t>
            </w:r>
          </w:p>
        </w:tc>
        <w:tc>
          <w:tcPr>
            <w:tcW w:w="1134" w:type="dxa"/>
          </w:tcPr>
          <w:p w14:paraId="5885AB1B" w14:textId="3EA2D923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/>
                <w:sz w:val="24"/>
              </w:rPr>
              <w:t>27%</w:t>
            </w:r>
          </w:p>
        </w:tc>
        <w:tc>
          <w:tcPr>
            <w:tcW w:w="4876" w:type="dxa"/>
          </w:tcPr>
          <w:p w14:paraId="1B020746" w14:textId="0870E34B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高风险场景下会直接暂停部署或试用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[11]</w:t>
            </w:r>
          </w:p>
        </w:tc>
      </w:tr>
      <w:tr w:rsidR="00D57BBC" w14:paraId="0E73506A" w14:textId="77777777" w:rsidTr="00D57BBC">
        <w:tc>
          <w:tcPr>
            <w:tcW w:w="2721" w:type="dxa"/>
          </w:tcPr>
          <w:p w14:paraId="51533B62" w14:textId="6DCC63F9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GenAI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用户输入个人或机密信息</w:t>
            </w:r>
          </w:p>
        </w:tc>
        <w:tc>
          <w:tcPr>
            <w:tcW w:w="1134" w:type="dxa"/>
          </w:tcPr>
          <w:p w14:paraId="0119F9F1" w14:textId="55243C58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/>
                <w:sz w:val="24"/>
              </w:rPr>
              <w:t>30%</w:t>
            </w:r>
          </w:p>
        </w:tc>
        <w:tc>
          <w:tcPr>
            <w:tcW w:w="4876" w:type="dxa"/>
          </w:tcPr>
          <w:p w14:paraId="5C965622" w14:textId="6A2BE398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个体层面的高风险输入行为仍较普遍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[12]</w:t>
            </w:r>
          </w:p>
        </w:tc>
      </w:tr>
      <w:tr w:rsidR="00D57BBC" w14:paraId="16280D65" w14:textId="77777777" w:rsidTr="00D57BBC">
        <w:tc>
          <w:tcPr>
            <w:tcW w:w="2721" w:type="dxa"/>
          </w:tcPr>
          <w:p w14:paraId="78E0AD53" w14:textId="30C72014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担心输入内容被公开</w:t>
            </w:r>
          </w:p>
        </w:tc>
        <w:tc>
          <w:tcPr>
            <w:tcW w:w="1134" w:type="dxa"/>
          </w:tcPr>
          <w:p w14:paraId="5E66398B" w14:textId="62265B48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/>
                <w:sz w:val="24"/>
              </w:rPr>
              <w:t>84%</w:t>
            </w:r>
          </w:p>
        </w:tc>
        <w:tc>
          <w:tcPr>
            <w:tcW w:w="4876" w:type="dxa"/>
          </w:tcPr>
          <w:p w14:paraId="12BA7505" w14:textId="7488C5F3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用户对生成式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AI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泄露后果保持高度敏感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[12]</w:t>
            </w:r>
          </w:p>
        </w:tc>
      </w:tr>
      <w:tr w:rsidR="00D57BBC" w14:paraId="2D96C18B" w14:textId="77777777" w:rsidTr="00D57BBC">
        <w:tc>
          <w:tcPr>
            <w:tcW w:w="2721" w:type="dxa"/>
          </w:tcPr>
          <w:p w14:paraId="1996A799" w14:textId="3E1EF197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活跃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ChatGPT Plus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可能受影响</w:t>
            </w:r>
          </w:p>
        </w:tc>
        <w:tc>
          <w:tcPr>
            <w:tcW w:w="1134" w:type="dxa"/>
          </w:tcPr>
          <w:p w14:paraId="43A84C22" w14:textId="44270080" w:rsidR="00D57BBC" w:rsidRPr="00D57BBC" w:rsidRDefault="00D57BBC" w:rsidP="00D57BBC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/>
                <w:sz w:val="24"/>
              </w:rPr>
              <w:t>1.2%</w:t>
            </w:r>
          </w:p>
        </w:tc>
        <w:tc>
          <w:tcPr>
            <w:tcW w:w="4876" w:type="dxa"/>
          </w:tcPr>
          <w:p w14:paraId="2A7D8CFE" w14:textId="274B15C1" w:rsidR="00D57BBC" w:rsidRPr="00D57BBC" w:rsidRDefault="00D57BBC" w:rsidP="00D57BBC">
            <w:pPr>
              <w:spacing w:after="0" w:line="400" w:lineRule="exact"/>
              <w:rPr>
                <w:rFonts w:ascii="Times New Roman" w:eastAsia="宋体" w:hAnsi="Times New Roman" w:cs="Times New Roman"/>
                <w:sz w:val="24"/>
              </w:rPr>
            </w:pP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公开事故验证了跨会话信息暴露的现实性</w:t>
            </w:r>
            <w:r w:rsidRPr="00D57BBC">
              <w:rPr>
                <w:rFonts w:ascii="Times New Roman" w:eastAsia="宋体" w:hAnsi="Times New Roman" w:cs="Times New Roman" w:hint="eastAsia"/>
                <w:sz w:val="24"/>
              </w:rPr>
              <w:t>[6]</w:t>
            </w:r>
          </w:p>
        </w:tc>
      </w:tr>
    </w:tbl>
    <w:p w14:paraId="2467D478" w14:textId="77777777" w:rsidR="00D57BBC" w:rsidRDefault="00D57BBC" w:rsidP="00EB4E69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</w:p>
    <w:p w14:paraId="1C0B5E9D" w14:textId="7B397197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因此，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工作流的治理重点应从“结果出了问题再补救”转向“在架构设计阶段就限制风险传播”。</w:t>
      </w:r>
    </w:p>
    <w:p w14:paraId="399559F3" w14:textId="31A8A422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4 </w:t>
      </w:r>
      <w:r>
        <w:rPr>
          <w:rFonts w:ascii="Times New Roman" w:eastAsia="宋体" w:hAnsi="Times New Roman" w:cs="Times New Roman" w:hint="eastAsia"/>
          <w:b/>
          <w:sz w:val="24"/>
        </w:rPr>
        <w:t>伦理治理与工程应对路径</w:t>
      </w:r>
    </w:p>
    <w:p w14:paraId="7210B95A" w14:textId="06A3B6FF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4.1 </w:t>
      </w:r>
      <w:r>
        <w:rPr>
          <w:rFonts w:ascii="Times New Roman" w:eastAsia="宋体" w:hAnsi="Times New Roman" w:cs="Times New Roman" w:hint="eastAsia"/>
          <w:b/>
          <w:sz w:val="24"/>
        </w:rPr>
        <w:t>以数据分级落实最小必要原则</w:t>
      </w:r>
    </w:p>
    <w:p w14:paraId="6A0308E5" w14:textId="11791CC6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组织在部署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化工作流前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，应先完成数据分类分级，明确哪些信息可以进入模型上下文，哪些信息只能在本地受控环境中处理，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哪些高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敏感任务不得直接交给外部生成式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。涉及个人敏感信息、财务数据、商业秘密和未公开研发资料的场景，应优先采用脱敏、隔离和最小化输入策略，而不是默认“能连就连、能传就传”。这是对法律要求的落实，也是对用户知情权和组织信任关系的尊重。</w:t>
      </w:r>
    </w:p>
    <w:p w14:paraId="4BAB2BF1" w14:textId="00C19532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4.2 </w:t>
      </w:r>
      <w:r>
        <w:rPr>
          <w:rFonts w:ascii="Times New Roman" w:eastAsia="宋体" w:hAnsi="Times New Roman" w:cs="Times New Roman" w:hint="eastAsia"/>
          <w:b/>
          <w:sz w:val="24"/>
        </w:rPr>
        <w:t>以最小授权和人工审批约束行动链</w:t>
      </w:r>
    </w:p>
    <w:p w14:paraId="1E10D724" w14:textId="071A53D0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工作流的能力应被拆分为读取、生成和执行三个层级。系统可以自动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完成低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风险的信息整理，但涉及邮件外发、数据更新、审批流触发和批量导出等行为时，必须设置清晰的人类确认节点。与此同时，令牌权限应细粒度、短时化和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可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撤销，避免单一代理同时拥有广泛读取权与执行权。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StruQ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等研究提出将系统提示与用户数据结构化隔离，也说明工程上必须主动区分“可供分析的数据”和“可驱动行动的指令”</w:t>
      </w:r>
      <w:r>
        <w:rPr>
          <w:rFonts w:ascii="Times New Roman" w:eastAsia="宋体" w:hAnsi="Times New Roman" w:cs="Times New Roman" w:hint="eastAsia"/>
          <w:sz w:val="24"/>
        </w:rPr>
        <w:t>[9]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6FD1EF4B" w14:textId="63D60CAA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4.3 </w:t>
      </w:r>
      <w:r>
        <w:rPr>
          <w:rFonts w:ascii="Times New Roman" w:eastAsia="宋体" w:hAnsi="Times New Roman" w:cs="Times New Roman" w:hint="eastAsia"/>
          <w:b/>
          <w:sz w:val="24"/>
        </w:rPr>
        <w:t>以审计机制和制度安排固化责任</w:t>
      </w:r>
    </w:p>
    <w:p w14:paraId="06F9CA80" w14:textId="37DA3271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负责任的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工作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流不仅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需要技术防护，也需要明确的制度边界。组织应建立日志</w:t>
      </w:r>
      <w:r>
        <w:rPr>
          <w:rFonts w:ascii="Times New Roman" w:eastAsia="宋体" w:hAnsi="Times New Roman" w:cs="Times New Roman" w:hint="eastAsia"/>
          <w:sz w:val="24"/>
        </w:rPr>
        <w:lastRenderedPageBreak/>
        <w:t>分类保留、异常告警、事故上报、权限审批和责任追溯机制，明确谁可以配置工作流、谁可以扩展工具权限、谁负责安全审查、谁承担数据保护义务。只有将隐私保护、安全控制和责任划分同步写入系统设计、采购协议和内部制度，才能避免“技术方便时自动化、出事以后再找人负责”的失衡局面。</w:t>
      </w:r>
    </w:p>
    <w:p w14:paraId="218CB3C0" w14:textId="2DD89009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 xml:space="preserve">5 </w:t>
      </w:r>
      <w:r>
        <w:rPr>
          <w:rFonts w:ascii="Times New Roman" w:eastAsia="宋体" w:hAnsi="Times New Roman" w:cs="Times New Roman" w:hint="eastAsia"/>
          <w:b/>
          <w:sz w:val="24"/>
        </w:rPr>
        <w:t>结论</w:t>
      </w:r>
    </w:p>
    <w:p w14:paraId="5CCB5357" w14:textId="7F492783" w:rsidR="00D57BBC" w:rsidRDefault="00D57BBC" w:rsidP="00D57BBC">
      <w:pPr>
        <w:spacing w:after="0" w:line="400" w:lineRule="exact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化工作流提升</w:t>
      </w:r>
      <w:proofErr w:type="gramEnd"/>
      <w:r>
        <w:rPr>
          <w:rFonts w:ascii="Times New Roman" w:eastAsia="宋体" w:hAnsi="Times New Roman" w:cs="Times New Roman" w:hint="eastAsia"/>
          <w:sz w:val="24"/>
        </w:rPr>
        <w:t>了组织效率，但也把隐私保护、数据安全和责任归属问题集中推到了工程实践前台。文章通过法律规范、公开案例和相关研究分析后认为，这类系统的主要风险并不只在模型输出层，而在跨系统连接后形成的数据链和行动链。研究表明，只有把数据分级、最小必要、最小授权、人工审批和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可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审计机制同时嵌入技术架构与管理制度，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自动化工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作流才能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在提高效率的同时保持合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性、可信性与伦理正当性。</w:t>
      </w:r>
    </w:p>
    <w:p w14:paraId="5AAA681C" w14:textId="5668CE3E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24B860A6" w14:textId="5060980C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[1] </w:t>
      </w:r>
      <w:r>
        <w:rPr>
          <w:rFonts w:ascii="Times New Roman" w:eastAsia="宋体" w:hAnsi="Times New Roman" w:cs="Times New Roman" w:hint="eastAsia"/>
          <w:sz w:val="24"/>
        </w:rPr>
        <w:t>全国人民代表大会常务委员会</w:t>
      </w:r>
      <w:r>
        <w:rPr>
          <w:rFonts w:ascii="Times New Roman" w:eastAsia="宋体" w:hAnsi="Times New Roman" w:cs="Times New Roman" w:hint="eastAsia"/>
          <w:sz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</w:rPr>
        <w:t>中华人民共和国个人信息保护法</w:t>
      </w:r>
      <w:r>
        <w:rPr>
          <w:rFonts w:ascii="Times New Roman" w:eastAsia="宋体" w:hAnsi="Times New Roman" w:cs="Times New Roman" w:hint="eastAsia"/>
          <w:sz w:val="24"/>
        </w:rPr>
        <w:t>[S]. 2021-08-20.</w:t>
      </w:r>
    </w:p>
    <w:p w14:paraId="6E624FFC" w14:textId="4CA360A5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[2] </w:t>
      </w:r>
      <w:r>
        <w:rPr>
          <w:rFonts w:ascii="Times New Roman" w:eastAsia="宋体" w:hAnsi="Times New Roman" w:cs="Times New Roman" w:hint="eastAsia"/>
          <w:sz w:val="24"/>
        </w:rPr>
        <w:t>全国人民代表大会常务委员会</w:t>
      </w:r>
      <w:r>
        <w:rPr>
          <w:rFonts w:ascii="Times New Roman" w:eastAsia="宋体" w:hAnsi="Times New Roman" w:cs="Times New Roman" w:hint="eastAsia"/>
          <w:sz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</w:rPr>
        <w:t>中华人民共和国数据安全法</w:t>
      </w:r>
      <w:r>
        <w:rPr>
          <w:rFonts w:ascii="Times New Roman" w:eastAsia="宋体" w:hAnsi="Times New Roman" w:cs="Times New Roman" w:hint="eastAsia"/>
          <w:sz w:val="24"/>
        </w:rPr>
        <w:t>[S]. 2021-06-10.</w:t>
      </w:r>
    </w:p>
    <w:p w14:paraId="76F483E0" w14:textId="1D742189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[3] </w:t>
      </w:r>
      <w:r>
        <w:rPr>
          <w:rFonts w:ascii="Times New Roman" w:eastAsia="宋体" w:hAnsi="Times New Roman" w:cs="Times New Roman" w:hint="eastAsia"/>
          <w:sz w:val="24"/>
        </w:rPr>
        <w:t>国家互联网信息办公室</w:t>
      </w:r>
      <w:r>
        <w:rPr>
          <w:rFonts w:ascii="Times New Roman" w:eastAsia="宋体" w:hAnsi="Times New Roman" w:cs="Times New Roman" w:hint="eastAsia"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</w:rPr>
        <w:t>国家发展和改革委员会</w:t>
      </w:r>
      <w:r>
        <w:rPr>
          <w:rFonts w:ascii="Times New Roman" w:eastAsia="宋体" w:hAnsi="Times New Roman" w:cs="Times New Roman" w:hint="eastAsia"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</w:rPr>
        <w:t>教育部</w:t>
      </w:r>
      <w:r>
        <w:rPr>
          <w:rFonts w:ascii="Times New Roman" w:eastAsia="宋体" w:hAnsi="Times New Roman" w:cs="Times New Roman" w:hint="eastAsia"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</w:rPr>
        <w:t>科学技术部</w:t>
      </w:r>
      <w:r>
        <w:rPr>
          <w:rFonts w:ascii="Times New Roman" w:eastAsia="宋体" w:hAnsi="Times New Roman" w:cs="Times New Roman" w:hint="eastAsia"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</w:rPr>
        <w:t>工业和信息化部</w:t>
      </w:r>
      <w:r>
        <w:rPr>
          <w:rFonts w:ascii="Times New Roman" w:eastAsia="宋体" w:hAnsi="Times New Roman" w:cs="Times New Roman" w:hint="eastAsia"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</w:rPr>
        <w:t>公安部</w:t>
      </w:r>
      <w:r>
        <w:rPr>
          <w:rFonts w:ascii="Times New Roman" w:eastAsia="宋体" w:hAnsi="Times New Roman" w:cs="Times New Roman" w:hint="eastAsia"/>
          <w:sz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</w:rPr>
        <w:t>国家广播电视总局</w:t>
      </w:r>
      <w:r>
        <w:rPr>
          <w:rFonts w:ascii="Times New Roman" w:eastAsia="宋体" w:hAnsi="Times New Roman" w:cs="Times New Roman" w:hint="eastAsia"/>
          <w:sz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</w:rPr>
        <w:t>生成式人工智能服务管理暂行办法</w:t>
      </w:r>
      <w:r>
        <w:rPr>
          <w:rFonts w:ascii="Times New Roman" w:eastAsia="宋体" w:hAnsi="Times New Roman" w:cs="Times New Roman" w:hint="eastAsia"/>
          <w:sz w:val="24"/>
        </w:rPr>
        <w:t>[Z]. 2023-07-13.</w:t>
      </w:r>
    </w:p>
    <w:p w14:paraId="6491AB39" w14:textId="43629D52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[4] National Institute of Standards and Technology. Artificial Intelligence Risk Management Framework (AI RMF </w:t>
      </w:r>
      <w:proofErr w:type="gramStart"/>
      <w:r>
        <w:rPr>
          <w:rFonts w:ascii="Times New Roman" w:eastAsia="宋体" w:hAnsi="Times New Roman" w:cs="Times New Roman"/>
          <w:sz w:val="24"/>
        </w:rPr>
        <w:t>1.0)[</w:t>
      </w:r>
      <w:proofErr w:type="gramEnd"/>
      <w:r>
        <w:rPr>
          <w:rFonts w:ascii="Times New Roman" w:eastAsia="宋体" w:hAnsi="Times New Roman" w:cs="Times New Roman"/>
          <w:sz w:val="24"/>
        </w:rPr>
        <w:t>R]. Gaithersburg, MD: NIST, 2023.</w:t>
      </w:r>
    </w:p>
    <w:p w14:paraId="095E7C30" w14:textId="08CEF317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[5] AUTIO C, SCHWARTZ R, DUNIETZ J, et al. Artificial Intelligence Risk Management Framework: Generative Artificial Intelligence Profile[R]. Gaithersburg, MD: NIST, 2024.</w:t>
      </w:r>
    </w:p>
    <w:p w14:paraId="56BC756E" w14:textId="16F1D60E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[6] OpenAI. March 20 ChatGPT outage: Here's what </w:t>
      </w:r>
      <w:proofErr w:type="gramStart"/>
      <w:r>
        <w:rPr>
          <w:rFonts w:ascii="Times New Roman" w:eastAsia="宋体" w:hAnsi="Times New Roman" w:cs="Times New Roman"/>
          <w:sz w:val="24"/>
        </w:rPr>
        <w:t>happened[</w:t>
      </w:r>
      <w:proofErr w:type="gramEnd"/>
      <w:r>
        <w:rPr>
          <w:rFonts w:ascii="Times New Roman" w:eastAsia="宋体" w:hAnsi="Times New Roman" w:cs="Times New Roman"/>
          <w:sz w:val="24"/>
        </w:rPr>
        <w:t>EB/OL]. 2023-03-24.</w:t>
      </w:r>
    </w:p>
    <w:p w14:paraId="5A7E69EC" w14:textId="3EB27394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[7] LIU Y, DENG G, LI Y, et al. Prompt Injection attack against LLM-integrated Applications[J/OL]. </w:t>
      </w:r>
      <w:proofErr w:type="spellStart"/>
      <w:r>
        <w:rPr>
          <w:rFonts w:ascii="Times New Roman" w:eastAsia="宋体" w:hAnsi="Times New Roman" w:cs="Times New Roman"/>
          <w:sz w:val="24"/>
        </w:rPr>
        <w:t>CoRR</w:t>
      </w:r>
      <w:proofErr w:type="spellEnd"/>
      <w:r>
        <w:rPr>
          <w:rFonts w:ascii="Times New Roman" w:eastAsia="宋体" w:hAnsi="Times New Roman" w:cs="Times New Roman"/>
          <w:sz w:val="24"/>
        </w:rPr>
        <w:t>, abs/2306.05499, 2023.</w:t>
      </w:r>
    </w:p>
    <w:p w14:paraId="6D55BFB9" w14:textId="0DA910B9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[8] GRESHAKE K, ABDELNABI S, MISHRA S, et al. Not What You've Signed Up For: Compromising Real-World LLM-Integrated Applications with Indirect Prompt Injection[C]. Proceedings of the 16th ACM Workshop on Artificial Intelligence and Security, 2023: 79-90.</w:t>
      </w:r>
    </w:p>
    <w:p w14:paraId="7606B93D" w14:textId="7AFD5BE8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[9] CHEN S, PIET J, SITAWARIN C, et al. </w:t>
      </w:r>
      <w:proofErr w:type="spellStart"/>
      <w:r>
        <w:rPr>
          <w:rFonts w:ascii="Times New Roman" w:eastAsia="宋体" w:hAnsi="Times New Roman" w:cs="Times New Roman"/>
          <w:sz w:val="24"/>
        </w:rPr>
        <w:t>StruQ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: Defending Against Prompt Injection with Structured Queries[J/OL]. </w:t>
      </w:r>
      <w:proofErr w:type="spellStart"/>
      <w:r>
        <w:rPr>
          <w:rFonts w:ascii="Times New Roman" w:eastAsia="宋体" w:hAnsi="Times New Roman" w:cs="Times New Roman"/>
          <w:sz w:val="24"/>
        </w:rPr>
        <w:t>CoRR</w:t>
      </w:r>
      <w:proofErr w:type="spellEnd"/>
      <w:r>
        <w:rPr>
          <w:rFonts w:ascii="Times New Roman" w:eastAsia="宋体" w:hAnsi="Times New Roman" w:cs="Times New Roman"/>
          <w:sz w:val="24"/>
        </w:rPr>
        <w:t>, abs/2402.06363, 2024.</w:t>
      </w:r>
    </w:p>
    <w:p w14:paraId="14795020" w14:textId="0D039313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[10] YAO Y, DUAN J, XU K, et al. A Survey on Large Language Model Security and Privacy: The Good, the Bad, and the Ugly[J]. High-Confidence Computing, 2024, 4(2): 100211.</w:t>
      </w:r>
    </w:p>
    <w:p w14:paraId="4940067E" w14:textId="3845F1DB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[11] Cisco. Cisco 2024 Data Privacy Benchmark Study[R/OL]. 2024.</w:t>
      </w:r>
    </w:p>
    <w:p w14:paraId="6196621D" w14:textId="613EEA0B" w:rsid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[12] Cisco. 2024 Consumer Privacy Survey[R/OL]. 2024.</w:t>
      </w:r>
    </w:p>
    <w:p w14:paraId="7D91B0F3" w14:textId="77777777" w:rsidR="00D57BBC" w:rsidRPr="00D57BBC" w:rsidRDefault="00D57BBC" w:rsidP="00D57BBC">
      <w:pPr>
        <w:spacing w:after="0" w:line="400" w:lineRule="exact"/>
        <w:rPr>
          <w:rFonts w:ascii="Times New Roman" w:eastAsia="宋体" w:hAnsi="Times New Roman" w:cs="Times New Roman"/>
          <w:sz w:val="24"/>
        </w:rPr>
      </w:pPr>
    </w:p>
    <w:sectPr w:rsidR="00D57BBC" w:rsidRPr="00D57BBC" w:rsidSect="00D57BBC">
      <w:pgSz w:w="11906" w:h="16838"/>
      <w:pgMar w:top="1701" w:right="1417" w:bottom="1701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BC"/>
    <w:rsid w:val="000C3B70"/>
    <w:rsid w:val="00285941"/>
    <w:rsid w:val="003E1675"/>
    <w:rsid w:val="008813CA"/>
    <w:rsid w:val="009124E3"/>
    <w:rsid w:val="009A6634"/>
    <w:rsid w:val="00D136FF"/>
    <w:rsid w:val="00D57BBC"/>
    <w:rsid w:val="00D942F2"/>
    <w:rsid w:val="00EB4E69"/>
    <w:rsid w:val="00F00B85"/>
    <w:rsid w:val="00F60219"/>
    <w:rsid w:val="00FB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1BAFF"/>
  <w15:chartTrackingRefBased/>
  <w15:docId w15:val="{57AB2672-30FD-44A4-BAAF-F0147FF8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7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B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B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B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B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B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B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7B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7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7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7B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7B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7B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7B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7B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7B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7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7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7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7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7B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7B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7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2469</Words>
  <Characters>3161</Characters>
  <Application>Microsoft Office Word</Application>
  <DocSecurity>0</DocSecurity>
  <Lines>101</Lines>
  <Paragraphs>74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铮扬 朱</dc:creator>
  <cp:keywords/>
  <dc:description/>
  <cp:lastModifiedBy>铮扬 朱</cp:lastModifiedBy>
  <cp:revision>8</cp:revision>
  <dcterms:created xsi:type="dcterms:W3CDTF">2026-04-03T08:44:00Z</dcterms:created>
  <dcterms:modified xsi:type="dcterms:W3CDTF">2026-04-05T05:09:00Z</dcterms:modified>
</cp:coreProperties>
</file>