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Style w:val="4"/>
          <w:rFonts w:ascii="宋体" w:hAnsi="宋体" w:eastAsia="宋体" w:cs="宋体"/>
          <w:sz w:val="36"/>
          <w:szCs w:val="36"/>
        </w:rPr>
      </w:pPr>
      <w:r>
        <w:rPr>
          <w:rStyle w:val="4"/>
          <w:rFonts w:hint="eastAsia" w:ascii="宋体" w:hAnsi="宋体" w:eastAsia="宋体" w:cs="宋体"/>
          <w:sz w:val="36"/>
          <w:szCs w:val="36"/>
          <w:lang w:val="en-US" w:eastAsia="zh-CN"/>
        </w:rPr>
        <w:t>{{full_name}}</w:t>
      </w:r>
    </w:p>
    <w:p>
      <w:pPr>
        <w:spacing w:line="640" w:lineRule="exact"/>
        <w:jc w:val="center"/>
        <w:rPr>
          <w:rStyle w:val="4"/>
          <w:rFonts w:ascii="宋体" w:hAnsi="宋体" w:eastAsia="宋体" w:cs="宋体"/>
          <w:sz w:val="36"/>
          <w:szCs w:val="36"/>
        </w:rPr>
      </w:pPr>
      <w:r>
        <w:rPr>
          <w:rStyle w:val="4"/>
          <w:rFonts w:hint="eastAsia" w:ascii="宋体" w:hAnsi="宋体" w:eastAsia="宋体" w:cs="宋体"/>
          <w:sz w:val="36"/>
          <w:szCs w:val="36"/>
        </w:rPr>
        <w:t>第</w:t>
      </w:r>
      <w:r>
        <w:rPr>
          <w:rStyle w:val="4"/>
          <w:rFonts w:hint="eastAsia" w:ascii="宋体" w:hAnsi="宋体" w:eastAsia="宋体" w:cs="宋体"/>
          <w:sz w:val="36"/>
          <w:szCs w:val="36"/>
          <w:lang w:val="en-US" w:eastAsia="zh-CN"/>
        </w:rPr>
        <w:t>{{ancm_count}}</w:t>
      </w:r>
      <w:r>
        <w:rPr>
          <w:rStyle w:val="4"/>
          <w:rFonts w:hint="eastAsia" w:ascii="宋体" w:hAnsi="宋体" w:eastAsia="宋体" w:cs="宋体"/>
          <w:sz w:val="36"/>
          <w:szCs w:val="36"/>
        </w:rPr>
        <w:t>次开放的公告</w:t>
      </w:r>
    </w:p>
    <w:p>
      <w:pPr>
        <w:spacing w:line="640" w:lineRule="exact"/>
        <w:jc w:val="center"/>
      </w:pPr>
    </w:p>
    <w:p>
      <w:pPr>
        <w:autoSpaceDE w:val="0"/>
        <w:autoSpaceDN w:val="0"/>
        <w:spacing w:line="640" w:lineRule="exact"/>
        <w:ind w:firstLine="600" w:firstLineChars="200"/>
        <w:rPr>
          <w:rFonts w:ascii="仿宋" w:hAnsi="仿宋" w:eastAsia="仿宋" w:cs="FangSong_GB2312"/>
          <w:sz w:val="30"/>
          <w:szCs w:val="30"/>
        </w:rPr>
      </w:pPr>
      <w:r>
        <w:rPr>
          <w:rFonts w:hint="eastAsia" w:ascii="仿宋" w:hAnsi="仿宋" w:eastAsia="仿宋" w:cs="FangSong_GB2312"/>
          <w:sz w:val="30"/>
          <w:szCs w:val="30"/>
          <w:lang w:val="en-US" w:eastAsia="zh-CN"/>
        </w:rPr>
        <w:t>{{full_name}}</w:t>
      </w:r>
      <w:r>
        <w:rPr>
          <w:rFonts w:hint="eastAsia" w:ascii="仿宋" w:hAnsi="仿宋" w:eastAsia="仿宋" w:cs="FangSong_GB2312"/>
          <w:sz w:val="30"/>
          <w:szCs w:val="30"/>
        </w:rPr>
        <w:t>将于</w:t>
      </w:r>
      <w:r>
        <w:rPr>
          <w:rFonts w:hint="eastAsia" w:ascii="仿宋" w:hAnsi="仿宋" w:eastAsia="仿宋" w:cs="FangSong_GB2312"/>
          <w:sz w:val="30"/>
          <w:szCs w:val="30"/>
          <w:lang w:val="en-US" w:eastAsia="zh-CN"/>
        </w:rPr>
        <w:t>{{open_period}}</w:t>
      </w:r>
      <w:r>
        <w:rPr>
          <w:rFonts w:hint="eastAsia" w:ascii="仿宋" w:hAnsi="仿宋" w:eastAsia="仿宋" w:cs="FangSong_GB2312"/>
          <w:sz w:val="30"/>
          <w:szCs w:val="30"/>
        </w:rPr>
        <w:t>开放，其中</w:t>
      </w:r>
      <w:r>
        <w:rPr>
          <w:rFonts w:hint="eastAsia" w:ascii="仿宋" w:hAnsi="仿宋" w:eastAsia="仿宋" w:cs="FangSong_GB2312"/>
          <w:sz w:val="30"/>
          <w:szCs w:val="30"/>
          <w:lang w:val="en-US" w:eastAsia="zh-CN"/>
        </w:rPr>
        <w:t>{{red_period}}</w:t>
      </w:r>
      <w:r>
        <w:rPr>
          <w:rFonts w:hint="eastAsia" w:ascii="仿宋" w:hAnsi="仿宋" w:eastAsia="仿宋" w:cs="FangSong_GB2312"/>
          <w:sz w:val="30"/>
          <w:szCs w:val="30"/>
        </w:rPr>
        <w:t>为上期产品退出开放日，请需要退出的客户及时办理退出，到期日未申请退出的本期产品份额自动进入下期。下一期具体销售事宜公告如下：</w:t>
      </w:r>
    </w:p>
    <w:tbl>
      <w:tblPr>
        <w:tblStyle w:val="2"/>
        <w:tblW w:w="5197" w:type="pct"/>
        <w:jc w:val="center"/>
        <w:tblLayout w:type="autofit"/>
        <w:tblCellMar>
          <w:top w:w="0" w:type="dxa"/>
          <w:left w:w="0" w:type="dxa"/>
          <w:bottom w:w="0" w:type="dxa"/>
          <w:right w:w="0" w:type="dxa"/>
        </w:tblCellMar>
      </w:tblPr>
      <w:tblGrid>
        <w:gridCol w:w="1290"/>
        <w:gridCol w:w="3648"/>
        <w:gridCol w:w="1215"/>
        <w:gridCol w:w="2780"/>
      </w:tblGrid>
      <w:tr>
        <w:tblPrEx>
          <w:tblCellMar>
            <w:top w:w="0" w:type="dxa"/>
            <w:left w:w="0" w:type="dxa"/>
            <w:bottom w:w="0" w:type="dxa"/>
            <w:right w:w="0" w:type="dxa"/>
          </w:tblCellMar>
        </w:tblPrEx>
        <w:trPr>
          <w:trHeight w:val="356" w:hRule="atLeast"/>
          <w:jc w:val="center"/>
        </w:trPr>
        <w:tc>
          <w:tcPr>
            <w:tcW w:w="5000" w:type="pct"/>
            <w:gridSpan w:val="4"/>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lang w:val="en-US" w:eastAsia="zh-CN"/>
              </w:rPr>
              <w:t>{{full_name}}</w:t>
            </w:r>
          </w:p>
          <w:p>
            <w:pPr>
              <w:pStyle w:val="5"/>
              <w:rPr>
                <w:rFonts w:ascii="仿宋" w:hAnsi="仿宋" w:eastAsia="仿宋"/>
                <w:b/>
                <w:bCs/>
                <w:sz w:val="24"/>
                <w:szCs w:val="24"/>
              </w:rPr>
            </w:pPr>
          </w:p>
        </w:tc>
      </w:tr>
      <w:tr>
        <w:tblPrEx>
          <w:tblCellMar>
            <w:top w:w="0" w:type="dxa"/>
            <w:left w:w="0" w:type="dxa"/>
            <w:bottom w:w="0" w:type="dxa"/>
            <w:right w:w="0" w:type="dxa"/>
          </w:tblCellMar>
        </w:tblPrEx>
        <w:trPr>
          <w:trHeight w:val="616" w:hRule="atLeast"/>
          <w:jc w:val="center"/>
        </w:trPr>
        <w:tc>
          <w:tcPr>
            <w:tcW w:w="1229"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份额代码</w:t>
            </w:r>
          </w:p>
        </w:tc>
        <w:tc>
          <w:tcPr>
            <w:tcW w:w="1077"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hint="default" w:ascii="仿宋" w:hAnsi="仿宋" w:eastAsia="仿宋" w:cs="FangSong_GB2312"/>
                <w:sz w:val="24"/>
                <w:szCs w:val="24"/>
                <w:lang w:val="en-US" w:eastAsia="zh-CN"/>
              </w:rPr>
            </w:pPr>
            <w:r>
              <w:rPr>
                <w:rFonts w:hint="eastAsia" w:ascii="仿宋" w:hAnsi="仿宋" w:eastAsia="仿宋" w:cs="FangSong_GB2312"/>
                <w:sz w:val="24"/>
                <w:szCs w:val="24"/>
                <w:lang w:val="en-US" w:eastAsia="zh-CN"/>
              </w:rPr>
              <w:t>{{code}}</w:t>
            </w:r>
          </w:p>
        </w:tc>
        <w:tc>
          <w:tcPr>
            <w:tcW w:w="118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上期退出开放日</w:t>
            </w:r>
          </w:p>
        </w:tc>
        <w:tc>
          <w:tcPr>
            <w:tcW w:w="150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hint="default" w:ascii="仿宋" w:hAnsi="仿宋" w:eastAsia="仿宋"/>
                <w:sz w:val="24"/>
                <w:szCs w:val="24"/>
                <w:lang w:val="en-US" w:eastAsia="zh-CN"/>
              </w:rPr>
            </w:pPr>
            <w:r>
              <w:rPr>
                <w:rFonts w:hint="eastAsia" w:ascii="仿宋" w:hAnsi="仿宋" w:eastAsia="仿宋" w:cs="FangSong_GB2312"/>
                <w:sz w:val="24"/>
                <w:szCs w:val="24"/>
                <w:lang w:val="en-US" w:eastAsia="zh-CN"/>
              </w:rPr>
              <w:t>{{red_period}}</w:t>
            </w:r>
          </w:p>
        </w:tc>
      </w:tr>
      <w:tr>
        <w:tblPrEx>
          <w:tblCellMar>
            <w:top w:w="0" w:type="dxa"/>
            <w:left w:w="0" w:type="dxa"/>
            <w:bottom w:w="0" w:type="dxa"/>
            <w:right w:w="0" w:type="dxa"/>
          </w:tblCellMar>
        </w:tblPrEx>
        <w:trPr>
          <w:trHeight w:val="542" w:hRule="atLeast"/>
          <w:jc w:val="center"/>
        </w:trPr>
        <w:tc>
          <w:tcPr>
            <w:tcW w:w="1229"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本期业绩报酬计提基准</w:t>
            </w:r>
          </w:p>
        </w:tc>
        <w:tc>
          <w:tcPr>
            <w:tcW w:w="1077"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hint="default" w:ascii="仿宋" w:hAnsi="仿宋" w:eastAsia="仿宋" w:cs="FangSong_GB2312"/>
                <w:sz w:val="24"/>
                <w:szCs w:val="24"/>
                <w:lang w:val="en-US" w:eastAsia="zh-CN"/>
              </w:rPr>
            </w:pPr>
            <w:r>
              <w:rPr>
                <w:rFonts w:hint="eastAsia" w:ascii="仿宋" w:hAnsi="仿宋" w:eastAsia="仿宋" w:cs="FangSong_GB2312"/>
                <w:sz w:val="24"/>
                <w:szCs w:val="24"/>
                <w:lang w:val="en-US" w:eastAsia="zh-CN"/>
              </w:rPr>
              <w:t>{{benchmark}}</w:t>
            </w:r>
          </w:p>
        </w:tc>
        <w:tc>
          <w:tcPr>
            <w:tcW w:w="118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ascii="仿宋" w:hAnsi="仿宋" w:eastAsia="仿宋"/>
                <w:b/>
                <w:bCs/>
                <w:sz w:val="24"/>
                <w:szCs w:val="24"/>
              </w:rPr>
            </w:pPr>
            <w:r>
              <w:rPr>
                <w:rFonts w:hint="eastAsia" w:ascii="仿宋" w:hAnsi="仿宋" w:eastAsia="仿宋"/>
                <w:b/>
                <w:bCs/>
                <w:sz w:val="24"/>
                <w:szCs w:val="24"/>
              </w:rPr>
              <w:t>本期参与开放日</w:t>
            </w:r>
          </w:p>
        </w:tc>
        <w:tc>
          <w:tcPr>
            <w:tcW w:w="150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hint="default" w:ascii="仿宋" w:hAnsi="仿宋" w:eastAsia="仿宋"/>
                <w:sz w:val="24"/>
                <w:szCs w:val="24"/>
                <w:lang w:val="en-US" w:eastAsia="zh-CN"/>
              </w:rPr>
            </w:pPr>
            <w:r>
              <w:rPr>
                <w:rFonts w:hint="eastAsia" w:ascii="仿宋" w:hAnsi="仿宋" w:eastAsia="仿宋" w:cs="FangSong_GB2312"/>
                <w:sz w:val="24"/>
                <w:szCs w:val="24"/>
                <w:lang w:val="en-US" w:eastAsia="zh-CN"/>
              </w:rPr>
              <w:t>{{sub_period}}</w:t>
            </w:r>
          </w:p>
        </w:tc>
      </w:tr>
      <w:tr>
        <w:tblPrEx>
          <w:tblCellMar>
            <w:top w:w="0" w:type="dxa"/>
            <w:left w:w="0" w:type="dxa"/>
            <w:bottom w:w="0" w:type="dxa"/>
            <w:right w:w="0" w:type="dxa"/>
          </w:tblCellMar>
        </w:tblPrEx>
        <w:trPr>
          <w:trHeight w:val="539" w:hRule="atLeast"/>
          <w:jc w:val="center"/>
        </w:trPr>
        <w:tc>
          <w:tcPr>
            <w:tcW w:w="1229"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规模上限</w:t>
            </w:r>
          </w:p>
        </w:tc>
        <w:tc>
          <w:tcPr>
            <w:tcW w:w="1077"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hint="default" w:ascii="仿宋" w:hAnsi="仿宋" w:eastAsia="仿宋" w:cs="FangSong_GB2312"/>
                <w:sz w:val="24"/>
                <w:szCs w:val="24"/>
                <w:lang w:val="en-US" w:eastAsia="zh-CN"/>
              </w:rPr>
            </w:pPr>
            <w:r>
              <w:rPr>
                <w:rFonts w:hint="eastAsia" w:ascii="仿宋" w:hAnsi="仿宋" w:eastAsia="仿宋" w:cs="FangSong_GB2312"/>
                <w:sz w:val="24"/>
                <w:szCs w:val="24"/>
                <w:lang w:val="en-US" w:eastAsia="zh-CN"/>
              </w:rPr>
              <w:t>{{target_size}}</w:t>
            </w:r>
          </w:p>
        </w:tc>
        <w:tc>
          <w:tcPr>
            <w:tcW w:w="118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预计本期退出开放日</w:t>
            </w:r>
          </w:p>
        </w:tc>
        <w:tc>
          <w:tcPr>
            <w:tcW w:w="150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hint="default" w:ascii="仿宋" w:hAnsi="仿宋" w:eastAsia="仿宋"/>
                <w:sz w:val="24"/>
                <w:szCs w:val="24"/>
                <w:lang w:val="en-US" w:eastAsia="zh-CN"/>
              </w:rPr>
            </w:pPr>
            <w:r>
              <w:rPr>
                <w:rFonts w:hint="eastAsia" w:ascii="仿宋" w:hAnsi="仿宋" w:eastAsia="仿宋" w:cs="FangSong_GB2312"/>
                <w:sz w:val="24"/>
                <w:szCs w:val="24"/>
              </w:rPr>
              <w:t xml:space="preserve"> </w:t>
            </w:r>
            <w:r>
              <w:rPr>
                <w:rFonts w:hint="eastAsia" w:ascii="仿宋" w:hAnsi="仿宋" w:eastAsia="仿宋" w:cs="FangSong_GB2312"/>
                <w:sz w:val="24"/>
                <w:szCs w:val="24"/>
                <w:lang w:val="en-US" w:eastAsia="zh-CN"/>
              </w:rPr>
              <w:t>{{next_open_day}}</w:t>
            </w:r>
          </w:p>
        </w:tc>
      </w:tr>
      <w:tr>
        <w:tblPrEx>
          <w:tblCellMar>
            <w:top w:w="0" w:type="dxa"/>
            <w:left w:w="0" w:type="dxa"/>
            <w:bottom w:w="0" w:type="dxa"/>
            <w:right w:w="0" w:type="dxa"/>
          </w:tblCellMar>
        </w:tblPrEx>
        <w:trPr>
          <w:trHeight w:val="690" w:hRule="atLeast"/>
          <w:jc w:val="center"/>
        </w:trPr>
        <w:tc>
          <w:tcPr>
            <w:tcW w:w="1229"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本期投资期限</w:t>
            </w:r>
          </w:p>
        </w:tc>
        <w:tc>
          <w:tcPr>
            <w:tcW w:w="1077"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hint="default" w:ascii="仿宋" w:hAnsi="仿宋" w:eastAsia="仿宋"/>
                <w:sz w:val="24"/>
                <w:szCs w:val="24"/>
                <w:lang w:val="en-US" w:eastAsia="zh-CN"/>
              </w:rPr>
            </w:pPr>
            <w:r>
              <w:rPr>
                <w:rFonts w:hint="eastAsia" w:ascii="仿宋" w:hAnsi="仿宋" w:eastAsia="仿宋"/>
                <w:sz w:val="24"/>
                <w:szCs w:val="24"/>
                <w:lang w:val="en-US" w:eastAsia="zh-CN"/>
              </w:rPr>
              <w:t>{{soft_lock}}{{soft_lock_u}}</w:t>
            </w:r>
          </w:p>
        </w:tc>
        <w:tc>
          <w:tcPr>
            <w:tcW w:w="118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本期运作周期</w:t>
            </w:r>
          </w:p>
        </w:tc>
        <w:tc>
          <w:tcPr>
            <w:tcW w:w="1507" w:type="pct"/>
            <w:tcBorders>
              <w:top w:val="single" w:color="000000" w:sz="8" w:space="0"/>
              <w:left w:val="single" w:color="000000" w:sz="8" w:space="0"/>
              <w:bottom w:val="single" w:color="000000" w:sz="8" w:space="0"/>
              <w:right w:val="single" w:color="000000" w:sz="8" w:space="0"/>
            </w:tcBorders>
            <w:vAlign w:val="center"/>
          </w:tcPr>
          <w:p>
            <w:pPr>
              <w:pStyle w:val="5"/>
              <w:jc w:val="center"/>
              <w:rPr>
                <w:rFonts w:hint="default" w:ascii="仿宋" w:hAnsi="仿宋" w:eastAsia="仿宋"/>
                <w:sz w:val="24"/>
                <w:szCs w:val="24"/>
                <w:lang w:val="en-US" w:eastAsia="zh-CN"/>
              </w:rPr>
            </w:pPr>
            <w:r>
              <w:rPr>
                <w:rFonts w:hint="eastAsia" w:ascii="仿宋" w:hAnsi="仿宋" w:eastAsia="仿宋"/>
                <w:sz w:val="24"/>
                <w:szCs w:val="24"/>
                <w:lang w:val="en-US" w:eastAsia="zh-CN"/>
              </w:rPr>
              <w:t>{{soft_lock_period}}</w:t>
            </w:r>
          </w:p>
        </w:tc>
      </w:tr>
      <w:tr>
        <w:tblPrEx>
          <w:tblCellMar>
            <w:top w:w="0" w:type="dxa"/>
            <w:left w:w="0" w:type="dxa"/>
            <w:bottom w:w="0" w:type="dxa"/>
            <w:right w:w="0" w:type="dxa"/>
          </w:tblCellMar>
        </w:tblPrEx>
        <w:trPr>
          <w:trHeight w:val="267" w:hRule="atLeast"/>
          <w:jc w:val="center"/>
        </w:trPr>
        <w:tc>
          <w:tcPr>
            <w:tcW w:w="1229"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b/>
                <w:bCs/>
                <w:sz w:val="24"/>
                <w:szCs w:val="24"/>
              </w:rPr>
            </w:pPr>
            <w:r>
              <w:rPr>
                <w:rFonts w:hint="eastAsia" w:ascii="仿宋" w:hAnsi="仿宋" w:eastAsia="仿宋" w:cs="FangSong_GB2312"/>
                <w:b/>
                <w:bCs/>
                <w:sz w:val="24"/>
                <w:szCs w:val="24"/>
              </w:rPr>
              <w:t>单个委托人首次参与最低金额</w:t>
            </w:r>
          </w:p>
        </w:tc>
        <w:tc>
          <w:tcPr>
            <w:tcW w:w="1077"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sz w:val="24"/>
                <w:szCs w:val="24"/>
              </w:rPr>
            </w:pPr>
            <w:r>
              <w:rPr>
                <w:rFonts w:hint="eastAsia" w:ascii="仿宋" w:hAnsi="仿宋" w:eastAsia="仿宋" w:cs="FangSong_GB2312"/>
                <w:sz w:val="24"/>
                <w:szCs w:val="24"/>
              </w:rPr>
              <w:t>首次参与金额不低于</w:t>
            </w:r>
            <w:r>
              <w:rPr>
                <w:rFonts w:hint="eastAsia" w:ascii="仿宋" w:hAnsi="仿宋" w:eastAsia="仿宋" w:cs="FangSong_GB2312"/>
                <w:sz w:val="24"/>
                <w:szCs w:val="24"/>
                <w:lang w:val="en-US" w:eastAsia="zh-CN"/>
              </w:rPr>
              <w:t>{{init_contri}}</w:t>
            </w:r>
            <w:r>
              <w:rPr>
                <w:rFonts w:hint="eastAsia" w:ascii="仿宋" w:hAnsi="仿宋" w:eastAsia="仿宋" w:cs="FangSong_GB2312"/>
                <w:sz w:val="24"/>
                <w:szCs w:val="24"/>
              </w:rPr>
              <w:t>万元；追加参与最低金额</w:t>
            </w:r>
            <w:r>
              <w:rPr>
                <w:rFonts w:hint="eastAsia" w:ascii="仿宋" w:hAnsi="仿宋" w:eastAsia="仿宋" w:cs="FangSong_GB2312"/>
                <w:sz w:val="24"/>
                <w:szCs w:val="24"/>
                <w:lang w:val="en-US" w:eastAsia="zh-CN"/>
              </w:rPr>
              <w:t>{{add_contri}}</w:t>
            </w:r>
            <w:r>
              <w:rPr>
                <w:rFonts w:hint="eastAsia" w:ascii="仿宋" w:hAnsi="仿宋" w:eastAsia="仿宋" w:cs="FangSong_GB2312"/>
                <w:sz w:val="24"/>
                <w:szCs w:val="24"/>
              </w:rPr>
              <w:t>万元</w:t>
            </w:r>
          </w:p>
        </w:tc>
        <w:tc>
          <w:tcPr>
            <w:tcW w:w="1187" w:type="pct"/>
            <w:tcBorders>
              <w:top w:val="single" w:color="000000" w:sz="8" w:space="0"/>
              <w:left w:val="single" w:color="000000" w:sz="8" w:space="0"/>
              <w:bottom w:val="single" w:color="000000" w:sz="8" w:space="0"/>
              <w:right w:val="single" w:color="000000" w:sz="8" w:space="0"/>
            </w:tcBorders>
            <w:vAlign w:val="center"/>
          </w:tcPr>
          <w:p>
            <w:pPr>
              <w:widowControl/>
              <w:jc w:val="center"/>
              <w:rPr>
                <w:rFonts w:ascii="仿宋" w:hAnsi="仿宋" w:eastAsia="仿宋"/>
                <w:b/>
                <w:bCs/>
                <w:sz w:val="24"/>
                <w:szCs w:val="24"/>
              </w:rPr>
            </w:pPr>
            <w:r>
              <w:rPr>
                <w:rFonts w:hint="eastAsia" w:ascii="仿宋" w:hAnsi="仿宋" w:eastAsia="仿宋" w:cs="FangSong_GB2312"/>
                <w:b/>
                <w:bCs/>
                <w:sz w:val="24"/>
                <w:szCs w:val="24"/>
              </w:rPr>
              <w:t>退出规则</w:t>
            </w:r>
          </w:p>
        </w:tc>
        <w:tc>
          <w:tcPr>
            <w:tcW w:w="1507" w:type="pct"/>
            <w:tcBorders>
              <w:top w:val="single" w:color="000000" w:sz="8" w:space="0"/>
              <w:left w:val="single" w:color="000000" w:sz="8" w:space="0"/>
              <w:bottom w:val="single" w:color="000000" w:sz="8" w:space="0"/>
              <w:right w:val="single" w:color="000000" w:sz="8" w:space="0"/>
            </w:tcBorders>
            <w:vAlign w:val="center"/>
          </w:tcPr>
          <w:p>
            <w:pPr>
              <w:widowControl/>
              <w:jc w:val="center"/>
              <w:rPr>
                <w:rFonts w:ascii="仿宋" w:hAnsi="仿宋" w:eastAsia="仿宋"/>
                <w:sz w:val="24"/>
                <w:szCs w:val="24"/>
              </w:rPr>
            </w:pPr>
            <w:r>
              <w:rPr>
                <w:rFonts w:hint="eastAsia" w:ascii="仿宋" w:hAnsi="仿宋" w:eastAsia="仿宋"/>
                <w:sz w:val="24"/>
                <w:szCs w:val="24"/>
              </w:rPr>
              <w:t>到期未赎回将自动滚入下一期（收益以现金结算，不转为份额）</w:t>
            </w:r>
          </w:p>
        </w:tc>
      </w:tr>
      <w:tr>
        <w:tblPrEx>
          <w:tblCellMar>
            <w:top w:w="0" w:type="dxa"/>
            <w:left w:w="0" w:type="dxa"/>
            <w:bottom w:w="0" w:type="dxa"/>
            <w:right w:w="0" w:type="dxa"/>
          </w:tblCellMar>
        </w:tblPrEx>
        <w:trPr>
          <w:trHeight w:val="267" w:hRule="atLeast"/>
          <w:jc w:val="center"/>
        </w:trPr>
        <w:tc>
          <w:tcPr>
            <w:tcW w:w="1229"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ascii="仿宋" w:hAnsi="仿宋" w:eastAsia="仿宋" w:cs="FangSong_GB2312"/>
                <w:b/>
                <w:bCs/>
                <w:sz w:val="24"/>
                <w:szCs w:val="24"/>
              </w:rPr>
            </w:pPr>
            <w:r>
              <w:rPr>
                <w:rFonts w:hint="eastAsia" w:ascii="仿宋" w:hAnsi="仿宋" w:eastAsia="仿宋" w:cs="FangSong_GB2312"/>
                <w:b/>
                <w:bCs/>
                <w:sz w:val="24"/>
                <w:szCs w:val="24"/>
              </w:rPr>
              <w:t>推广机构</w:t>
            </w:r>
          </w:p>
        </w:tc>
        <w:tc>
          <w:tcPr>
            <w:tcW w:w="1077" w:type="pct"/>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5"/>
              <w:jc w:val="center"/>
              <w:rPr>
                <w:rFonts w:hint="default" w:ascii="仿宋" w:hAnsi="仿宋" w:eastAsia="仿宋" w:cs="FangSong_GB2312"/>
                <w:sz w:val="24"/>
                <w:szCs w:val="24"/>
                <w:lang w:val="en-US" w:eastAsia="zh-CN"/>
              </w:rPr>
            </w:pPr>
            <w:r>
              <w:rPr>
                <w:rFonts w:hint="eastAsia" w:ascii="仿宋" w:hAnsi="仿宋" w:eastAsia="仿宋" w:cs="FangSong_GB2312"/>
                <w:sz w:val="24"/>
                <w:szCs w:val="24"/>
                <w:lang w:val="en-US" w:eastAsia="zh-CN"/>
              </w:rPr>
              <w:t>{{sales_inst}}</w:t>
            </w:r>
          </w:p>
        </w:tc>
        <w:tc>
          <w:tcPr>
            <w:tcW w:w="1187" w:type="pct"/>
            <w:tcBorders>
              <w:top w:val="single" w:color="000000" w:sz="8" w:space="0"/>
              <w:left w:val="single" w:color="000000" w:sz="8" w:space="0"/>
              <w:bottom w:val="single" w:color="000000" w:sz="8" w:space="0"/>
              <w:right w:val="single" w:color="000000" w:sz="8" w:space="0"/>
            </w:tcBorders>
            <w:vAlign w:val="center"/>
          </w:tcPr>
          <w:p>
            <w:pPr>
              <w:widowControl/>
              <w:jc w:val="center"/>
              <w:rPr>
                <w:rFonts w:ascii="仿宋" w:hAnsi="仿宋" w:eastAsia="仿宋" w:cs="FangSong_GB2312"/>
                <w:b/>
                <w:bCs/>
                <w:sz w:val="24"/>
                <w:szCs w:val="24"/>
              </w:rPr>
            </w:pPr>
            <w:r>
              <w:rPr>
                <w:rFonts w:hint="eastAsia" w:ascii="仿宋" w:hAnsi="仿宋" w:eastAsia="仿宋" w:cs="FangSong_GB2312"/>
                <w:b/>
                <w:bCs/>
                <w:sz w:val="24"/>
                <w:szCs w:val="24"/>
              </w:rPr>
              <w:t>申购</w:t>
            </w:r>
            <w:r>
              <w:rPr>
                <w:rFonts w:ascii="仿宋" w:hAnsi="仿宋" w:eastAsia="仿宋" w:cs="FangSong_GB2312"/>
                <w:b/>
                <w:bCs/>
                <w:sz w:val="24"/>
                <w:szCs w:val="24"/>
              </w:rPr>
              <w:t>/</w:t>
            </w:r>
            <w:r>
              <w:rPr>
                <w:rFonts w:hint="eastAsia" w:ascii="仿宋" w:hAnsi="仿宋" w:eastAsia="仿宋" w:cs="FangSong_GB2312"/>
                <w:b/>
                <w:bCs/>
                <w:sz w:val="24"/>
                <w:szCs w:val="24"/>
              </w:rPr>
              <w:t>赎回费用</w:t>
            </w:r>
          </w:p>
        </w:tc>
        <w:tc>
          <w:tcPr>
            <w:tcW w:w="1507" w:type="pct"/>
            <w:tcBorders>
              <w:top w:val="single" w:color="000000" w:sz="8" w:space="0"/>
              <w:left w:val="single" w:color="000000" w:sz="8" w:space="0"/>
              <w:bottom w:val="single" w:color="000000" w:sz="8" w:space="0"/>
              <w:right w:val="single" w:color="000000" w:sz="8" w:space="0"/>
            </w:tcBorders>
            <w:vAlign w:val="center"/>
          </w:tcPr>
          <w:p>
            <w:pPr>
              <w:widowControl/>
              <w:jc w:val="center"/>
              <w:rPr>
                <w:rFonts w:hint="default" w:ascii="仿宋" w:hAnsi="仿宋" w:eastAsia="仿宋"/>
                <w:sz w:val="24"/>
                <w:szCs w:val="24"/>
                <w:lang w:val="en-US" w:eastAsia="zh-CN"/>
              </w:rPr>
            </w:pPr>
            <w:r>
              <w:rPr>
                <w:rFonts w:hint="eastAsia" w:ascii="仿宋" w:hAnsi="仿宋" w:eastAsia="仿宋"/>
                <w:sz w:val="24"/>
                <w:szCs w:val="24"/>
                <w:lang w:val="en-US" w:eastAsia="zh-CN"/>
              </w:rPr>
              <w:t>{{sub_fee}}/{{red_fee}}</w:t>
            </w:r>
          </w:p>
        </w:tc>
      </w:tr>
    </w:tbl>
    <w:p>
      <w:pPr>
        <w:autoSpaceDE w:val="0"/>
        <w:autoSpaceDN w:val="0"/>
        <w:spacing w:line="640" w:lineRule="exact"/>
        <w:ind w:firstLine="600" w:firstLineChars="200"/>
        <w:rPr>
          <w:rFonts w:ascii="仿宋" w:hAnsi="仿宋" w:eastAsia="仿宋" w:cs="FangSong_GB2312"/>
          <w:sz w:val="30"/>
          <w:szCs w:val="30"/>
        </w:rPr>
      </w:pPr>
      <w:r>
        <w:rPr>
          <w:rFonts w:hint="eastAsia" w:ascii="仿宋" w:hAnsi="仿宋" w:eastAsia="仿宋" w:cs="FangSong_GB2312"/>
          <w:sz w:val="30"/>
          <w:szCs w:val="30"/>
        </w:rPr>
        <w:t>本集合计划的业绩报酬计提基准仅供委托人参考，不是管理人向投资者保证其资产本金不受损失或者保证投资者取得最低收益的承诺。</w:t>
      </w:r>
    </w:p>
    <w:p>
      <w:pPr>
        <w:autoSpaceDE w:val="0"/>
        <w:autoSpaceDN w:val="0"/>
        <w:spacing w:line="640" w:lineRule="exact"/>
        <w:ind w:firstLine="600" w:firstLineChars="200"/>
        <w:rPr>
          <w:rFonts w:ascii="仿宋" w:hAnsi="仿宋" w:eastAsia="仿宋" w:cs="FangSong_GB2312"/>
          <w:sz w:val="30"/>
          <w:szCs w:val="30"/>
        </w:rPr>
      </w:pPr>
      <w:r>
        <w:rPr>
          <w:rFonts w:hint="eastAsia" w:ascii="仿宋" w:hAnsi="仿宋" w:eastAsia="仿宋" w:cs="FangSong_GB2312"/>
          <w:sz w:val="30"/>
          <w:szCs w:val="30"/>
          <w:lang w:val="en-US" w:eastAsia="zh-CN"/>
        </w:rPr>
        <w:t>{{full_name}}</w:t>
      </w:r>
      <w:r>
        <w:rPr>
          <w:rFonts w:hint="eastAsia" w:ascii="仿宋" w:hAnsi="仿宋" w:eastAsia="仿宋" w:cs="FangSong_GB2312"/>
          <w:sz w:val="30"/>
          <w:szCs w:val="30"/>
        </w:rPr>
        <w:t>为</w:t>
      </w:r>
      <w:r>
        <w:rPr>
          <w:rFonts w:hint="eastAsia" w:ascii="仿宋" w:hAnsi="仿宋" w:eastAsia="仿宋" w:cs="FangSong_GB2312"/>
          <w:sz w:val="30"/>
          <w:szCs w:val="30"/>
          <w:lang w:val="en-US" w:eastAsia="zh-CN"/>
        </w:rPr>
        <w:t>{{risk_type}}</w:t>
      </w:r>
      <w:r>
        <w:rPr>
          <w:rFonts w:hint="eastAsia" w:ascii="仿宋" w:hAnsi="仿宋" w:eastAsia="仿宋" w:cs="FangSong_GB2312"/>
          <w:sz w:val="30"/>
          <w:szCs w:val="30"/>
        </w:rPr>
        <w:t>风险品种，适合推广对象为管理人和推广机构评定的风险等级匹配的合格投资者。</w:t>
      </w:r>
    </w:p>
    <w:p>
      <w:pPr>
        <w:autoSpaceDE w:val="0"/>
        <w:autoSpaceDN w:val="0"/>
        <w:spacing w:line="640" w:lineRule="exact"/>
        <w:ind w:firstLine="600" w:firstLineChars="200"/>
        <w:rPr>
          <w:rFonts w:hint="eastAsia" w:ascii="仿宋" w:hAnsi="仿宋" w:eastAsia="仿宋" w:cs="FangSong_GB2312"/>
          <w:sz w:val="30"/>
          <w:szCs w:val="30"/>
        </w:rPr>
      </w:pPr>
      <w:r>
        <w:rPr>
          <w:rFonts w:hint="eastAsia" w:ascii="仿宋" w:hAnsi="仿宋" w:eastAsia="仿宋" w:cs="FangSong_GB2312"/>
          <w:sz w:val="30"/>
          <w:szCs w:val="30"/>
        </w:rPr>
        <w:t>投资者在参与本集合计划前请详细阅读《</w:t>
      </w:r>
      <w:r>
        <w:rPr>
          <w:rFonts w:hint="eastAsia" w:ascii="仿宋" w:hAnsi="仿宋" w:eastAsia="仿宋" w:cs="FangSong_GB2312"/>
          <w:sz w:val="30"/>
          <w:szCs w:val="30"/>
          <w:lang w:val="en-US" w:eastAsia="zh-CN"/>
        </w:rPr>
        <w:t>{{full_name}}</w:t>
      </w:r>
      <w:r>
        <w:rPr>
          <w:rFonts w:hint="eastAsia" w:ascii="仿宋" w:hAnsi="仿宋" w:eastAsia="仿宋" w:cs="FangSong_GB2312"/>
          <w:sz w:val="30"/>
          <w:szCs w:val="30"/>
        </w:rPr>
        <w:t>风险揭示书》、《</w:t>
      </w:r>
      <w:r>
        <w:rPr>
          <w:rFonts w:hint="eastAsia" w:ascii="仿宋" w:hAnsi="仿宋" w:eastAsia="仿宋" w:cs="FangSong_GB2312"/>
          <w:sz w:val="30"/>
          <w:szCs w:val="30"/>
          <w:lang w:val="en-US" w:eastAsia="zh-CN"/>
        </w:rPr>
        <w:t>{{full_name}}</w:t>
      </w:r>
      <w:r>
        <w:rPr>
          <w:rFonts w:hint="eastAsia" w:ascii="仿宋" w:hAnsi="仿宋" w:eastAsia="仿宋" w:cs="FangSong_GB2312"/>
          <w:sz w:val="30"/>
          <w:szCs w:val="30"/>
        </w:rPr>
        <w:t>说明书》和《</w:t>
      </w:r>
      <w:r>
        <w:rPr>
          <w:rFonts w:hint="eastAsia" w:ascii="仿宋" w:hAnsi="仿宋" w:eastAsia="仿宋" w:cs="FangSong_GB2312"/>
          <w:sz w:val="30"/>
          <w:szCs w:val="30"/>
          <w:lang w:val="en-US" w:eastAsia="zh-CN"/>
        </w:rPr>
        <w:t>{{full_name}}</w:t>
      </w:r>
      <w:r>
        <w:rPr>
          <w:rFonts w:hint="eastAsia" w:ascii="仿宋" w:hAnsi="仿宋" w:eastAsia="仿宋" w:cs="FangSong_GB2312"/>
          <w:sz w:val="30"/>
          <w:szCs w:val="30"/>
        </w:rPr>
        <w:t>资产管理合同》，并按照推广机构网点的具体安排办理。</w:t>
      </w:r>
    </w:p>
    <w:p>
      <w:pPr>
        <w:autoSpaceDE w:val="0"/>
        <w:autoSpaceDN w:val="0"/>
        <w:spacing w:line="640" w:lineRule="exact"/>
        <w:ind w:firstLine="600" w:firstLineChars="200"/>
        <w:rPr>
          <w:rFonts w:ascii="仿宋" w:hAnsi="仿宋" w:eastAsia="仿宋"/>
          <w:sz w:val="30"/>
          <w:szCs w:val="30"/>
        </w:rPr>
      </w:pPr>
      <w:r>
        <w:rPr>
          <w:rFonts w:hint="eastAsia" w:ascii="仿宋" w:hAnsi="仿宋" w:eastAsia="仿宋" w:cs="FangSong_GB2312"/>
          <w:sz w:val="30"/>
          <w:szCs w:val="30"/>
        </w:rPr>
        <w:t>特此公告。</w:t>
      </w:r>
    </w:p>
    <w:p>
      <w:pPr>
        <w:autoSpaceDE w:val="0"/>
        <w:autoSpaceDN w:val="0"/>
        <w:spacing w:line="640" w:lineRule="exact"/>
        <w:ind w:firstLine="600" w:firstLineChars="200"/>
        <w:rPr>
          <w:rFonts w:ascii="仿宋" w:hAnsi="仿宋" w:eastAsia="仿宋"/>
          <w:sz w:val="30"/>
          <w:szCs w:val="30"/>
        </w:rPr>
      </w:pPr>
    </w:p>
    <w:p>
      <w:pPr>
        <w:tabs>
          <w:tab w:val="left" w:pos="7230"/>
        </w:tabs>
        <w:autoSpaceDE w:val="0"/>
        <w:autoSpaceDN w:val="0"/>
        <w:spacing w:line="640" w:lineRule="exact"/>
        <w:ind w:right="651" w:rightChars="310" w:firstLine="3828" w:firstLineChars="1276"/>
        <w:jc w:val="center"/>
        <w:rPr>
          <w:rFonts w:ascii="仿宋" w:hAnsi="仿宋" w:eastAsia="仿宋"/>
          <w:sz w:val="30"/>
          <w:szCs w:val="30"/>
        </w:rPr>
      </w:pPr>
      <w:r>
        <w:rPr>
          <w:rFonts w:hint="eastAsia" w:ascii="仿宋" w:hAnsi="仿宋" w:eastAsia="仿宋" w:cs="FangSong_GB2312"/>
          <w:sz w:val="30"/>
          <w:szCs w:val="30"/>
          <w:lang w:val="en-US" w:eastAsia="zh-CN"/>
        </w:rPr>
        <w:t>Xxxx</w:t>
      </w:r>
      <w:r>
        <w:rPr>
          <w:rFonts w:hint="eastAsia" w:ascii="仿宋" w:hAnsi="仿宋" w:eastAsia="仿宋" w:cs="FangSong_GB2312"/>
          <w:sz w:val="30"/>
          <w:szCs w:val="30"/>
        </w:rPr>
        <w:t>有限责任公司</w:t>
      </w:r>
    </w:p>
    <w:p>
      <w:pPr>
        <w:autoSpaceDE w:val="0"/>
        <w:autoSpaceDN w:val="0"/>
        <w:spacing w:line="640" w:lineRule="exact"/>
        <w:ind w:right="651" w:rightChars="310" w:firstLine="3828" w:firstLineChars="1276"/>
        <w:jc w:val="center"/>
        <w:rPr>
          <w:rFonts w:ascii="仿宋" w:hAnsi="仿宋" w:eastAsia="仿宋" w:cs="FangSong_GB2312"/>
          <w:sz w:val="30"/>
          <w:szCs w:val="30"/>
        </w:rPr>
      </w:pPr>
      <w:r>
        <w:rPr>
          <w:rFonts w:hint="eastAsia" w:ascii="仿宋" w:hAnsi="仿宋" w:eastAsia="仿宋" w:cs="FangSong_GB2312"/>
          <w:sz w:val="30"/>
          <w:szCs w:val="30"/>
          <w:lang w:val="en-US" w:eastAsia="zh-CN"/>
        </w:rPr>
        <w:t>{{doc_date}}</w:t>
      </w:r>
    </w:p>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FangSong_GB2312">
    <w:altName w:val="仿宋"/>
    <w:panose1 w:val="02010609060101010101"/>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kYTNmMDU0YmEyODFlNzZhZjVmOGVkNTlkMTI5YmIifQ=="/>
  </w:docVars>
  <w:rsids>
    <w:rsidRoot w:val="4EC14BA9"/>
    <w:rsid w:val="110D46EE"/>
    <w:rsid w:val="1DB34421"/>
    <w:rsid w:val="287157EE"/>
    <w:rsid w:val="34313801"/>
    <w:rsid w:val="37983B97"/>
    <w:rsid w:val="4D27359B"/>
    <w:rsid w:val="4EC14BA9"/>
    <w:rsid w:val="5C55596B"/>
    <w:rsid w:val="61BD05EC"/>
    <w:rsid w:val="64AC465A"/>
    <w:rsid w:val="67AE4BDA"/>
    <w:rsid w:val="6F904A19"/>
    <w:rsid w:val="7542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title1"/>
    <w:basedOn w:val="3"/>
    <w:qFormat/>
    <w:uiPriority w:val="0"/>
    <w:rPr>
      <w:rFonts w:ascii="Times New Roman" w:hAnsi="Times New Roman" w:cs="Times New Roman"/>
      <w:b/>
      <w:bCs/>
      <w:color w:val="auto"/>
      <w:sz w:val="21"/>
      <w:szCs w:val="21"/>
    </w:rPr>
  </w:style>
  <w:style w:type="paragraph" w:customStyle="1" w:styleId="5">
    <w:name w:val="正文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435</Words>
  <Characters>785</Characters>
  <Lines>0</Lines>
  <Paragraphs>0</Paragraphs>
  <TotalTime>0</TotalTime>
  <ScaleCrop>false</ScaleCrop>
  <LinksUpToDate>false</LinksUpToDate>
  <CharactersWithSpaces>786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2023-05-30T02:24:00Z</dcterms:created>
  <dc:creator>free</dc:creator>
  <cp:lastModifiedBy>free</cp:lastModifiedBy>
  <dcterms:modified xsi:type="dcterms:W3CDTF">2023-06-14T08:41:30Z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175CB9CC4EB946899A29042DBD8ED5CD_13</vt:lpwstr>
  </property>
</Properties>
</file>