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63EEC">
      <w:pPr>
        <w:spacing w:after="800"/>
        <w:jc w:val="center"/>
      </w:pPr>
      <w:r>
        <w:rPr>
          <w:rFonts w:ascii="Noto Sans CJK SC" w:hAnsi="Noto Sans CJK SC" w:eastAsia="Noto Sans CJK SC"/>
          <w:b/>
          <w:sz w:val="36"/>
        </w:rPr>
        <w:t>第五届中国研究生金融科技创新大赛</w:t>
      </w:r>
    </w:p>
    <w:p w14:paraId="4E3226E3">
      <w:pPr>
        <w:spacing w:after="500"/>
        <w:jc w:val="center"/>
      </w:pPr>
      <w:r>
        <w:rPr>
          <w:rFonts w:ascii="Noto Sans CJK SC" w:hAnsi="Noto Sans CJK SC" w:eastAsia="Noto Sans CJK SC"/>
          <w:b/>
          <w:sz w:val="34"/>
        </w:rPr>
        <w:t>“揭榜挂帅”赛题3项目书</w:t>
      </w:r>
    </w:p>
    <w:p w14:paraId="1FB7DF08">
      <w:pPr>
        <w:spacing w:after="240"/>
        <w:jc w:val="center"/>
      </w:pPr>
      <w:r>
        <w:rPr>
          <w:rFonts w:ascii="Noto Sans CJK SC" w:hAnsi="Noto Sans CJK SC" w:eastAsia="Noto Sans CJK SC"/>
          <w:b/>
          <w:sz w:val="52"/>
        </w:rPr>
        <w:t>BankReg-TrustRAG</w:t>
      </w:r>
    </w:p>
    <w:p w14:paraId="4552C429">
      <w:pPr>
        <w:spacing w:after="400"/>
        <w:jc w:val="center"/>
      </w:pPr>
      <w:r>
        <w:rPr>
          <w:rFonts w:ascii="Noto Sans CJK SC" w:hAnsi="Noto Sans CJK SC" w:eastAsia="Noto Sans CJK SC"/>
          <w:b/>
          <w:sz w:val="32"/>
        </w:rPr>
        <w:t>面向银行业监管制度与统计报表的多源证据可信RAG问答系统</w:t>
      </w:r>
    </w:p>
    <w:p w14:paraId="606406B6">
      <w:pPr>
        <w:spacing w:after="2000"/>
        <w:jc w:val="center"/>
      </w:pPr>
      <w:r>
        <w:rPr>
          <w:rFonts w:ascii="Noto Sans CJK SC" w:hAnsi="Noto Sans CJK SC" w:eastAsia="Noto Sans CJK SC"/>
          <w:sz w:val="23"/>
        </w:rPr>
        <w:t>命题单位：南京银行股份有限公司</w:t>
      </w:r>
    </w:p>
    <w:p w14:paraId="3113495D">
      <w:pPr>
        <w:spacing w:after="160"/>
        <w:jc w:val="center"/>
      </w:pPr>
      <w:r>
        <w:rPr>
          <w:rFonts w:ascii="Noto Sans CJK SC" w:hAnsi="Noto Sans CJK SC" w:eastAsia="Noto Sans CJK SC"/>
          <w:sz w:val="22"/>
        </w:rPr>
        <w:t>团队名称：________________________</w:t>
      </w:r>
    </w:p>
    <w:p w14:paraId="7F9F0C1A">
      <w:pPr>
        <w:spacing w:after="160"/>
        <w:jc w:val="center"/>
      </w:pPr>
      <w:r>
        <w:rPr>
          <w:rFonts w:ascii="Noto Sans CJK SC" w:hAnsi="Noto Sans CJK SC" w:eastAsia="Noto Sans CJK SC"/>
          <w:sz w:val="22"/>
        </w:rPr>
        <w:t>队      长：________________________</w:t>
      </w:r>
    </w:p>
    <w:p w14:paraId="5A20F11C">
      <w:pPr>
        <w:spacing w:after="160"/>
        <w:jc w:val="center"/>
      </w:pPr>
      <w:r>
        <w:rPr>
          <w:rFonts w:ascii="Noto Sans CJK SC" w:hAnsi="Noto Sans CJK SC" w:eastAsia="Noto Sans CJK SC"/>
          <w:sz w:val="22"/>
        </w:rPr>
        <w:t>指导教师：________________________</w:t>
      </w:r>
    </w:p>
    <w:p w14:paraId="3C9F98B9">
      <w:pPr>
        <w:spacing w:after="160"/>
        <w:jc w:val="center"/>
      </w:pPr>
      <w:r>
        <w:rPr>
          <w:rFonts w:ascii="Noto Sans CJK SC" w:hAnsi="Noto Sans CJK SC" w:eastAsia="Noto Sans CJK SC"/>
          <w:sz w:val="22"/>
        </w:rPr>
        <w:t>完成日期：2026年8月</w:t>
      </w:r>
    </w:p>
    <w:p w14:paraId="638F612F">
      <w:r>
        <w:br w:type="page"/>
      </w:r>
    </w:p>
    <w:p w14:paraId="3F5EC8B2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项目摘要</w:t>
      </w:r>
    </w:p>
    <w:p w14:paraId="04A6EE2A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银行业经营管理高度依赖监管制度、政策规章、统计报表和内部业务流程文件。实际工作中，信贷审批、风险分类、资本管理、消费者权益保护、反洗钱、支付结算、普惠金融和监管报送等场景均需要快速、准确地定位监管依据和统计口径。然而，监管资料分散于多个官方渠道，文件同时包含Word、PDF、Excel等多种格式，且存在版本更新频繁、表格结构复杂、条款和指标跨文件关联等特点。传统关键词检索容易出现漏查、旧规误用和证据定位不准确，通用大模型又可能产生数字、日期、机构名称、文号或规范性表述上的幻觉，难以直接用于高可信金融监管场景。</w:t>
      </w:r>
    </w:p>
    <w:p w14:paraId="0BCBAB95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本项目拟建设BankReg-TrustRAG——面向银行业监管制度与统计报表的多源证据可信RAG问答系统。系统以“结构感知解析、四路混合检索、文本/表格双通道RAG、跨文件多跳推理、Claim级事实核验、动态拒答与全链路证据追溯”为核心技术路线，对监管制度原文、政策规章和统计附件进行结构化处理，形成条款级、段落级和表格单元级知识索引；针对不同问题类型自动选择关键词检索、语义检索、元数据过滤和表格结构检索；对于统计取数与跨文件场景判断，调用结构化表格工具完成精确取数和计算；在答案生成后将结论拆解为可核验Claim，对关键数字、日期、主体、文号、条款和“应当/可以/不得”等规范强度进行证据一致性校验。</w:t>
      </w:r>
    </w:p>
    <w:p w14:paraId="0BC2CE86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项目将围绕赛题提出的五类问题建立评测集和消融实验，目标实现制度事实类问题准确率不低于85%、表格取数类问题准确率不低于80%、证据引用命中率不低于90%、关键数字/日期/机构名称/文号错误率不高于5%，并对资料库外或证据不足问题实现不低于80%的拒答或澄清能力。最终交付可运行的RAG问答系统/API、结构化知识库、数据处理脚本、评测问答集、评测报告和可复现部署环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5131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84F5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关键词</w:t>
            </w:r>
          </w:p>
        </w:tc>
        <w:tc>
          <w:tcPr>
            <w:tcW w:w="72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E480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</w:tr>
      <w:tr w14:paraId="23197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7460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项目关键词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E010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可信RAG、银行监管、统计报表、多跳推理、混合检索、表格RAG、事实核验、动态拒答</w:t>
            </w:r>
          </w:p>
        </w:tc>
      </w:tr>
      <w:tr w14:paraId="5F733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0954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目标用户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86CB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银行业务人员、合规人员、风险管理人员、监管报送与数据分析人员</w:t>
            </w:r>
          </w:p>
        </w:tc>
      </w:tr>
      <w:tr w14:paraId="4C875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0876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核心价值</w:t>
            </w:r>
          </w:p>
        </w:tc>
        <w:tc>
          <w:tcPr>
            <w:tcW w:w="7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6BB0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降低制度检索成本、减少旧规误用与数字幻觉、提升监管问答可追溯性和业务核验效率</w:t>
            </w:r>
          </w:p>
        </w:tc>
      </w:tr>
    </w:tbl>
    <w:p w14:paraId="36C00DEB">
      <w:pPr>
        <w:spacing w:after="20"/>
      </w:pPr>
    </w:p>
    <w:p w14:paraId="2D98B4BD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1 项目背景与赛题理解</w:t>
      </w:r>
    </w:p>
    <w:p w14:paraId="7D34643C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1.1 业务背景</w:t>
      </w:r>
    </w:p>
    <w:p w14:paraId="5C70D2A1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银行监管知识具有强时效、强约束和高精度特征。业务人员在开展授信审批、资本充足率管理、监管报送、反洗钱、消费者权益保护等工作时，不仅需要“找到相关文件”，更需要确认文件是否仍然有效、具体条款适用于何种主体、金额或比例阈值是多少、统计指标口径如何定义，以及当前报表中的实际数值是否满足监管要求。</w:t>
      </w:r>
    </w:p>
    <w:p w14:paraId="7CA10DBB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现有资料以制度正文、附件、统计报表和网页发布信息等形态分散存在。对于普通全文搜索而言，文号、条款编号、金额阈值等精确元素难以与语义检索兼顾；对于通用RAG而言，固定长度分块容易破坏章节层级、表头与单位信息；对于大语言模型而言，跨文件推理和复杂数值比较又容易出现“答案合理但证据不可核验”的问题。因此，需要面向银行监管知识特征重新设计一套可追溯、可核验、低幻觉的检索增强生成体系。</w:t>
      </w:r>
    </w:p>
    <w:p w14:paraId="53AA9957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1.2 赛题任务与技术卡点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4252"/>
      </w:tblGrid>
      <w:tr w14:paraId="2EA03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85D0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技术卡点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66AD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具体表现</w:t>
            </w:r>
          </w:p>
        </w:tc>
        <w:tc>
          <w:tcPr>
            <w:tcW w:w="42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82A8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本项目应对方案</w:t>
            </w:r>
          </w:p>
        </w:tc>
      </w:tr>
      <w:tr w14:paraId="18E5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EF81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多源异构文档解析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81E0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Word/PDF版式差异；Excel含多级表头、单位与时间维度；常规切分破坏条款结构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1E5B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结构感知解析；条款/段落双粒度切分；Excel表头重建与单元格语义化</w:t>
            </w:r>
          </w:p>
        </w:tc>
      </w:tr>
      <w:tr w14:paraId="2BC52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6B0F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检索精度与证据定位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8E7C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同名文件、新旧版本、金额阈值、例外情形易混淆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DC11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BM25+向量+元数据+表格检索；RRF融合；重排序；最小充分证据选择</w:t>
            </w:r>
          </w:p>
        </w:tc>
      </w:tr>
      <w:tr w14:paraId="48F3C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D7A96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跨文件与跨模态推理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4A2F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制度正文定义口径、统计附件提供数值，答案需联合多个来源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85E3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文本/表格双通道RAG；查询拆解；多跳证据链；工具计算</w:t>
            </w:r>
          </w:p>
        </w:tc>
      </w:tr>
      <w:tr w14:paraId="7C27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2525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合规表达准确性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E460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数字、日期、主体、文号和“应当/可以/不得”等细微错误影响判断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FD66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Claim级事实核验；字段级校验器；引用一致性与冲突检测</w:t>
            </w:r>
          </w:p>
        </w:tc>
      </w:tr>
      <w:tr w14:paraId="4345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CDC5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低幻觉与拒答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AEB66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资料库外问题或证据不足时模型可能自由发挥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39FEB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证据充分度驱动的可信度评分；重新检索、澄清与拒答机制</w:t>
            </w:r>
          </w:p>
        </w:tc>
      </w:tr>
    </w:tbl>
    <w:p w14:paraId="7FAB323C">
      <w:pPr>
        <w:spacing w:after="20"/>
      </w:pPr>
    </w:p>
    <w:p w14:paraId="0D6173D2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1.3 项目目标</w:t>
      </w:r>
    </w:p>
    <w:p w14:paraId="557B7FDD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建设支持Word、PDF、Excel等多格式监管资料的结构化解析与统一入库流程，知识对象覆盖文件、章节、条款、段落、表格、指标和单元格。</w:t>
      </w:r>
    </w:p>
    <w:p w14:paraId="05B7C3B4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建立面向文件名称、监管主题、业务领域、条款编号、指标名称和时间维度的混合检索能力，实现最小充分证据定位。</w:t>
      </w:r>
    </w:p>
    <w:p w14:paraId="2B1660C1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支持监管制度事实查询、条款/阈值查询、业务流程核对、统计表格取数和跨文件场景合规判断五类典型问答。</w:t>
      </w:r>
    </w:p>
    <w:p w14:paraId="78B414F5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建立答案可验证机制，使每个关键结论能够回溯到文件、条款、页码、表格或单元格，并显式展示核验状态和可信度。</w:t>
      </w:r>
    </w:p>
    <w:p w14:paraId="406F5799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对知识库外、版本冲突或证据不足的问题进行澄清或拒答，避免“无依据回答”。</w:t>
      </w:r>
    </w:p>
    <w:p w14:paraId="0B7FB0A0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2 系统总体方案</w:t>
      </w:r>
    </w:p>
    <w:p w14:paraId="3CE46808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2.1 项目总体定位</w:t>
      </w:r>
    </w:p>
    <w:p w14:paraId="79E69290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BankReg-TrustRAG不是传统“文档聊天”系统，而是面向监管业务的证据驱动问答平台。其基本原则是“先检索证据、再完成推理、最后逐项核验”，把大语言模型限制在可验证证据边界内，并将结构化计算交由工具完成，从系统层面降低幻觉风险。</w:t>
      </w:r>
    </w:p>
    <w:p w14:paraId="4C23AF59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2.2 系统总体架构</w:t>
      </w:r>
    </w:p>
    <w:p w14:paraId="4C0F9129"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823585" cy="4165600"/>
            <wp:effectExtent l="0" t="0" r="1333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8F04">
      <w:pPr>
        <w:spacing w:after="120"/>
        <w:jc w:val="center"/>
      </w:pPr>
      <w:r>
        <w:rPr>
          <w:rFonts w:ascii="Noto Sans CJK SC" w:hAnsi="Noto Sans CJK SC" w:eastAsia="Noto Sans CJK SC"/>
          <w:b/>
          <w:sz w:val="18"/>
        </w:rPr>
        <w:t>图1  BankReg-TrustRAG总体架构</w:t>
      </w:r>
    </w:p>
    <w:p w14:paraId="38E81A2C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系统自上而下分为用户交互与业务应用层、问题理解与智能路由层、多路混合检索层、多跳推理与工具调用层、可信生成与证据核验层，以及底层知识基础设施。各层通</w:t>
      </w:r>
      <w:bookmarkStart w:id="0" w:name="_GoBack"/>
      <w:bookmarkEnd w:id="0"/>
      <w:r>
        <w:rPr>
          <w:rFonts w:ascii="Noto Sans CJK SC" w:hAnsi="Noto Sans CJK SC" w:eastAsia="Noto Sans CJK SC"/>
          <w:sz w:val="21"/>
        </w:rPr>
        <w:t>过统一的Evidence对象进行衔接，保证检索、推理、核验和展示使用同一份证据标识。</w:t>
      </w:r>
    </w:p>
    <w:p w14:paraId="582E6A66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2.3 端到端业务流程</w:t>
      </w:r>
    </w:p>
    <w:p w14:paraId="44A01289">
      <w:pPr>
        <w:pStyle w:val="14"/>
        <w:spacing w:after="40" w:line="324" w:lineRule="auto"/>
      </w:pPr>
      <w:r>
        <w:rPr>
          <w:rFonts w:ascii="Noto Sans CJK SC" w:hAnsi="Noto Sans CJK SC" w:eastAsia="Noto Sans CJK SC"/>
          <w:sz w:val="21"/>
        </w:rPr>
        <w:t>用户输入自然语言问题，系统首先识别问题类型，并抽取监管主题、机构主体、条款编号、指标、时间、文件名称等约束。</w:t>
      </w:r>
    </w:p>
    <w:p w14:paraId="7473ABD6">
      <w:pPr>
        <w:pStyle w:val="14"/>
        <w:spacing w:after="40" w:line="324" w:lineRule="auto"/>
      </w:pPr>
      <w:r>
        <w:rPr>
          <w:rFonts w:ascii="Noto Sans CJK SC" w:hAnsi="Noto Sans CJK SC" w:eastAsia="Noto Sans CJK SC"/>
          <w:sz w:val="21"/>
        </w:rPr>
        <w:t>Query Router依据问题类型选择检索策略：制度问题走文本混合检索，表格取数问题优先走表格结构检索，场景判断问题触发跨文件多跳流程。</w:t>
      </w:r>
    </w:p>
    <w:p w14:paraId="6B5DE0D9">
      <w:pPr>
        <w:pStyle w:val="14"/>
        <w:spacing w:after="40" w:line="324" w:lineRule="auto"/>
      </w:pPr>
      <w:r>
        <w:rPr>
          <w:rFonts w:ascii="Noto Sans CJK SC" w:hAnsi="Noto Sans CJK SC" w:eastAsia="Noto Sans CJK SC"/>
          <w:sz w:val="21"/>
        </w:rPr>
        <w:t>检索层并行执行BM25、向量检索、元数据过滤和表格结构检索，使用RRF进行融合，再通过重排序模型筛选最小充分证据。</w:t>
      </w:r>
    </w:p>
    <w:p w14:paraId="43084F1D">
      <w:pPr>
        <w:pStyle w:val="14"/>
        <w:spacing w:after="40" w:line="324" w:lineRule="auto"/>
      </w:pPr>
      <w:r>
        <w:rPr>
          <w:rFonts w:ascii="Noto Sans CJK SC" w:hAnsi="Noto Sans CJK SC" w:eastAsia="Noto Sans CJK SC"/>
          <w:sz w:val="21"/>
        </w:rPr>
        <w:t>对于需要计算的问题，Table Agent通过DuckDB/Pandas读取结构化表格并进行取数、同比/环比、差值或阈值比较，避免由LLM直接计算。</w:t>
      </w:r>
    </w:p>
    <w:p w14:paraId="7FF9BB04">
      <w:pPr>
        <w:pStyle w:val="14"/>
        <w:spacing w:after="40" w:line="324" w:lineRule="auto"/>
      </w:pPr>
      <w:r>
        <w:rPr>
          <w:rFonts w:ascii="Noto Sans CJK SC" w:hAnsi="Noto Sans CJK SC" w:eastAsia="Noto Sans CJK SC"/>
          <w:sz w:val="21"/>
        </w:rPr>
        <w:t>LLM仅基于当前证据生成候选答案，并输出结论、依据和引用。</w:t>
      </w:r>
    </w:p>
    <w:p w14:paraId="3086D530">
      <w:pPr>
        <w:pStyle w:val="14"/>
        <w:spacing w:after="40" w:line="324" w:lineRule="auto"/>
      </w:pPr>
      <w:r>
        <w:rPr>
          <w:rFonts w:ascii="Noto Sans CJK SC" w:hAnsi="Noto Sans CJK SC" w:eastAsia="Noto Sans CJK SC"/>
          <w:sz w:val="21"/>
        </w:rPr>
        <w:t>Verification Agent将答案拆解为Claim，逐项核对数字、日期、机构名称、文号、条款和规范强度，检测证据冲突与版本有效性。</w:t>
      </w:r>
    </w:p>
    <w:p w14:paraId="5A6E4D6C">
      <w:pPr>
        <w:pStyle w:val="14"/>
        <w:spacing w:after="40" w:line="324" w:lineRule="auto"/>
      </w:pPr>
      <w:r>
        <w:rPr>
          <w:rFonts w:ascii="Noto Sans CJK SC" w:hAnsi="Noto Sans CJK SC" w:eastAsia="Noto Sans CJK SC"/>
          <w:sz w:val="21"/>
        </w:rPr>
        <w:t>系统根据检索质量、证据充分度、核验结果、来源权威性和版本有效性计算可信度；高可信答案正常输出，低可信答案触发重检索、澄清或拒答。</w:t>
      </w:r>
    </w:p>
    <w:p w14:paraId="5D82D793">
      <w:pPr>
        <w:pStyle w:val="14"/>
        <w:spacing w:after="40" w:line="324" w:lineRule="auto"/>
      </w:pPr>
      <w:r>
        <w:rPr>
          <w:rFonts w:ascii="Noto Sans CJK SC" w:hAnsi="Noto Sans CJK SC" w:eastAsia="Noto Sans CJK SC"/>
          <w:sz w:val="21"/>
        </w:rPr>
        <w:t>用户可查看原始文件、页码/条款/单元格以及完整证据链，并可将问答记录用于后续评测与迭代。</w:t>
      </w:r>
    </w:p>
    <w:p w14:paraId="1FB8A614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3 核心功能模块设计</w:t>
      </w:r>
    </w:p>
    <w:p w14:paraId="08502676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3.1 多源异构文档结构化解析</w:t>
      </w:r>
    </w:p>
    <w:p w14:paraId="209BBCDD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针对Word制度原文，系统按“文件—章节—条款—段落”层级进行解析，保留doc_id、标题、发文机关、发布日期、文号、条款编号和来源URL等元数据；针对PDF，除文本内容外保存页码和位置坐标，支持前端原文定位；针对Excel，识别Sheet、标题行、多级表头、指标名称、期间、单位和数据单元格，将每个可查询数值转换为结构化记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948"/>
        <w:gridCol w:w="1871"/>
        <w:gridCol w:w="2948"/>
      </w:tblGrid>
      <w:tr w14:paraId="783F5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960B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文件类型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370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解析重点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A2AD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索引粒度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BD88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主要输出</w:t>
            </w:r>
          </w:p>
        </w:tc>
      </w:tr>
      <w:tr w14:paraId="37163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0A11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Word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0CAB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标题层级、条款编号、段落边界、表内文本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C1B3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条款级+段落级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CA26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制度条款对象、元数据</w:t>
            </w:r>
          </w:p>
        </w:tc>
      </w:tr>
      <w:tr w14:paraId="29A7A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423C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PDF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FCAD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页码、文本块、条款、表格区域、坐标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6913B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条款级+段落级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0403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可定位文本证据、页码/坐标</w:t>
            </w:r>
          </w:p>
        </w:tc>
      </w:tr>
      <w:tr w14:paraId="5540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C7CB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Excel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158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多级表头、合并单元格、指标、期间、单位、值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0018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表格级+单元格级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F8746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指标记录、单元格证据、结构化查询表</w:t>
            </w:r>
          </w:p>
        </w:tc>
      </w:tr>
    </w:tbl>
    <w:p w14:paraId="7778261A">
      <w:pPr>
        <w:spacing w:after="20"/>
      </w:pPr>
    </w:p>
    <w:p w14:paraId="35E26F0B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3.2 “四库一图”知识基础设施</w:t>
      </w:r>
    </w:p>
    <w:p w14:paraId="020D8F47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制度条款库：保存监管制度、政策规章和流程文件的章节、条款、段落及其有效版本。</w:t>
      </w:r>
    </w:p>
    <w:p w14:paraId="6E55D253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监管表格库：保存统计附件中的指标、期间、单位、数值、Sheet、行列标题和单元格地址。</w:t>
      </w:r>
    </w:p>
    <w:p w14:paraId="32FAF901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文档元数据库：统一管理doc_id、标题、发文机关、发布日期、文号、文件类型、主题、来源URL、SHA-256、版本和有效状态。</w:t>
      </w:r>
    </w:p>
    <w:p w14:paraId="72ECE6E1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向量知识库：保存条款、段落和表格语义描述的Embedding，用于同义表达和自然语言问题召回。</w:t>
      </w:r>
    </w:p>
    <w:p w14:paraId="3FAD7D54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监管关系图：建立“文件—修订/废止—文件”“条款—规定—指标”“指标—对应—统计表”“文件—引用—文件”等关系，用于版本追踪和跨文件多跳推理。</w:t>
      </w:r>
    </w:p>
    <w:p w14:paraId="76868F13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3.3 问题理解与智能路由</w:t>
      </w:r>
    </w:p>
    <w:p w14:paraId="2A9BEEAA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系统将用户问题映射为五类标准任务：监管制度事实题、条款/阈值题、业务流程题、统计表格取数题和跨文件场景判断题。分类结果不仅决定Prompt模板，更直接决定后续检索通道和工具调用策略。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252"/>
        <w:gridCol w:w="3118"/>
      </w:tblGrid>
      <w:tr w14:paraId="372C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1C04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问题类型</w:t>
            </w:r>
          </w:p>
        </w:tc>
        <w:tc>
          <w:tcPr>
            <w:tcW w:w="42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2F15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示例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CF97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优先检索/工具</w:t>
            </w:r>
          </w:p>
        </w:tc>
      </w:tr>
      <w:tr w14:paraId="2DB67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4A0C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监管制度事实题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D9E6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“某办法适用于哪些机构？”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C4F6B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BM25+向量+元数据</w:t>
            </w:r>
          </w:p>
        </w:tc>
      </w:tr>
      <w:tr w14:paraId="1F5B3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049C6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条款/阈值题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F935B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“资本充足率最低监管要求是多少？”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A40E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条款/数字精确检索+版本过滤</w:t>
            </w:r>
          </w:p>
        </w:tc>
      </w:tr>
      <w:tr w14:paraId="0B9EB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A042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业务流程题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433E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“某业务办理需要哪些步骤和材料？”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6A29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章节级检索+流程条款聚合</w:t>
            </w:r>
          </w:p>
        </w:tc>
      </w:tr>
      <w:tr w14:paraId="76471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D51F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统计表格取数题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DD2B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“2025年3月某指标是多少？”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E4F9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表格结构检索+DuckDB/Pandas</w:t>
            </w:r>
          </w:p>
        </w:tc>
      </w:tr>
      <w:tr w14:paraId="61789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6268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跨文件场景判断题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9A65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“根据监管要求，该期报表数值是否合规？”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7D7D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制度检索→口径定位→表格取数→工具比较</w:t>
            </w:r>
          </w:p>
        </w:tc>
      </w:tr>
    </w:tbl>
    <w:p w14:paraId="3BDBF54C">
      <w:pPr>
        <w:spacing w:after="20"/>
      </w:pPr>
    </w:p>
    <w:p w14:paraId="366FA1B7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3.4 四路混合检索与证据重排</w:t>
      </w:r>
    </w:p>
    <w:p w14:paraId="5661E61A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检索层采用BM25、向量语义检索、元数据过滤和表格结构检索四路召回。BM25擅长条款编号、文号、数字和专业术语的精确匹配；向量检索负责自然语言同义表达；元数据过滤用于限定发文机关、主题、发布日期、文件版本和文件类型；表格结构检索根据指标、期间、表头和Sheet完成精确取数。多路候选通过RRF进行融合，再使用BGE-Reranker等重排序模型进行语义细排。</w:t>
      </w:r>
    </w:p>
    <w:p w14:paraId="6F7374A0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为降低“召回很多但证据不充分”的问题，系统增加最小充分证据选择模块。对于普通事实题只保留能直接支持答案的少量证据；对于多跳问题，则保留不同推理步骤所需的互补证据，避免向LLM输入大量无关上下文。</w:t>
      </w:r>
    </w:p>
    <w:p w14:paraId="52DC79F7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3.5 文本/表格双通道RAG与多跳推理</w:t>
      </w:r>
    </w:p>
    <w:p w14:paraId="22F1DF48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文本和表格采用两种不同证据表示。文本通道输出条款级或段落级证据，表格通道同时输出“语义表示”和“原始结构表示”。例如某指标在2025年3月的数值既可表示为“指标=不良贷款率，期间=2025-03，值=1.21%，单位=%”，也保留“Sheet=主要监管指标，Cell=D8”等结构位置。</w:t>
      </w:r>
    </w:p>
    <w:p w14:paraId="3C90DE35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对于“根据监管规定，某期指标是否满足要求”一类跨文件问题，系统执行多跳推理：第一跳检索制度，获得监管阈值与适用主体；第二跳定位指标口径；第三跳从统计附件读取实际数值；第四步由确定性工具执行比较；第五步再由LLM根据证据组织结论并生成解释。</w:t>
      </w:r>
    </w:p>
    <w:p w14:paraId="48087242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3.6 可信生成与Claim级事实核验</w:t>
      </w:r>
    </w:p>
    <w:p w14:paraId="223C65B9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候选答案生成后，系统不直接返回，而是将答案拆解为最小可核验Claim。每个Claim关联一个或多个Evidence ID，核验器分别检查数字、日期、机构主体、文号、条款编号、规范强度及版本有效性。任何关键Claim没有证据支持，或证据之间存在冲突，都会降低可信度并触发重检索或拒答。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969"/>
      </w:tblGrid>
      <w:tr w14:paraId="322E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071F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核验器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0AD7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核验内容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5EBE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典型错误</w:t>
            </w:r>
          </w:p>
        </w:tc>
      </w:tr>
      <w:tr w14:paraId="1DA6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C29C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数字核验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CD6B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金额、比例、期限、统计值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BC81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10.5%误写为10%；30日误写为30个工作日</w:t>
            </w:r>
          </w:p>
        </w:tc>
      </w:tr>
      <w:tr w14:paraId="25BE7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40B36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日期核验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95C7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发布日期、生效日期、统计期间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382C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将发布日期当作生效日期</w:t>
            </w:r>
          </w:p>
        </w:tc>
      </w:tr>
      <w:tr w14:paraId="7CF16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735C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主体核验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95D4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发文机关、适用机构、业务主体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BB4E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把商业银行规定泛化到所有金融机构</w:t>
            </w:r>
          </w:p>
        </w:tc>
      </w:tr>
      <w:tr w14:paraId="06DE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6449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文号/条款核验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D5C6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文号、章、条、款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BE97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引用错误文件或错误条款</w:t>
            </w:r>
          </w:p>
        </w:tc>
      </w:tr>
      <w:tr w14:paraId="742C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5072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规范强度核验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7B8E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应当、可以、不得、原则上、鼓励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7415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将“可以”改写为“必须”</w:t>
            </w:r>
          </w:p>
        </w:tc>
      </w:tr>
      <w:tr w14:paraId="5382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CF3F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版本核验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8AFC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现行、修订、废止关系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CCC7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用旧版规定回答“当前”问题</w:t>
            </w:r>
          </w:p>
        </w:tc>
      </w:tr>
    </w:tbl>
    <w:p w14:paraId="5421B5AE">
      <w:pPr>
        <w:spacing w:after="20"/>
      </w:pPr>
    </w:p>
    <w:p w14:paraId="37F99BBC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3.7 动态可信度与拒答机制</w:t>
      </w:r>
    </w:p>
    <w:p w14:paraId="314B34D1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系统将可信度定义为检索相关性、证据充分度、事实核验得分、来源权威性和版本有效性的加权结果：C = w1·R + w2·E + w3·V + w4·S + w5·F。权重在开发阶段通过验证集调优，并设置高、中、低三档决策阈值。高可信答案直接输出；中可信问题优先重写查询并重新检索；低可信或资料库外问题给出明确拒答，并说明缺失的证据类型。</w:t>
      </w:r>
    </w:p>
    <w:p w14:paraId="376A8592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3.8 全链路证据追溯</w:t>
      </w:r>
    </w:p>
    <w:p w14:paraId="68445EB5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最终回答页面除展示结论外，还展示文件名称、发文机关、文号、发布日期、条款编号、PDF页码或Excel单元格、来源URL、版本状态以及核验结果。用户可以点击证据卡片回到原始文件位置，实现“答案—Claim—Evidence—原始资料”的完整追溯链。</w:t>
      </w:r>
    </w:p>
    <w:p w14:paraId="2AFA6E43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4 关键技术与创新点</w:t>
      </w:r>
    </w:p>
    <w:p w14:paraId="2DCED340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4.1 创新点一：监管结构感知的层次化解析</w:t>
      </w:r>
    </w:p>
    <w:p w14:paraId="5B87F7BD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针对普通固定长度Chunk破坏监管文件结构的问题，本项目以章节、条款和表格为语义边界，同时保留父子层级与元数据。在检索阶段既可精确返回单条规定，也可按需向上扩展章节上下文，从而兼顾“最小证据”和“完整语境”。</w:t>
      </w:r>
    </w:p>
    <w:p w14:paraId="70F2D073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4.2 创新点二：文本—表格双通道混合RAG</w:t>
      </w:r>
    </w:p>
    <w:p w14:paraId="39DFF13B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系统将制度文本检索与表格结构查询解耦：文本问题通过BM25、向量和元数据混合检索解决，表格问题优先通过结构化指标和期间过滤完成精确取数，再将结果转为可引用Evidence。该设计避免将Excel简单转成文本后Embedding造成的表头丢失、单位混淆和数值召回不稳定。</w:t>
      </w:r>
    </w:p>
    <w:p w14:paraId="1DDC0BCF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4.3 创新点三：制度—指标—报表跨文件多跳推理</w:t>
      </w:r>
    </w:p>
    <w:p w14:paraId="15C7EA7E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通过监管关系图和查询规划器，系统可按“制度规则→指标定义/口径→统计附件→实际数值→工具计算→合规判断”构建显式推理链，并记录每一跳的输入、输出和证据来源。这一机制面向赛题的跨文件场景判断问题，能够显著提升答案可解释性和可复现性。</w:t>
      </w:r>
    </w:p>
    <w:p w14:paraId="126DF7AB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4.4 创新点四：Claim-Level事实核验</w:t>
      </w:r>
    </w:p>
    <w:p w14:paraId="5064F97D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区别于仅在Prompt中要求“不要幻觉”的做法，本项目在生成后新增独立核验链路。答案被拆解为可验证Claim后，关键字段采用规则匹配、结构化比对和LLM判定相结合的方式进行校验，实现“先生成、后验证、可纠正”。对关键数字和表格值优先采用确定性比对，不依赖模型主观判断。</w:t>
      </w:r>
    </w:p>
    <w:p w14:paraId="5D005F62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4.5 创新点五：证据充分度驱动的动态拒答</w:t>
      </w:r>
    </w:p>
    <w:p w14:paraId="51308F9D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系统不使用单一向量相似度阈值判断是否回答，而是综合检索相关性、证据覆盖度、来源权威性、版本有效性和Claim核验结果。对于证据不足的问题，系统先尝试Query改写和多路重检索；仍不足时提示用户补充时间、文件或业务主体；最后才拒答。该机制兼顾可用性与安全性。</w:t>
      </w:r>
    </w:p>
    <w:p w14:paraId="05B6BD44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5 系统实现方案</w:t>
      </w:r>
    </w:p>
    <w:p w14:paraId="6F9A3C8C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5.1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948"/>
        <w:gridCol w:w="4706"/>
      </w:tblGrid>
      <w:tr w14:paraId="7F3A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0861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6239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建议技术</w:t>
            </w:r>
          </w:p>
        </w:tc>
        <w:tc>
          <w:tcPr>
            <w:tcW w:w="470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CD3D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 w14:paraId="5EF15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4AE0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CE87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Vue 3 / HTML + JavaScript + ECharts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57D6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问答、证据卡片、统计图表、原文定位</w:t>
            </w:r>
          </w:p>
        </w:tc>
      </w:tr>
      <w:tr w14:paraId="4E1D2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DF7C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DD5B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FastAPI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F99D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统一API、鉴权、任务编排、日志</w:t>
            </w:r>
          </w:p>
        </w:tc>
      </w:tr>
      <w:tr w14:paraId="28E7E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B4B9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智能体/流程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8CA7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LangGraph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09E6B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Query、Retrieval、Table、Verification等节点编排</w:t>
            </w:r>
          </w:p>
        </w:tc>
      </w:tr>
      <w:tr w14:paraId="69345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8CC2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关系数据库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B6B2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MySQL / PostgreSQL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09D3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文档、元数据、问答记录、评测记录</w:t>
            </w:r>
          </w:p>
        </w:tc>
      </w:tr>
      <w:tr w14:paraId="4516E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3B9C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向量检索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78726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FAISS / Qdrant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53E9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条款、段落和表格语义检索</w:t>
            </w:r>
          </w:p>
        </w:tc>
      </w:tr>
      <w:tr w14:paraId="1CF6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9BBF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关键词检索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D83F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BM25 / Elasticsearch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A22B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条款、文号、数字和专业术语检索</w:t>
            </w:r>
          </w:p>
        </w:tc>
      </w:tr>
      <w:tr w14:paraId="5AEB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8905B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Embedding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8F9A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BGE-M3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4CDA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中文金融语义向量化</w:t>
            </w:r>
          </w:p>
        </w:tc>
      </w:tr>
      <w:tr w14:paraId="043B6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EC3F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Reranker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488F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BGE-Reranker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6EDB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混合召回候选重排序</w:t>
            </w:r>
          </w:p>
        </w:tc>
      </w:tr>
      <w:tr w14:paraId="05941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281D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表格工具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3688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openpyxl + Pandas + DuckDB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8531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Excel解析、结构化取数和精确计算</w:t>
            </w:r>
          </w:p>
        </w:tc>
      </w:tr>
      <w:tr w14:paraId="2EDB9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84D1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文档解析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20D4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python-docx + PyMuPDF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608B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Word/PDF结构化解析</w:t>
            </w:r>
          </w:p>
        </w:tc>
      </w:tr>
      <w:tr w14:paraId="251C9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2A36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LLM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9A6C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DeepSeek / Qwen / OpenAI兼容模型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461C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问题理解、查询规划、证据组织、答案生成与辅助核验</w:t>
            </w:r>
          </w:p>
        </w:tc>
      </w:tr>
      <w:tr w14:paraId="39790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B90F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部署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30BB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Docker Compose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9E00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统一依赖、可复现运行环境</w:t>
            </w:r>
          </w:p>
        </w:tc>
      </w:tr>
    </w:tbl>
    <w:p w14:paraId="2C047020">
      <w:pPr>
        <w:spacing w:after="20"/>
      </w:pPr>
    </w:p>
    <w:p w14:paraId="635BF995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5.2 核心数据表设计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535"/>
        <w:gridCol w:w="2721"/>
      </w:tblGrid>
      <w:tr w14:paraId="4C733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D37D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数据表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625B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关键字段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8741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</w:tr>
      <w:tr w14:paraId="2CB6E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007E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documents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79AC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doc_id, title, authority, document_no, publish_date, effective_date, version, status, source_url, sha256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C9656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文档主表和版本管理</w:t>
            </w:r>
          </w:p>
        </w:tc>
      </w:tr>
      <w:tr w14:paraId="7E3C8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BB5A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document_chunks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6FAF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doc_id, chapter, article_no, paragraph_no, page, bbox, content, embedding_id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9B4A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条款/段落索引与PDF定位</w:t>
            </w:r>
          </w:p>
        </w:tc>
      </w:tr>
      <w:tr w14:paraId="2FCA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9A17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regulatory_tables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741D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doc_id, sheet_name, table_name, unit, period_range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0553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统计表基本信息</w:t>
            </w:r>
          </w:p>
        </w:tc>
      </w:tr>
      <w:tr w14:paraId="1D0E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4658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regulatory_cells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729C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table_id, indicator, row_header, column_header, period, value, unit, cell_address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27E1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单元格级取数与证据定位</w:t>
            </w:r>
          </w:p>
        </w:tc>
      </w:tr>
      <w:tr w14:paraId="1ACF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51BB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document_relations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B3CC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source_doc, relation_type, target_doc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9866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修订、废止、引用、附件等关系</w:t>
            </w:r>
          </w:p>
        </w:tc>
      </w:tr>
      <w:tr w14:paraId="13C5F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CB2A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qa_records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9752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question, qa_type, query_plan, evidence_ids, answer, confidence, verification_result, latency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56A1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问答过程审计与复现</w:t>
            </w:r>
          </w:p>
        </w:tc>
      </w:tr>
      <w:tr w14:paraId="13B59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9B71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evaluation_records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CC50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question_id, expected_answer, actual_answer, retrieval_hit, citation_hit, numeric_correct, latency</w:t>
            </w:r>
          </w:p>
        </w:tc>
        <w:tc>
          <w:tcPr>
            <w:tcW w:w="272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1608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实验评测与统计</w:t>
            </w:r>
          </w:p>
        </w:tc>
      </w:tr>
    </w:tbl>
    <w:p w14:paraId="1E2A77F3">
      <w:pPr>
        <w:spacing w:after="20"/>
      </w:pPr>
    </w:p>
    <w:p w14:paraId="5E12B7A6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5.3 核心Agent与职责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28"/>
        <w:gridCol w:w="3628"/>
        <w:gridCol w:w="2098"/>
      </w:tblGrid>
      <w:tr w14:paraId="05126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1B7B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节点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170D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w="36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DF6B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核心职责</w:t>
            </w:r>
          </w:p>
        </w:tc>
        <w:tc>
          <w:tcPr>
            <w:tcW w:w="209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F8C2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</w:tr>
      <w:tr w14:paraId="2E9BC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7805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Query Agent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5721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用户问题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5996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五类问题分类、实体/时间/指标抽取、Query改写和任务拆分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31EC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结构化QueryPlan</w:t>
            </w:r>
          </w:p>
        </w:tc>
      </w:tr>
      <w:tr w14:paraId="3BDAD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904A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Retrieval Agent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A51F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QueryPlan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3A60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调用BM25/Vector/Metadata/Table检索，融合与重排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C460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Evidence候选集</w:t>
            </w:r>
          </w:p>
        </w:tc>
      </w:tr>
      <w:tr w14:paraId="25559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E6D5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Table Agent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1CC0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表格查询子任务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6FB7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指标定位、期间过滤、数值读取、确定性计算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54C8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结构化数值证据与计算过程</w:t>
            </w:r>
          </w:p>
        </w:tc>
      </w:tr>
      <w:tr w14:paraId="19F1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5CBF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Generation Agent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390A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最小充分证据集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CB336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基于证据组织答案，禁止越界生成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9D59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候选答案+Claim+引用</w:t>
            </w:r>
          </w:p>
        </w:tc>
      </w:tr>
      <w:tr w14:paraId="7AE5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2362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Verification Agent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70F4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候选答案与Evidence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9AC8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字段核验、版本检查、证据冲突判断、可信度计算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A870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7"/>
              </w:rPr>
              <w:t>核验报告与输出决策</w:t>
            </w:r>
          </w:p>
        </w:tc>
      </w:tr>
    </w:tbl>
    <w:p w14:paraId="235723C8">
      <w:pPr>
        <w:spacing w:after="20"/>
      </w:pPr>
    </w:p>
    <w:p w14:paraId="4A40F751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6 实验方案与评价指标</w:t>
      </w:r>
    </w:p>
    <w:p w14:paraId="5890E5EA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6.1 数据与评测集构建</w:t>
      </w:r>
    </w:p>
    <w:p w14:paraId="7356884A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赛题配套数据由三部分组成：约100个NFRA Word/PDF/附件混合文件、约100个Excel监管统计附件，以及20份重点监管文件目录和42条种子问答样本。项目将在不改变官方数据含义的前提下，对原始文件完成结构化解析，并基于五类问题扩展评测集。标准答案建议保留answer、evidence、source_title、source_url、local_path、difficulty、qa_type和tags等字段，确保检索与生成指标可分别计算。</w:t>
      </w:r>
    </w:p>
    <w:p w14:paraId="45117968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6.2 目标指标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814"/>
        <w:gridCol w:w="4706"/>
      </w:tblGrid>
      <w:tr w14:paraId="4BE8C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6B60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6F4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赛题建议目标</w:t>
            </w:r>
          </w:p>
        </w:tc>
        <w:tc>
          <w:tcPr>
            <w:tcW w:w="470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E674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项目实现方式</w:t>
            </w:r>
          </w:p>
        </w:tc>
      </w:tr>
      <w:tr w14:paraId="2CAC4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682A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制度事实类准确率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E338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≥85%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E3AA6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五类问题分层测试；Exact/LLM Judge+人工抽检</w:t>
            </w:r>
          </w:p>
        </w:tc>
      </w:tr>
      <w:tr w14:paraId="68E1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DEDA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表格取数类准确率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B00D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≥80%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09F5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单元格级Ground Truth；数值/单位/期间联合判定</w:t>
            </w:r>
          </w:p>
        </w:tc>
      </w:tr>
      <w:tr w14:paraId="2A97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111B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证据引用命中率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8AA8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≥90%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DA57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答案引用是否覆盖标准Evidence</w:t>
            </w:r>
          </w:p>
        </w:tc>
      </w:tr>
      <w:tr w14:paraId="659A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B54D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关键事实错误率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4AFA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≤5%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1029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数字、日期、机构名称、文号逐项检测</w:t>
            </w:r>
          </w:p>
        </w:tc>
      </w:tr>
      <w:tr w14:paraId="1B8B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BEF6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资料库外/依据不足拒答或澄清率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30DE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≥80%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800F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构造OOD和证据缺失问题测试</w:t>
            </w:r>
          </w:p>
        </w:tc>
      </w:tr>
      <w:tr w14:paraId="70C9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5D69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知识库规模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D66A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≥200份制度/附件文件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1DBA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支持批量解析与增量更新</w:t>
            </w:r>
          </w:p>
        </w:tc>
      </w:tr>
      <w:tr w14:paraId="2775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CFFFB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证据粒度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0A75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条款级、段落级、表格单元级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1027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统一Evidence Schema</w:t>
            </w:r>
          </w:p>
        </w:tc>
      </w:tr>
      <w:tr w14:paraId="2A69C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B374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响应时间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4709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满足比赛平台要求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6A7B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检索并行化、缓存、轻量重排序与超时策略</w:t>
            </w:r>
          </w:p>
        </w:tc>
      </w:tr>
    </w:tbl>
    <w:p w14:paraId="33D26540">
      <w:pPr>
        <w:spacing w:after="20"/>
      </w:pPr>
    </w:p>
    <w:p w14:paraId="5AA7260C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6.3 消融实验设计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989"/>
        <w:gridCol w:w="2381"/>
      </w:tblGrid>
      <w:tr w14:paraId="2D098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F25C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实验组</w:t>
            </w:r>
          </w:p>
        </w:tc>
        <w:tc>
          <w:tcPr>
            <w:tcW w:w="498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2327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方案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B5AD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目的</w:t>
            </w:r>
          </w:p>
        </w:tc>
      </w:tr>
      <w:tr w14:paraId="65349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E875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A Baseline RAG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30BA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仅向量检索 + LLM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0B88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建立通用RAG基线</w:t>
            </w:r>
          </w:p>
        </w:tc>
      </w:tr>
      <w:tr w14:paraId="3166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1184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B Hybrid RAG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5A1F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BM25 + Vector + LLM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92A2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验证关键词/语义混合检索价值</w:t>
            </w:r>
          </w:p>
        </w:tc>
      </w:tr>
      <w:tr w14:paraId="4CA8D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C872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 Structure RAG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236A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Hybrid + Metadata + Table Retrieval + Reranker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44EE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验证结构化文档和表格检索价值</w:t>
            </w:r>
          </w:p>
        </w:tc>
      </w:tr>
      <w:tr w14:paraId="0C30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DDA7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 TrustRAG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96C8B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C + Multi-hop + Claim Verification + Dynamic Refusal</w:t>
            </w:r>
          </w:p>
        </w:tc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15A7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验证可信核验与拒答机制的整体提升</w:t>
            </w:r>
          </w:p>
        </w:tc>
      </w:tr>
    </w:tbl>
    <w:p w14:paraId="556EA970">
      <w:pPr>
        <w:spacing w:after="20"/>
      </w:pPr>
    </w:p>
    <w:p w14:paraId="1D49A4BA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最终报告将对各组的事实准确率、表格准确率、Recall@K、MRR、NDCG、证据引用命中率、关键事实错误率、拒答准确率和平均/P95响应时间进行对比。所有结果以真实实验为准，项目书中的赛题目标值不作为已达成结果。</w:t>
      </w:r>
    </w:p>
    <w:p w14:paraId="531E3839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6.4 典型测试场景</w:t>
      </w:r>
    </w:p>
    <w:p w14:paraId="244E4B1C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精确条款：询问某监管制度的适用范围、禁止性规定、金额阈值或保存期限。</w:t>
      </w:r>
    </w:p>
    <w:p w14:paraId="0E7FA150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版本冲突：询问“当前规定”与“某历史时点规定”，检验新旧版本过滤和修订关系。</w:t>
      </w:r>
    </w:p>
    <w:p w14:paraId="017146A6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统计取数：从Excel监管附件中按指标、期间和单位定位数值。</w:t>
      </w:r>
    </w:p>
    <w:p w14:paraId="6176294C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计算题：基于两个或多个统计期间完成差值、同比/环比或监管阈值比较。</w:t>
      </w:r>
    </w:p>
    <w:p w14:paraId="0CDB84DE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跨文件判断：先从制度找监管要求，再从统计附件读取数值，最终给出场景合规结论。</w:t>
      </w:r>
    </w:p>
    <w:p w14:paraId="46FE62C1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知识库外问题：不存在对应文件或证据不足时，检验澄清与拒答。</w:t>
      </w:r>
    </w:p>
    <w:p w14:paraId="5156C021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7 系统安全、合规与可复现设计</w:t>
      </w:r>
    </w:p>
    <w:p w14:paraId="6A3261AB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7.1 数据合规</w:t>
      </w:r>
    </w:p>
    <w:p w14:paraId="37DAD409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项目仅使用公开官方资料和命题单位授权资料，不引入客户个人信息、账户信息、交易明细等敏感数据。系统在数据入库时保留来源URL、SHA-256和本地路径，用于来源核验、去重和版本管理。</w:t>
      </w:r>
    </w:p>
    <w:p w14:paraId="115CEAE2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7.2 生成安全控制</w:t>
      </w:r>
    </w:p>
    <w:p w14:paraId="5E938BED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强制答案引用Evidence ID，未引用关键结论不得进入高可信输出。</w:t>
      </w:r>
    </w:p>
    <w:p w14:paraId="39D9E4BC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对“应当、可以、不得、原则上”等规范词设置高优先级核验，避免语义强度被模型改写。</w:t>
      </w:r>
    </w:p>
    <w:p w14:paraId="296F76C2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对数值计算使用工具而非LLM自由计算，并保存计算过程。</w:t>
      </w:r>
    </w:p>
    <w:p w14:paraId="28360581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对资料库外问题、证据冲突问题和版本不明确问题执行澄清或拒答。</w:t>
      </w:r>
    </w:p>
    <w:p w14:paraId="1062F537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保存QueryPlan、检索结果、重排序分数、Prompt版本、模型版本和核验结果，保证问答可审计、可复现。</w:t>
      </w:r>
    </w:p>
    <w:p w14:paraId="05C2BB1E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7.3 可运行性与部署</w:t>
      </w:r>
    </w:p>
    <w:p w14:paraId="3709B992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为满足大赛统一可运行性测试要求，系统采用Docker Compose封装后端服务、数据库和检索服务，提供requirements/环境文件、初始化脚本、示例数据和一键启动说明。对于需要远程大模型API的功能，提供超时、重试、缓存和降级策略，避免因网络波动导致系统整体不可用。</w:t>
      </w:r>
    </w:p>
    <w:p w14:paraId="4CB437E7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8 项目实施计划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649"/>
        <w:gridCol w:w="2494"/>
      </w:tblGrid>
      <w:tr w14:paraId="0C888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5685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w="464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4610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主要任务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0E26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阶段成果</w:t>
            </w:r>
          </w:p>
        </w:tc>
      </w:tr>
      <w:tr w14:paraId="43B36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4184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阶段1：数据摸底与解析（第1周）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A9CA2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完成数据盘点、manifest解析；实现Word/PDF/Excel解析器；确定统一Evidence Schema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51B8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结构化知识库V1、解析质量报告</w:t>
            </w:r>
          </w:p>
        </w:tc>
      </w:tr>
      <w:tr w14:paraId="4A153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46F36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阶段2：检索基线（第1-2周）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C917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完成BM25、Embedding、元数据过滤、RRF和Reranker；建立基础问答接口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CF326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Hybrid RAG V1、基线评测</w:t>
            </w:r>
          </w:p>
        </w:tc>
      </w:tr>
      <w:tr w14:paraId="76A9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B072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阶段3：表格与多跳（第2-3周）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5C58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完成Excel结构化入库、Table Agent、跨文件QueryPlan和工具计算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E9E7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Table RAG、多跳场景Demo</w:t>
            </w:r>
          </w:p>
        </w:tc>
      </w:tr>
      <w:tr w14:paraId="2581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6062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阶段4：可信核验（第3周）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6F3E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完成Claim拆解、数字/日期/主体/文号/规范词/版本核验和动态拒答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08A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TrustRAG核心链路</w:t>
            </w:r>
          </w:p>
        </w:tc>
      </w:tr>
      <w:tr w14:paraId="08E1E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5560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阶段5：前端与溯源（第3-4周）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7603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实现问答、证据卡片、原文定位、可信度和历史记录页面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CDD7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完整可运行Web系统</w:t>
            </w:r>
          </w:p>
        </w:tc>
      </w:tr>
      <w:tr w14:paraId="1767F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D0D0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阶段6：评测与优化（第4周）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F455B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扩展五类评测集、消融实验、性能优化、错误分析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1DCD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评测报告、实验图表</w:t>
            </w:r>
          </w:p>
        </w:tc>
      </w:tr>
      <w:tr w14:paraId="3177F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A16CB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阶段7：封装与材料（提交前）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0050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Docker封装、README、复现实验脚本、项目书/精益画布/演示视频准备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377B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最终提交包</w:t>
            </w:r>
          </w:p>
        </w:tc>
      </w:tr>
    </w:tbl>
    <w:p w14:paraId="263E4BE9">
      <w:pPr>
        <w:spacing w:after="20"/>
      </w:pPr>
    </w:p>
    <w:p w14:paraId="5E9F285A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8.1 建议团队分工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71DC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F5A4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角色</w:t>
            </w:r>
          </w:p>
        </w:tc>
        <w:tc>
          <w:tcPr>
            <w:tcW w:w="669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3F4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主要职责</w:t>
            </w:r>
          </w:p>
        </w:tc>
      </w:tr>
      <w:tr w14:paraId="515E3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216C8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后端与系统负责人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F559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FastAPI、数据库、统一Evidence对象、问答API、部署封装</w:t>
            </w:r>
          </w:p>
        </w:tc>
      </w:tr>
      <w:tr w14:paraId="49D6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DCD2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RAG/检索负责人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EF9DB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Embedding、BM25、RRF、Reranker、Query Router、检索评测</w:t>
            </w:r>
          </w:p>
        </w:tc>
      </w:tr>
      <w:tr w14:paraId="67F67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1602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文档与表格负责人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8CBA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Word/PDF/Excel解析、表头重建、指标/期间抽取、数据质量</w:t>
            </w:r>
          </w:p>
        </w:tc>
      </w:tr>
      <w:tr w14:paraId="146BD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1A39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Agent与可信核验负责人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FE16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LangGraph、多跳规划、Claim验证、动态拒答、Prompt版本管理</w:t>
            </w:r>
          </w:p>
        </w:tc>
      </w:tr>
      <w:tr w14:paraId="3ED15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23ED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前端与实验负责人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BE22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前端页面、证据可视化、原文定位、评测集、消融实验、图表与演示</w:t>
            </w:r>
          </w:p>
        </w:tc>
      </w:tr>
    </w:tbl>
    <w:p w14:paraId="1C72B083">
      <w:pPr>
        <w:spacing w:after="20"/>
      </w:pPr>
    </w:p>
    <w:p w14:paraId="7B76A577">
      <w:pPr>
        <w:spacing w:after="60" w:line="348" w:lineRule="auto"/>
      </w:pPr>
      <w:r>
        <w:rPr>
          <w:rFonts w:ascii="Noto Sans CJK SC" w:hAnsi="Noto Sans CJK SC" w:eastAsia="Noto Sans CJK SC"/>
          <w:sz w:val="21"/>
        </w:rPr>
        <w:t>注：具体角色可由团队人数合并承担，团队成员姓名和工作量可在最终报名材料中补充。</w:t>
      </w:r>
    </w:p>
    <w:p w14:paraId="52F829B2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9 风险分析与应对策略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948"/>
        <w:gridCol w:w="4252"/>
      </w:tblGrid>
      <w:tr w14:paraId="0AF0B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0CBF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风险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509F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可能影响</w:t>
            </w:r>
          </w:p>
        </w:tc>
        <w:tc>
          <w:tcPr>
            <w:tcW w:w="42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7C1E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应对策略</w:t>
            </w:r>
          </w:p>
        </w:tc>
      </w:tr>
      <w:tr w14:paraId="426E6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7A52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PDF/Word解析结构不稳定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494F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条款层级丢失，检索命中率下降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0FA2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规则+版面特征结合；异常文件人工标记；保留原始页码与文本回退</w:t>
            </w:r>
          </w:p>
        </w:tc>
      </w:tr>
      <w:tr w14:paraId="4D0A4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F0BC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Excel多级表头/合并单元格复杂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E215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指标与期间错配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1AA2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表头传播与层级拼接；结构校验；单元格地址全程保留</w:t>
            </w:r>
          </w:p>
        </w:tc>
      </w:tr>
      <w:tr w14:paraId="45CB6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DC0A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新旧版本混淆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63A5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回答引用失效规定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308A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建立effective/expire/status字段和修订/废止关系；“当前”问题强制版本过滤</w:t>
            </w:r>
          </w:p>
        </w:tc>
      </w:tr>
      <w:tr w14:paraId="45B8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85FC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LLM生成数字幻觉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1BB4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关键事实错误率升高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496D3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数值必须来自Evidence；表格值工具读取；生成后数值正则核验</w:t>
            </w:r>
          </w:p>
        </w:tc>
      </w:tr>
      <w:tr w14:paraId="16AD4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1CB6F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远程API不稳定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C5DB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比赛统一测试失败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6AFD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超时重试、结果缓存、可选本地模型/降级模式、健康检查</w:t>
            </w:r>
          </w:p>
        </w:tc>
      </w:tr>
      <w:tr w14:paraId="1779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18665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检索召回过多导致上下文冗余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3822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响应慢、回答偏离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4831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最小充分证据选择、TopK动态控制、并行检索与缓存</w:t>
            </w:r>
          </w:p>
        </w:tc>
      </w:tr>
      <w:tr w14:paraId="029C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825C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拒答过度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1523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可用性下降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34D00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8"/>
              </w:rPr>
              <w:t>三段式策略：重检索→澄清→拒答，并通过验证集调阈值</w:t>
            </w:r>
          </w:p>
        </w:tc>
      </w:tr>
    </w:tbl>
    <w:p w14:paraId="7801210B">
      <w:pPr>
        <w:spacing w:after="20"/>
      </w:pPr>
    </w:p>
    <w:p w14:paraId="55A97535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10 预期成果与应用价值</w:t>
      </w:r>
    </w:p>
    <w:p w14:paraId="5D0F24C4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10.1 预期成果</w:t>
      </w:r>
    </w:p>
    <w:p w14:paraId="6E437DCA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一套可直接运行和测试的BankReg-TrustRAG Web系统及API服务。</w:t>
      </w:r>
    </w:p>
    <w:p w14:paraId="3FB9693C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一套面向银行监管制度、政策规章和统计报表的结构化知识库与索引。</w:t>
      </w:r>
    </w:p>
    <w:p w14:paraId="0303462E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Word/PDF/Excel多格式解析、索引构建和增量更新脚本。</w:t>
      </w:r>
    </w:p>
    <w:p w14:paraId="6D913205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五类问题的训练/评测问答集及标准Evidence标注。</w:t>
      </w:r>
    </w:p>
    <w:p w14:paraId="24D1A229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混合检索、表格RAG、多跳推理、Claim核验和动态拒答的实验与消融报告。</w:t>
      </w:r>
    </w:p>
    <w:p w14:paraId="27DC0022">
      <w:pPr>
        <w:pStyle w:val="16"/>
        <w:spacing w:after="40" w:line="324" w:lineRule="auto"/>
        <w:ind w:left="0"/>
      </w:pPr>
      <w:r>
        <w:rPr>
          <w:rFonts w:ascii="Noto Sans CJK SC" w:hAnsi="Noto Sans CJK SC" w:eastAsia="Noto Sans CJK SC"/>
          <w:sz w:val="21"/>
        </w:rPr>
        <w:t>Docker化可复现环境、README、依赖说明、演示数据和运行说明。</w:t>
      </w:r>
    </w:p>
    <w:p w14:paraId="285BFD7E">
      <w:pPr>
        <w:pStyle w:val="4"/>
        <w:keepNext/>
        <w:keepLines/>
      </w:pPr>
      <w:r>
        <w:rPr>
          <w:rFonts w:ascii="Noto Sans CJK SC" w:hAnsi="Noto Sans CJK SC" w:eastAsia="Noto Sans CJK SC"/>
          <w:b/>
          <w:sz w:val="25"/>
        </w:rPr>
        <w:t>10.2 应用价值</w:t>
      </w:r>
    </w:p>
    <w:p w14:paraId="7FDBC2FB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项目能够把分散的监管制度和统计附件转化为可查询、可核验的知识基础设施，缩短业务人员寻找制度依据和统计口径的时间，降低旧规误用、表格取数错误和大模型幻觉对业务判断的影响。对于监管报送、风险管理、合规审查、信贷审批和业务培训等场景，系统可作为“监管知识检索+证据核验”基础能力，并进一步扩展为行内制度知识助手。</w:t>
      </w:r>
    </w:p>
    <w:p w14:paraId="10C4E422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从技术层面看，本项目将RAG从“语义召回+文本生成”提升为“结构化证据获取+工具推理+生成后验证”，其设计也可迁移到保险、证券、政务规章、医疗指南等对准确性和证据追溯要求较高的专业领域。</w:t>
      </w:r>
    </w:p>
    <w:p w14:paraId="260FDAC8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附录A 关键页面建议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2C52D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C009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页面</w:t>
            </w:r>
          </w:p>
        </w:tc>
        <w:tc>
          <w:tcPr>
            <w:tcW w:w="68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D505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核心展示内容</w:t>
            </w:r>
          </w:p>
        </w:tc>
      </w:tr>
      <w:tr w14:paraId="7AC1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AB5C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智能问答首页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B89A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问题输入、问题类型识别、回答、可信度、证据卡片</w:t>
            </w:r>
          </w:p>
        </w:tc>
      </w:tr>
      <w:tr w14:paraId="0F37C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EB25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制度检索页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216F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按机关/主题/日期/文号/状态筛选，查看章节条款</w:t>
            </w:r>
          </w:p>
        </w:tc>
      </w:tr>
      <w:tr w14:paraId="609C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31A14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统计报表页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C6767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指标、期间、单位查询；原始Sheet/Cell定位；趋势图</w:t>
            </w:r>
          </w:p>
        </w:tc>
      </w:tr>
      <w:tr w14:paraId="605E9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E7E4E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证据链页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839AC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QueryPlan、多跳步骤、各Evidence来源、Claim核验结果</w:t>
            </w:r>
          </w:p>
        </w:tc>
      </w:tr>
      <w:tr w14:paraId="4C50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DD281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知识库管理页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026D9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文件导入、解析状态、版本关系、重复文件、索引状态</w:t>
            </w:r>
          </w:p>
        </w:tc>
      </w:tr>
      <w:tr w14:paraId="01A97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5DFEA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评测中心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1D33D"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五类问题准确率、检索指标、关键事实错误率、拒答率、响应时间、消融对比</w:t>
            </w:r>
          </w:p>
        </w:tc>
      </w:tr>
    </w:tbl>
    <w:p w14:paraId="2BD97F4F">
      <w:pPr>
        <w:spacing w:after="20"/>
      </w:pPr>
    </w:p>
    <w:p w14:paraId="404C3129">
      <w:pPr>
        <w:pStyle w:val="3"/>
        <w:keepNext/>
        <w:keepLines/>
      </w:pPr>
      <w:r>
        <w:rPr>
          <w:rFonts w:ascii="Noto Sans CJK SC" w:hAnsi="Noto Sans CJK SC" w:eastAsia="Noto Sans CJK SC"/>
          <w:b/>
          <w:sz w:val="30"/>
        </w:rPr>
        <w:t>附录B 典型演示脚本</w:t>
      </w:r>
    </w:p>
    <w:p w14:paraId="6B4303AB">
      <w:pPr>
        <w:spacing w:after="60" w:line="348" w:lineRule="auto"/>
        <w:ind w:firstLine="420"/>
      </w:pPr>
      <w:r>
        <w:rPr>
          <w:rFonts w:ascii="Noto Sans CJK SC" w:hAnsi="Noto Sans CJK SC" w:eastAsia="Noto Sans CJK SC"/>
          <w:sz w:val="21"/>
        </w:rPr>
        <w:t>建议决赛演示选择一个“跨文件场景判断”作为主线：用户提出“根据当前监管规定，某统计期某项指标是否达到监管要求？”系统先展示Query Router将问题识别为跨文件判断；随后左侧检索监管制度并定位现行条款与阈值，右侧从Excel附件精确读取指标值和单元格；Table Agent完成比较计算；系统生成结论后，Verification Agent逐项核验阈值、统计值、主体、日期和版本；最后展示可信度、原文条款、文件URL、页码/单元格和完整证据链。该演示能够在较短时间内覆盖赛题的复杂表格解析、跨文件检索、多跳推理、可验证性和幻觉抑制等核心考点。</w:t>
      </w:r>
    </w:p>
    <w:sectPr>
      <w:headerReference r:id="rId5" w:type="default"/>
      <w:footerReference r:id="rId6" w:type="default"/>
      <w:pgSz w:w="11906" w:h="16838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D8850">
    <w:pPr>
      <w:pStyle w:val="24"/>
      <w:jc w:val="center"/>
    </w:pPr>
    <w:r>
      <w:rPr>
        <w:rFonts w:ascii="Noto Sans CJK SC" w:hAnsi="Noto Sans CJK SC" w:eastAsia="Noto Sans CJK SC"/>
        <w:sz w:val="18"/>
      </w:rPr>
      <w:t xml:space="preserve">— </w:t>
    </w:r>
    <w:r>
      <w:rPr>
        <w:rFonts w:ascii="Noto Sans CJK SC" w:hAnsi="Noto Sans CJK SC" w:eastAsia="Noto Sans CJK SC"/>
        <w:sz w:val="18"/>
      </w:rPr>
      <w:fldChar w:fldCharType="begin"/>
    </w:r>
    <w:r>
      <w:rPr>
        <w:rFonts w:ascii="Noto Sans CJK SC" w:hAnsi="Noto Sans CJK SC" w:eastAsia="Noto Sans CJK SC"/>
        <w:sz w:val="18"/>
      </w:rPr>
      <w:instrText xml:space="preserve"> PAGE </w:instrText>
    </w:r>
    <w:r>
      <w:rPr>
        <w:rFonts w:ascii="Noto Sans CJK SC" w:hAnsi="Noto Sans CJK SC" w:eastAsia="Noto Sans CJK SC"/>
        <w:sz w:val="18"/>
      </w:rPr>
      <w:fldChar w:fldCharType="end"/>
    </w:r>
    <w:r>
      <w:rPr>
        <w:rFonts w:ascii="Noto Sans CJK SC" w:hAnsi="Noto Sans CJK SC" w:eastAsia="Noto Sans CJK SC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073C8">
    <w:pPr>
      <w:pStyle w:val="25"/>
      <w:jc w:val="center"/>
    </w:pPr>
    <w:r>
      <w:rPr>
        <w:rFonts w:ascii="Noto Sans CJK SC" w:hAnsi="Noto Sans CJK SC" w:eastAsia="Noto Sans CJK SC"/>
        <w:sz w:val="17"/>
      </w:rPr>
      <w:t>第五届中国研究生金融科技创新大赛  |  揭榜挂帅赛题3 项目书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A2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60" w:after="1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8530</Words>
  <Characters>10715</Characters>
  <Lines>0</Lines>
  <Paragraphs>0</Paragraphs>
  <TotalTime>27</TotalTime>
  <ScaleCrop>false</ScaleCrop>
  <LinksUpToDate>false</LinksUpToDate>
  <CharactersWithSpaces>10896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 pay for you</cp:lastModifiedBy>
  <dcterms:modified xsi:type="dcterms:W3CDTF">2026-08-09T06:13:07Z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eyJoZGlkIjoiNWRiN2EzOTIwNTFkMWRjYjlhM2M2MjEwMTAzOTAyMTAiLCJ1c2VySWQiOiI5MDQ1MTIzNDMifQ==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7C0C809977F540FE90C46561468669A9_12</vt:lpwstr>
  </property>
</Properties>
</file>