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120B" w14:textId="77777777" w:rsidR="00951D24" w:rsidRPr="00675E5D" w:rsidRDefault="00951D24" w:rsidP="00675E5D">
      <w:pPr>
        <w:spacing w:line="480" w:lineRule="auto"/>
        <w:contextualSpacing/>
        <w:jc w:val="center"/>
        <w:rPr>
          <w:rFonts w:cs="Times New Roman"/>
          <w:b/>
          <w:szCs w:val="24"/>
        </w:rPr>
      </w:pPr>
    </w:p>
    <w:p w14:paraId="104E0B30" w14:textId="77777777" w:rsidR="00951D24" w:rsidRPr="00675E5D" w:rsidRDefault="00951D24" w:rsidP="00675E5D">
      <w:pPr>
        <w:spacing w:line="480" w:lineRule="auto"/>
        <w:contextualSpacing/>
        <w:jc w:val="center"/>
        <w:rPr>
          <w:rFonts w:cs="Times New Roman"/>
          <w:b/>
          <w:szCs w:val="24"/>
        </w:rPr>
      </w:pPr>
    </w:p>
    <w:p w14:paraId="1D0FE617" w14:textId="77777777" w:rsidR="00951D24" w:rsidRPr="00675E5D" w:rsidRDefault="00000000" w:rsidP="00675E5D">
      <w:pPr>
        <w:spacing w:line="480" w:lineRule="auto"/>
        <w:contextualSpacing/>
        <w:jc w:val="center"/>
        <w:rPr>
          <w:rFonts w:cs="Times New Roman"/>
          <w:szCs w:val="24"/>
        </w:rPr>
      </w:pPr>
      <w:r w:rsidRPr="00675E5D">
        <w:rPr>
          <w:rFonts w:cs="Times New Roman"/>
          <w:b/>
          <w:szCs w:val="24"/>
        </w:rPr>
        <w:t xml:space="preserve">Algorithmic Discrimination in Credit Scoring: </w:t>
      </w:r>
      <w:r w:rsidRPr="00675E5D">
        <w:rPr>
          <w:rFonts w:cs="Times New Roman"/>
          <w:b/>
          <w:szCs w:val="24"/>
        </w:rPr>
        <w:br/>
        <w:t>A Critical Analysis of the Adequacy of</w:t>
      </w:r>
      <w:r w:rsidRPr="00675E5D">
        <w:rPr>
          <w:rFonts w:cs="Times New Roman"/>
          <w:b/>
          <w:szCs w:val="24"/>
        </w:rPr>
        <w:br/>
        <w:t>UK Anti-Discrimination Law</w:t>
      </w:r>
    </w:p>
    <w:p w14:paraId="05FAB5EF" w14:textId="77777777" w:rsidR="00951D24" w:rsidRPr="00675E5D" w:rsidRDefault="00951D24" w:rsidP="00675E5D">
      <w:pPr>
        <w:spacing w:line="480" w:lineRule="auto"/>
        <w:contextualSpacing/>
        <w:rPr>
          <w:rFonts w:cs="Times New Roman"/>
          <w:szCs w:val="24"/>
        </w:rPr>
      </w:pPr>
    </w:p>
    <w:p w14:paraId="7E22406D" w14:textId="77777777" w:rsidR="00951D24" w:rsidRPr="00675E5D" w:rsidRDefault="00951D24" w:rsidP="00675E5D">
      <w:pPr>
        <w:spacing w:line="480" w:lineRule="auto"/>
        <w:contextualSpacing/>
        <w:rPr>
          <w:rFonts w:cs="Times New Roman"/>
          <w:szCs w:val="24"/>
        </w:rPr>
      </w:pPr>
    </w:p>
    <w:p w14:paraId="030E950E" w14:textId="77777777" w:rsidR="00951D24" w:rsidRPr="00675E5D" w:rsidRDefault="00000000" w:rsidP="00675E5D">
      <w:pPr>
        <w:spacing w:line="480" w:lineRule="auto"/>
        <w:contextualSpacing/>
        <w:jc w:val="center"/>
        <w:rPr>
          <w:rFonts w:cs="Times New Roman"/>
          <w:szCs w:val="24"/>
        </w:rPr>
      </w:pPr>
      <w:r w:rsidRPr="00675E5D">
        <w:rPr>
          <w:rFonts w:cs="Times New Roman"/>
          <w:szCs w:val="24"/>
        </w:rPr>
        <w:t xml:space="preserve"> Name</w:t>
      </w:r>
    </w:p>
    <w:p w14:paraId="6178EC83" w14:textId="77777777" w:rsidR="00951D24" w:rsidRPr="00675E5D" w:rsidRDefault="00000000" w:rsidP="00675E5D">
      <w:pPr>
        <w:spacing w:line="480" w:lineRule="auto"/>
        <w:contextualSpacing/>
        <w:jc w:val="center"/>
        <w:rPr>
          <w:rFonts w:cs="Times New Roman"/>
          <w:szCs w:val="24"/>
        </w:rPr>
      </w:pPr>
      <w:r w:rsidRPr="00675E5D">
        <w:rPr>
          <w:rFonts w:cs="Times New Roman"/>
          <w:szCs w:val="24"/>
        </w:rPr>
        <w:br/>
        <w:t>Student ID</w:t>
      </w:r>
      <w:r w:rsidRPr="00675E5D">
        <w:rPr>
          <w:rFonts w:cs="Times New Roman"/>
          <w:szCs w:val="24"/>
        </w:rPr>
        <w:br/>
        <w:t>LL.M. Dissertation</w:t>
      </w:r>
      <w:r w:rsidRPr="00675E5D">
        <w:rPr>
          <w:rFonts w:cs="Times New Roman"/>
          <w:szCs w:val="24"/>
        </w:rPr>
        <w:br/>
        <w:t>Royal Holloway, University of London</w:t>
      </w:r>
      <w:r w:rsidRPr="00675E5D">
        <w:rPr>
          <w:rFonts w:cs="Times New Roman"/>
          <w:szCs w:val="24"/>
        </w:rPr>
        <w:br/>
        <w:t>May 2025</w:t>
      </w:r>
    </w:p>
    <w:p w14:paraId="771640CB" w14:textId="77777777" w:rsidR="00951D24" w:rsidRPr="00675E5D" w:rsidRDefault="00951D24" w:rsidP="00675E5D">
      <w:pPr>
        <w:pStyle w:val="Heading1"/>
        <w:spacing w:line="480" w:lineRule="auto"/>
        <w:contextualSpacing/>
        <w:jc w:val="center"/>
        <w:rPr>
          <w:rFonts w:ascii="Times New Roman" w:hAnsi="Times New Roman" w:cs="Times New Roman"/>
          <w:color w:val="auto"/>
          <w:sz w:val="24"/>
          <w:szCs w:val="24"/>
        </w:rPr>
      </w:pPr>
    </w:p>
    <w:p w14:paraId="2BC0AF79" w14:textId="77777777" w:rsidR="00951D24" w:rsidRPr="00675E5D" w:rsidRDefault="00951D24" w:rsidP="00675E5D">
      <w:pPr>
        <w:pStyle w:val="Heading1"/>
        <w:spacing w:line="480" w:lineRule="auto"/>
        <w:contextualSpacing/>
        <w:jc w:val="center"/>
        <w:rPr>
          <w:rFonts w:ascii="Times New Roman" w:hAnsi="Times New Roman" w:cs="Times New Roman"/>
          <w:color w:val="auto"/>
          <w:sz w:val="24"/>
          <w:szCs w:val="24"/>
        </w:rPr>
      </w:pPr>
    </w:p>
    <w:p w14:paraId="1A187506" w14:textId="77777777" w:rsidR="00951D24" w:rsidRPr="00675E5D" w:rsidRDefault="00951D24" w:rsidP="00675E5D">
      <w:pPr>
        <w:spacing w:line="480" w:lineRule="auto"/>
        <w:contextualSpacing/>
        <w:rPr>
          <w:rFonts w:cs="Times New Roman"/>
          <w:szCs w:val="24"/>
        </w:rPr>
      </w:pPr>
    </w:p>
    <w:p w14:paraId="374E2645" w14:textId="77777777" w:rsidR="00951D24" w:rsidRPr="00675E5D" w:rsidRDefault="00951D24" w:rsidP="00675E5D">
      <w:pPr>
        <w:pStyle w:val="Heading1"/>
        <w:spacing w:line="480" w:lineRule="auto"/>
        <w:contextualSpacing/>
        <w:jc w:val="center"/>
        <w:rPr>
          <w:rFonts w:ascii="Times New Roman" w:eastAsia="MS Mincho" w:hAnsi="Times New Roman" w:cs="Times New Roman"/>
          <w:b w:val="0"/>
          <w:bCs w:val="0"/>
          <w:color w:val="auto"/>
          <w:sz w:val="24"/>
          <w:szCs w:val="24"/>
        </w:rPr>
      </w:pPr>
    </w:p>
    <w:p w14:paraId="4C1EFCA8" w14:textId="77777777" w:rsidR="00951D24" w:rsidRPr="00675E5D" w:rsidRDefault="00951D24" w:rsidP="00675E5D">
      <w:pPr>
        <w:spacing w:line="480" w:lineRule="auto"/>
        <w:contextualSpacing/>
        <w:rPr>
          <w:rFonts w:cs="Times New Roman"/>
          <w:szCs w:val="24"/>
        </w:rPr>
      </w:pPr>
    </w:p>
    <w:p w14:paraId="5BCF9FD5" w14:textId="77777777" w:rsidR="00951D24" w:rsidRPr="00675E5D" w:rsidRDefault="00951D24" w:rsidP="00675E5D">
      <w:pPr>
        <w:spacing w:line="480" w:lineRule="auto"/>
        <w:contextualSpacing/>
        <w:rPr>
          <w:rFonts w:cs="Times New Roman"/>
          <w:szCs w:val="24"/>
        </w:rPr>
      </w:pPr>
    </w:p>
    <w:p w14:paraId="4733904F" w14:textId="77777777" w:rsidR="00951D24" w:rsidRPr="00675E5D" w:rsidRDefault="00000000" w:rsidP="00675E5D">
      <w:pPr>
        <w:pStyle w:val="Heading1"/>
        <w:spacing w:line="480" w:lineRule="auto"/>
        <w:contextualSpacing/>
        <w:jc w:val="center"/>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ABSTRACT</w:t>
      </w:r>
    </w:p>
    <w:p w14:paraId="2034100D" w14:textId="14F63DDE" w:rsidR="00951D24" w:rsidRPr="00675E5D" w:rsidRDefault="00000000" w:rsidP="00675E5D">
      <w:pPr>
        <w:spacing w:line="480" w:lineRule="auto"/>
        <w:contextualSpacing/>
        <w:rPr>
          <w:rFonts w:cs="Times New Roman"/>
          <w:szCs w:val="24"/>
        </w:rPr>
      </w:pPr>
      <w:r w:rsidRPr="00675E5D">
        <w:rPr>
          <w:rFonts w:cs="Times New Roman"/>
          <w:szCs w:val="24"/>
        </w:rPr>
        <w:t xml:space="preserve">Technology entrepreneur David Heinemeier Hansson wrote in November 2019 on Twitter that Apple Card has offered him twenty times more credit limit than his wife, with whom he shares finances and has a better credit rating. This event summarised the worry over algorithmic bias in the financial sector and made regulators scrutinize the Goldman Sachs </w:t>
      </w:r>
      <w:r w:rsidR="001C6252" w:rsidRPr="00675E5D">
        <w:rPr>
          <w:rFonts w:cs="Times New Roman"/>
          <w:szCs w:val="24"/>
        </w:rPr>
        <w:t>computerized</w:t>
      </w:r>
      <w:r w:rsidRPr="00675E5D">
        <w:rPr>
          <w:rFonts w:cs="Times New Roman"/>
          <w:szCs w:val="24"/>
        </w:rPr>
        <w:t xml:space="preserve"> underwriting system.</w:t>
      </w:r>
    </w:p>
    <w:p w14:paraId="0858850A" w14:textId="77777777" w:rsidR="00951D24" w:rsidRPr="00675E5D" w:rsidRDefault="00000000" w:rsidP="00675E5D">
      <w:pPr>
        <w:spacing w:line="480" w:lineRule="auto"/>
        <w:contextualSpacing/>
        <w:rPr>
          <w:rFonts w:cs="Times New Roman"/>
          <w:szCs w:val="24"/>
        </w:rPr>
      </w:pPr>
      <w:r w:rsidRPr="00675E5D">
        <w:rPr>
          <w:rFonts w:cs="Times New Roman"/>
          <w:szCs w:val="24"/>
        </w:rPr>
        <w:t>UK has quickly embraced the machine-learning models when lending to consumers. Despite the purported features of such systems to reduce the chances of human bias and enhance the assessment of risks, the Apple Card case demonstrates the worrying factprospective: the unclear algorithm models can internalize and further propagate past discrimination and be offered as neutral and objective.</w:t>
      </w:r>
    </w:p>
    <w:p w14:paraId="46F47A98" w14:textId="77777777" w:rsidR="00951D24" w:rsidRPr="00675E5D" w:rsidRDefault="00000000" w:rsidP="00675E5D">
      <w:pPr>
        <w:spacing w:line="480" w:lineRule="auto"/>
        <w:contextualSpacing/>
        <w:rPr>
          <w:rFonts w:cs="Times New Roman"/>
          <w:szCs w:val="24"/>
        </w:rPr>
      </w:pPr>
      <w:r w:rsidRPr="00675E5D">
        <w:rPr>
          <w:rFonts w:cs="Times New Roman"/>
          <w:szCs w:val="24"/>
        </w:rPr>
        <w:t>This dissertation is answering a very important question: To what degree does the UK anti-discrimination law effectively respond to the issue of algorithm-based bias in credit-scoring mechanisms? Through a systematic comparison of the Equality Act 2010 (EA 2010) doctrines, critical examination of the regulatory frameworks, and an integration of computer science literature on algorithmic fairness this research shows systematic inadequacies all the way up and down.</w:t>
      </w:r>
    </w:p>
    <w:p w14:paraId="5061E665" w14:textId="47F74E2A" w:rsidR="00951D24" w:rsidRPr="00675E5D" w:rsidRDefault="001C6252" w:rsidP="00675E5D">
      <w:pPr>
        <w:spacing w:line="480" w:lineRule="auto"/>
        <w:contextualSpacing/>
        <w:rPr>
          <w:rFonts w:cs="Times New Roman"/>
          <w:szCs w:val="24"/>
        </w:rPr>
      </w:pPr>
      <w:r>
        <w:rPr>
          <w:rFonts w:cs="Times New Roman"/>
          <w:szCs w:val="24"/>
        </w:rPr>
        <w:t>T</w:t>
      </w:r>
      <w:r w:rsidR="00000000" w:rsidRPr="00675E5D">
        <w:rPr>
          <w:rFonts w:cs="Times New Roman"/>
          <w:szCs w:val="24"/>
        </w:rPr>
        <w:t>his paper has found no structures, which can pose evidential challenges to disputing the usage of algorithmic credit decisions. The proposed reforms in this dissertation put forward a trio of pillars that are to be applied to the current algorithms to manage their impact: (1) compulsory algorithmic impact analyses with modified burden-of-proof standards; (2) reformulated versions of PCPs relevant to machine-learning setups; and (3) new institutional designs, such as specialist adjudication mechanisms and improved regulatory coherence.</w:t>
      </w:r>
      <w:r w:rsidR="00000000" w:rsidRPr="00675E5D">
        <w:rPr>
          <w:rFonts w:cs="Times New Roman"/>
          <w:szCs w:val="24"/>
        </w:rPr>
        <w:br w:type="page"/>
      </w:r>
    </w:p>
    <w:sdt>
      <w:sdtPr>
        <w:rPr>
          <w:rFonts w:ascii="Times New Roman" w:eastAsiaTheme="minorEastAsia" w:hAnsi="Times New Roman" w:cs="Times New Roman"/>
          <w:b w:val="0"/>
          <w:bCs w:val="0"/>
          <w:color w:val="auto"/>
          <w:sz w:val="24"/>
          <w:szCs w:val="24"/>
        </w:rPr>
        <w:id w:val="-2034186999"/>
        <w:docPartObj>
          <w:docPartGallery w:val="Table of Contents"/>
          <w:docPartUnique/>
        </w:docPartObj>
      </w:sdtPr>
      <w:sdtEndPr>
        <w:rPr>
          <w:rFonts w:eastAsia="SimSun"/>
        </w:rPr>
      </w:sdtEndPr>
      <w:sdtContent>
        <w:p w14:paraId="4EC559DC" w14:textId="77777777" w:rsidR="00675E5D" w:rsidRPr="00675E5D" w:rsidRDefault="00675E5D" w:rsidP="00675E5D">
          <w:pPr>
            <w:pStyle w:val="TOCHeading"/>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Table of Contents</w:t>
          </w:r>
        </w:p>
        <w:p w14:paraId="04153154" w14:textId="77777777"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Abstract </w:t>
          </w:r>
          <w:r w:rsidRPr="00675E5D">
            <w:rPr>
              <w:rFonts w:ascii="Times New Roman" w:hAnsi="Times New Roman"/>
              <w:sz w:val="24"/>
              <w:szCs w:val="24"/>
            </w:rPr>
            <w:ptab w:relativeTo="margin" w:alignment="right" w:leader="dot"/>
          </w:r>
          <w:proofErr w:type="spellStart"/>
          <w:r w:rsidRPr="00675E5D">
            <w:rPr>
              <w:rFonts w:ascii="Times New Roman" w:hAnsi="Times New Roman"/>
              <w:sz w:val="24"/>
              <w:szCs w:val="24"/>
            </w:rPr>
            <w:t>i</w:t>
          </w:r>
          <w:proofErr w:type="spellEnd"/>
        </w:p>
        <w:p w14:paraId="3C122647" w14:textId="77777777" w:rsidR="00675E5D" w:rsidRPr="00675E5D" w:rsidRDefault="00675E5D" w:rsidP="00675E5D">
          <w:pPr>
            <w:pStyle w:val="TOC2"/>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Table of Contents </w:t>
          </w:r>
          <w:r w:rsidRPr="00675E5D">
            <w:rPr>
              <w:rFonts w:ascii="Times New Roman" w:hAnsi="Times New Roman"/>
              <w:sz w:val="24"/>
              <w:szCs w:val="24"/>
            </w:rPr>
            <w:ptab w:relativeTo="margin" w:alignment="right" w:leader="dot"/>
          </w:r>
          <w:r w:rsidRPr="00675E5D">
            <w:rPr>
              <w:rFonts w:ascii="Times New Roman" w:hAnsi="Times New Roman"/>
              <w:sz w:val="24"/>
              <w:szCs w:val="24"/>
            </w:rPr>
            <w:t>ii</w:t>
          </w:r>
        </w:p>
        <w:p w14:paraId="1F534591" w14:textId="77777777"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Acknowledgements </w:t>
          </w:r>
          <w:r w:rsidRPr="00675E5D">
            <w:rPr>
              <w:rFonts w:ascii="Times New Roman" w:hAnsi="Times New Roman"/>
              <w:sz w:val="24"/>
              <w:szCs w:val="24"/>
            </w:rPr>
            <w:ptab w:relativeTo="margin" w:alignment="right" w:leader="dot"/>
          </w:r>
          <w:r w:rsidRPr="00675E5D">
            <w:rPr>
              <w:rFonts w:ascii="Times New Roman" w:hAnsi="Times New Roman"/>
              <w:sz w:val="24"/>
              <w:szCs w:val="24"/>
            </w:rPr>
            <w:t>iii</w:t>
          </w:r>
        </w:p>
        <w:p w14:paraId="58A081FF" w14:textId="2EE75C3F"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Chapter 1: Introduction </w:t>
          </w:r>
          <w:r w:rsidRPr="00675E5D">
            <w:rPr>
              <w:rFonts w:ascii="Times New Roman" w:hAnsi="Times New Roman"/>
              <w:sz w:val="24"/>
              <w:szCs w:val="24"/>
            </w:rPr>
            <w:ptab w:relativeTo="margin" w:alignment="right" w:leader="dot"/>
          </w:r>
          <w:r w:rsidR="001C6252">
            <w:rPr>
              <w:rFonts w:ascii="Times New Roman" w:hAnsi="Times New Roman"/>
              <w:sz w:val="24"/>
              <w:szCs w:val="24"/>
            </w:rPr>
            <w:t>6</w:t>
          </w:r>
        </w:p>
        <w:p w14:paraId="20A807ED" w14:textId="07C26FE4"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1.1 The Algorithmic Revolution in Credit </w:t>
          </w:r>
          <w:r w:rsidRPr="00675E5D">
            <w:rPr>
              <w:rFonts w:ascii="Times New Roman" w:hAnsi="Times New Roman"/>
              <w:sz w:val="24"/>
              <w:szCs w:val="24"/>
            </w:rPr>
            <w:ptab w:relativeTo="margin" w:alignment="right" w:leader="dot"/>
          </w:r>
          <w:r w:rsidR="001C6252">
            <w:rPr>
              <w:rFonts w:ascii="Times New Roman" w:hAnsi="Times New Roman"/>
              <w:sz w:val="24"/>
              <w:szCs w:val="24"/>
            </w:rPr>
            <w:t>6</w:t>
          </w:r>
        </w:p>
        <w:p w14:paraId="6944E557" w14:textId="67B76C16"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1.2 The Core Problem: Legal-Technological Mismatch </w:t>
          </w:r>
          <w:r w:rsidRPr="00675E5D">
            <w:rPr>
              <w:rFonts w:ascii="Times New Roman" w:hAnsi="Times New Roman"/>
              <w:sz w:val="24"/>
              <w:szCs w:val="24"/>
            </w:rPr>
            <w:ptab w:relativeTo="margin" w:alignment="right" w:leader="dot"/>
          </w:r>
          <w:r w:rsidR="001C6252">
            <w:rPr>
              <w:rFonts w:ascii="Times New Roman" w:hAnsi="Times New Roman"/>
              <w:sz w:val="24"/>
              <w:szCs w:val="24"/>
            </w:rPr>
            <w:t>7</w:t>
          </w:r>
        </w:p>
        <w:p w14:paraId="131F1712" w14:textId="559A66E6"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1.3 Research Questions and Significance </w:t>
          </w:r>
          <w:r w:rsidRPr="00675E5D">
            <w:rPr>
              <w:rFonts w:ascii="Times New Roman" w:hAnsi="Times New Roman"/>
              <w:sz w:val="24"/>
              <w:szCs w:val="24"/>
            </w:rPr>
            <w:ptab w:relativeTo="margin" w:alignment="right" w:leader="dot"/>
          </w:r>
          <w:r w:rsidR="000C634E">
            <w:rPr>
              <w:rFonts w:ascii="Times New Roman" w:hAnsi="Times New Roman"/>
              <w:sz w:val="24"/>
              <w:szCs w:val="24"/>
            </w:rPr>
            <w:t>1</w:t>
          </w:r>
          <w:r w:rsidR="001C6252">
            <w:rPr>
              <w:rFonts w:ascii="Times New Roman" w:hAnsi="Times New Roman"/>
              <w:sz w:val="24"/>
              <w:szCs w:val="24"/>
            </w:rPr>
            <w:t>0</w:t>
          </w:r>
        </w:p>
        <w:p w14:paraId="2AC4C690" w14:textId="51DCD4B4"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1.4 Scope, Methodology, and Structure </w:t>
          </w:r>
          <w:r w:rsidRPr="00675E5D">
            <w:rPr>
              <w:rFonts w:ascii="Times New Roman" w:hAnsi="Times New Roman"/>
              <w:sz w:val="24"/>
              <w:szCs w:val="24"/>
            </w:rPr>
            <w:ptab w:relativeTo="margin" w:alignment="right" w:leader="dot"/>
          </w:r>
          <w:r w:rsidRPr="00675E5D">
            <w:rPr>
              <w:rFonts w:ascii="Times New Roman" w:hAnsi="Times New Roman"/>
              <w:sz w:val="24"/>
              <w:szCs w:val="24"/>
            </w:rPr>
            <w:t>1</w:t>
          </w:r>
          <w:r w:rsidR="001C6252">
            <w:rPr>
              <w:rFonts w:ascii="Times New Roman" w:hAnsi="Times New Roman"/>
              <w:sz w:val="24"/>
              <w:szCs w:val="24"/>
            </w:rPr>
            <w:t>2</w:t>
          </w:r>
        </w:p>
        <w:p w14:paraId="5A023E8E" w14:textId="5DEAF6EA"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Chapter 2: Research Methodology </w:t>
          </w:r>
          <w:r w:rsidRPr="00675E5D">
            <w:rPr>
              <w:rFonts w:ascii="Times New Roman" w:hAnsi="Times New Roman"/>
              <w:sz w:val="24"/>
              <w:szCs w:val="24"/>
            </w:rPr>
            <w:ptab w:relativeTo="margin" w:alignment="right" w:leader="dot"/>
          </w:r>
          <w:r w:rsidRPr="00675E5D">
            <w:rPr>
              <w:rFonts w:ascii="Times New Roman" w:hAnsi="Times New Roman"/>
              <w:sz w:val="24"/>
              <w:szCs w:val="24"/>
            </w:rPr>
            <w:t>1</w:t>
          </w:r>
          <w:r w:rsidR="001C6252">
            <w:rPr>
              <w:rFonts w:ascii="Times New Roman" w:hAnsi="Times New Roman"/>
              <w:sz w:val="24"/>
              <w:szCs w:val="24"/>
            </w:rPr>
            <w:t>4</w:t>
          </w:r>
        </w:p>
        <w:p w14:paraId="2326A8ED" w14:textId="57987C6F"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2.1 Doctrinal Legal Research Approach </w:t>
          </w:r>
          <w:r w:rsidRPr="00675E5D">
            <w:rPr>
              <w:rFonts w:ascii="Times New Roman" w:hAnsi="Times New Roman"/>
              <w:sz w:val="24"/>
              <w:szCs w:val="24"/>
            </w:rPr>
            <w:ptab w:relativeTo="margin" w:alignment="right" w:leader="dot"/>
          </w:r>
          <w:r w:rsidRPr="00675E5D">
            <w:rPr>
              <w:rFonts w:ascii="Times New Roman" w:hAnsi="Times New Roman"/>
              <w:sz w:val="24"/>
              <w:szCs w:val="24"/>
            </w:rPr>
            <w:t>1</w:t>
          </w:r>
          <w:r w:rsidR="001C6252">
            <w:rPr>
              <w:rFonts w:ascii="Times New Roman" w:hAnsi="Times New Roman"/>
              <w:sz w:val="24"/>
              <w:szCs w:val="24"/>
            </w:rPr>
            <w:t>4</w:t>
          </w:r>
        </w:p>
        <w:p w14:paraId="1D2B4FAF" w14:textId="35033315"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  2.2 Critical Legal Framework </w:t>
          </w:r>
          <w:r w:rsidRPr="00675E5D">
            <w:rPr>
              <w:rFonts w:ascii="Times New Roman" w:hAnsi="Times New Roman"/>
              <w:sz w:val="24"/>
              <w:szCs w:val="24"/>
            </w:rPr>
            <w:ptab w:relativeTo="margin" w:alignment="right" w:leader="dot"/>
          </w:r>
          <w:r w:rsidRPr="00675E5D">
            <w:rPr>
              <w:rFonts w:ascii="Times New Roman" w:hAnsi="Times New Roman"/>
              <w:sz w:val="24"/>
              <w:szCs w:val="24"/>
            </w:rPr>
            <w:t>1</w:t>
          </w:r>
          <w:r w:rsidR="001C6252">
            <w:rPr>
              <w:rFonts w:ascii="Times New Roman" w:hAnsi="Times New Roman"/>
              <w:sz w:val="24"/>
              <w:szCs w:val="24"/>
            </w:rPr>
            <w:t>5</w:t>
          </w:r>
        </w:p>
        <w:p w14:paraId="219CC045" w14:textId="59E3F067"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2.3 Interdisciplinary Integration and Limitations </w:t>
          </w:r>
          <w:r w:rsidRPr="00675E5D">
            <w:rPr>
              <w:rFonts w:ascii="Times New Roman" w:hAnsi="Times New Roman"/>
              <w:sz w:val="24"/>
              <w:szCs w:val="24"/>
            </w:rPr>
            <w:ptab w:relativeTo="margin" w:alignment="right" w:leader="dot"/>
          </w:r>
          <w:r w:rsidRPr="00675E5D">
            <w:rPr>
              <w:rFonts w:ascii="Times New Roman" w:hAnsi="Times New Roman"/>
              <w:sz w:val="24"/>
              <w:szCs w:val="24"/>
            </w:rPr>
            <w:t>1</w:t>
          </w:r>
          <w:r w:rsidR="001C6252">
            <w:rPr>
              <w:rFonts w:ascii="Times New Roman" w:hAnsi="Times New Roman"/>
              <w:sz w:val="24"/>
              <w:szCs w:val="24"/>
            </w:rPr>
            <w:t>8</w:t>
          </w:r>
        </w:p>
        <w:p w14:paraId="1588ECCA" w14:textId="1326ECFB"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Chapter 3: Legal Framework </w:t>
          </w:r>
          <w:r w:rsidRPr="00675E5D">
            <w:rPr>
              <w:rFonts w:ascii="Times New Roman" w:hAnsi="Times New Roman"/>
              <w:sz w:val="24"/>
              <w:szCs w:val="24"/>
            </w:rPr>
            <w:ptab w:relativeTo="margin" w:alignment="right" w:leader="dot"/>
          </w:r>
          <w:r w:rsidR="002C565D">
            <w:rPr>
              <w:rFonts w:ascii="Times New Roman" w:hAnsi="Times New Roman"/>
              <w:sz w:val="24"/>
              <w:szCs w:val="24"/>
            </w:rPr>
            <w:t>2</w:t>
          </w:r>
          <w:r w:rsidR="001C6252">
            <w:rPr>
              <w:rFonts w:ascii="Times New Roman" w:hAnsi="Times New Roman"/>
              <w:sz w:val="24"/>
              <w:szCs w:val="24"/>
            </w:rPr>
            <w:t>0</w:t>
          </w:r>
        </w:p>
        <w:p w14:paraId="40F0AD11" w14:textId="5C45FACA"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3.1 Equality Act 2010: Core Provisions </w:t>
          </w:r>
          <w:r w:rsidRPr="00675E5D">
            <w:rPr>
              <w:rFonts w:ascii="Times New Roman" w:hAnsi="Times New Roman"/>
              <w:sz w:val="24"/>
              <w:szCs w:val="24"/>
            </w:rPr>
            <w:ptab w:relativeTo="margin" w:alignment="right" w:leader="dot"/>
          </w:r>
          <w:r w:rsidR="001C6252">
            <w:rPr>
              <w:rFonts w:ascii="Times New Roman" w:hAnsi="Times New Roman"/>
              <w:sz w:val="24"/>
              <w:szCs w:val="24"/>
            </w:rPr>
            <w:t>20</w:t>
          </w:r>
        </w:p>
        <w:p w14:paraId="6C2C3B0B" w14:textId="049D5535"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3.2 Consumer Credit and Data Protection Regulation </w:t>
          </w:r>
          <w:r w:rsidRPr="00675E5D">
            <w:rPr>
              <w:rFonts w:ascii="Times New Roman" w:hAnsi="Times New Roman"/>
              <w:sz w:val="24"/>
              <w:szCs w:val="24"/>
            </w:rPr>
            <w:ptab w:relativeTo="margin" w:alignment="right" w:leader="dot"/>
          </w:r>
          <w:r w:rsidRPr="00675E5D">
            <w:rPr>
              <w:rFonts w:ascii="Times New Roman" w:hAnsi="Times New Roman"/>
              <w:sz w:val="24"/>
              <w:szCs w:val="24"/>
            </w:rPr>
            <w:t>2</w:t>
          </w:r>
          <w:r w:rsidR="001C6252">
            <w:rPr>
              <w:rFonts w:ascii="Times New Roman" w:hAnsi="Times New Roman"/>
              <w:sz w:val="24"/>
              <w:szCs w:val="24"/>
            </w:rPr>
            <w:t>8</w:t>
          </w:r>
        </w:p>
        <w:p w14:paraId="77E1F4FA" w14:textId="359C5959"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3.3 Emerging Regulatory Frameworks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1C6252">
            <w:rPr>
              <w:rFonts w:ascii="Times New Roman" w:hAnsi="Times New Roman"/>
              <w:sz w:val="24"/>
              <w:szCs w:val="24"/>
            </w:rPr>
            <w:t>2</w:t>
          </w:r>
        </w:p>
        <w:p w14:paraId="32800EE3" w14:textId="0BA7F56A" w:rsidR="00675E5D" w:rsidRPr="00675E5D" w:rsidRDefault="00675E5D" w:rsidP="00675E5D">
          <w:pPr>
            <w:pStyle w:val="TOC2"/>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Chapter 4: Technical Mechanisms of Algorithmic Bias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BC42EC">
            <w:rPr>
              <w:rFonts w:ascii="Times New Roman" w:hAnsi="Times New Roman"/>
              <w:sz w:val="24"/>
              <w:szCs w:val="24"/>
            </w:rPr>
            <w:t>4</w:t>
          </w:r>
        </w:p>
        <w:p w14:paraId="75C7DBE0" w14:textId="24CF0F15"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4.1 How Algorithmic Credit Scoring Works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BC42EC">
            <w:rPr>
              <w:rFonts w:ascii="Times New Roman" w:hAnsi="Times New Roman"/>
              <w:sz w:val="24"/>
              <w:szCs w:val="24"/>
            </w:rPr>
            <w:t>4</w:t>
          </w:r>
        </w:p>
        <w:p w14:paraId="0F4B102C" w14:textId="42D91503"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4.2 Bias Pathways and Mechanisms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BC42EC">
            <w:rPr>
              <w:rFonts w:ascii="Times New Roman" w:hAnsi="Times New Roman"/>
              <w:sz w:val="24"/>
              <w:szCs w:val="24"/>
            </w:rPr>
            <w:t>5</w:t>
          </w:r>
        </w:p>
        <w:p w14:paraId="4DB81BC2" w14:textId="527F294F"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  4.3 Technical-Legal Translation Challenges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BC42EC">
            <w:rPr>
              <w:rFonts w:ascii="Times New Roman" w:hAnsi="Times New Roman"/>
              <w:sz w:val="24"/>
              <w:szCs w:val="24"/>
            </w:rPr>
            <w:t>7</w:t>
          </w:r>
        </w:p>
        <w:p w14:paraId="2B0DCF06" w14:textId="59DFF19E"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lastRenderedPageBreak/>
            <w:t xml:space="preserve">Chapter 5: Case Studies and Evidence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BC42EC">
            <w:rPr>
              <w:rFonts w:ascii="Times New Roman" w:hAnsi="Times New Roman"/>
              <w:sz w:val="24"/>
              <w:szCs w:val="24"/>
            </w:rPr>
            <w:t>8</w:t>
          </w:r>
        </w:p>
        <w:p w14:paraId="4BCBE216" w14:textId="17E13CF0"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5.1 Gender Discrimination Analysis </w:t>
          </w:r>
          <w:r w:rsidRPr="00675E5D">
            <w:rPr>
              <w:rFonts w:ascii="Times New Roman" w:hAnsi="Times New Roman"/>
              <w:sz w:val="24"/>
              <w:szCs w:val="24"/>
            </w:rPr>
            <w:ptab w:relativeTo="margin" w:alignment="right" w:leader="dot"/>
          </w:r>
          <w:r w:rsidR="002C565D">
            <w:rPr>
              <w:rFonts w:ascii="Times New Roman" w:hAnsi="Times New Roman"/>
              <w:sz w:val="24"/>
              <w:szCs w:val="24"/>
            </w:rPr>
            <w:t>3</w:t>
          </w:r>
          <w:r w:rsidR="00BC42EC">
            <w:rPr>
              <w:rFonts w:ascii="Times New Roman" w:hAnsi="Times New Roman"/>
              <w:sz w:val="24"/>
              <w:szCs w:val="24"/>
            </w:rPr>
            <w:t>8</w:t>
          </w:r>
        </w:p>
        <w:p w14:paraId="67AD35B7" w14:textId="66A4D820" w:rsidR="00675E5D" w:rsidRPr="00675E5D" w:rsidRDefault="00675E5D" w:rsidP="00675E5D">
          <w:pPr>
            <w:pStyle w:val="TOC2"/>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5.2 Racial and Ethnic Discrimination </w:t>
          </w:r>
          <w:r w:rsidRPr="00675E5D">
            <w:rPr>
              <w:rFonts w:ascii="Times New Roman" w:hAnsi="Times New Roman"/>
              <w:sz w:val="24"/>
              <w:szCs w:val="24"/>
            </w:rPr>
            <w:ptab w:relativeTo="margin" w:alignment="right" w:leader="dot"/>
          </w:r>
          <w:r w:rsidR="00BC42EC">
            <w:rPr>
              <w:rFonts w:ascii="Times New Roman" w:hAnsi="Times New Roman"/>
              <w:sz w:val="24"/>
              <w:szCs w:val="24"/>
            </w:rPr>
            <w:t>39</w:t>
          </w:r>
        </w:p>
        <w:p w14:paraId="7AF29182" w14:textId="06ADF912"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5.3 Age and Intersectional Discrimination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0</w:t>
          </w:r>
          <w:r w:rsidRPr="00675E5D">
            <w:rPr>
              <w:rFonts w:ascii="Times New Roman" w:hAnsi="Times New Roman"/>
              <w:sz w:val="24"/>
              <w:szCs w:val="24"/>
            </w:rPr>
            <w:t xml:space="preserve"> </w:t>
          </w:r>
        </w:p>
        <w:p w14:paraId="46C514DF" w14:textId="31C09CE6"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5.4 Evidence Synthesis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1</w:t>
          </w:r>
        </w:p>
        <w:p w14:paraId="11BE978A" w14:textId="270F7081" w:rsidR="00675E5D" w:rsidRPr="00675E5D" w:rsidRDefault="00675E5D" w:rsidP="00675E5D">
          <w:pPr>
            <w:pStyle w:val="TOC2"/>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Chapter 6: Regulatory and Doctrinal Gaps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3</w:t>
          </w:r>
        </w:p>
        <w:p w14:paraId="57C84B85" w14:textId="5CD4B890"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6.1 Proof and Evidence Barriers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3</w:t>
          </w:r>
        </w:p>
        <w:p w14:paraId="3A06049C" w14:textId="4B07095B"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6.2 Conceptual Mismatches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4</w:t>
          </w:r>
        </w:p>
        <w:p w14:paraId="13EB9F9A" w14:textId="33222913" w:rsidR="00675E5D" w:rsidRPr="00675E5D" w:rsidRDefault="00675E5D" w:rsidP="00675E5D">
          <w:pPr>
            <w:pStyle w:val="TOC2"/>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6.3 Institutional Enforcement Challenges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5</w:t>
          </w:r>
        </w:p>
        <w:p w14:paraId="5156A2FF" w14:textId="35A5D0A2"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6.4 Remedy Inadequacies</w:t>
          </w:r>
          <w:r w:rsidRPr="00675E5D">
            <w:rPr>
              <w:rFonts w:ascii="Times New Roman" w:hAnsi="Times New Roman"/>
              <w:sz w:val="24"/>
              <w:szCs w:val="24"/>
            </w:rPr>
            <w:tab/>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6</w:t>
          </w:r>
        </w:p>
        <w:p w14:paraId="03B7F87E" w14:textId="32249EFE"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Chapter 7: Reform Proposals </w:t>
          </w:r>
          <w:r w:rsidRPr="00675E5D">
            <w:rPr>
              <w:rFonts w:ascii="Times New Roman" w:hAnsi="Times New Roman"/>
              <w:sz w:val="24"/>
              <w:szCs w:val="24"/>
            </w:rPr>
            <w:ptab w:relativeTo="margin" w:alignment="right" w:leader="dot"/>
          </w:r>
          <w:r w:rsidR="002C565D">
            <w:rPr>
              <w:rFonts w:ascii="Times New Roman" w:hAnsi="Times New Roman"/>
              <w:sz w:val="24"/>
              <w:szCs w:val="24"/>
            </w:rPr>
            <w:t>4</w:t>
          </w:r>
          <w:r w:rsidR="00BC42EC">
            <w:rPr>
              <w:rFonts w:ascii="Times New Roman" w:hAnsi="Times New Roman"/>
              <w:sz w:val="24"/>
              <w:szCs w:val="24"/>
            </w:rPr>
            <w:t>7</w:t>
          </w:r>
        </w:p>
        <w:p w14:paraId="43C4A3CF" w14:textId="555332F7"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7.1 Regulatory Solutions </w:t>
          </w:r>
          <w:r w:rsidRPr="00675E5D">
            <w:rPr>
              <w:rFonts w:ascii="Times New Roman" w:hAnsi="Times New Roman"/>
              <w:sz w:val="24"/>
              <w:szCs w:val="24"/>
            </w:rPr>
            <w:ptab w:relativeTo="margin" w:alignment="right" w:leader="dot"/>
          </w:r>
          <w:r w:rsidR="00DD2856">
            <w:rPr>
              <w:rFonts w:ascii="Times New Roman" w:hAnsi="Times New Roman"/>
              <w:sz w:val="24"/>
              <w:szCs w:val="24"/>
            </w:rPr>
            <w:t>4</w:t>
          </w:r>
          <w:r w:rsidR="00BC42EC">
            <w:rPr>
              <w:rFonts w:ascii="Times New Roman" w:hAnsi="Times New Roman"/>
              <w:sz w:val="24"/>
              <w:szCs w:val="24"/>
            </w:rPr>
            <w:t>7</w:t>
          </w:r>
        </w:p>
        <w:p w14:paraId="69CD1237" w14:textId="1B21FF86"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7.2 Legal Adaptations </w:t>
          </w:r>
          <w:r w:rsidRPr="00675E5D">
            <w:rPr>
              <w:rFonts w:ascii="Times New Roman" w:hAnsi="Times New Roman"/>
              <w:sz w:val="24"/>
              <w:szCs w:val="24"/>
            </w:rPr>
            <w:ptab w:relativeTo="margin" w:alignment="right" w:leader="dot"/>
          </w:r>
          <w:r w:rsidR="00DD2856">
            <w:rPr>
              <w:rFonts w:ascii="Times New Roman" w:hAnsi="Times New Roman"/>
              <w:sz w:val="24"/>
              <w:szCs w:val="24"/>
            </w:rPr>
            <w:t>4</w:t>
          </w:r>
          <w:r w:rsidR="00BC42EC">
            <w:rPr>
              <w:rFonts w:ascii="Times New Roman" w:hAnsi="Times New Roman"/>
              <w:sz w:val="24"/>
              <w:szCs w:val="24"/>
            </w:rPr>
            <w:t>7</w:t>
          </w:r>
        </w:p>
        <w:p w14:paraId="7B40B5E6" w14:textId="7E740E9C"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7.3 Institutional Innovations </w:t>
          </w:r>
          <w:r w:rsidRPr="00675E5D">
            <w:rPr>
              <w:rFonts w:ascii="Times New Roman" w:hAnsi="Times New Roman"/>
              <w:sz w:val="24"/>
              <w:szCs w:val="24"/>
            </w:rPr>
            <w:ptab w:relativeTo="margin" w:alignment="right" w:leader="dot"/>
          </w:r>
          <w:r w:rsidR="00DD2856">
            <w:rPr>
              <w:rFonts w:ascii="Times New Roman" w:hAnsi="Times New Roman"/>
              <w:sz w:val="24"/>
              <w:szCs w:val="24"/>
            </w:rPr>
            <w:t>4</w:t>
          </w:r>
          <w:r w:rsidR="00BC42EC">
            <w:rPr>
              <w:rFonts w:ascii="Times New Roman" w:hAnsi="Times New Roman"/>
              <w:sz w:val="24"/>
              <w:szCs w:val="24"/>
            </w:rPr>
            <w:t>8</w:t>
          </w:r>
        </w:p>
        <w:p w14:paraId="7C8F244C" w14:textId="047F61E6" w:rsidR="00675E5D" w:rsidRPr="00675E5D" w:rsidRDefault="00675E5D" w:rsidP="00675E5D">
          <w:pPr>
            <w:pStyle w:val="TOC2"/>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7.4 Implementation Pathway </w:t>
          </w:r>
          <w:r w:rsidRPr="00675E5D">
            <w:rPr>
              <w:rFonts w:ascii="Times New Roman" w:hAnsi="Times New Roman"/>
              <w:sz w:val="24"/>
              <w:szCs w:val="24"/>
            </w:rPr>
            <w:ptab w:relativeTo="margin" w:alignment="right" w:leader="dot"/>
          </w:r>
          <w:r w:rsidR="00BC42EC">
            <w:rPr>
              <w:rFonts w:ascii="Times New Roman" w:hAnsi="Times New Roman"/>
              <w:sz w:val="24"/>
              <w:szCs w:val="24"/>
            </w:rPr>
            <w:t>49</w:t>
          </w:r>
        </w:p>
        <w:p w14:paraId="1A707F9B" w14:textId="6A3ECE97"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Chapter 8: Conclusion </w:t>
          </w:r>
          <w:r w:rsidRPr="00675E5D">
            <w:rPr>
              <w:rFonts w:ascii="Times New Roman" w:hAnsi="Times New Roman"/>
              <w:sz w:val="24"/>
              <w:szCs w:val="24"/>
            </w:rPr>
            <w:ptab w:relativeTo="margin" w:alignment="right" w:leader="dot"/>
          </w:r>
          <w:r w:rsidR="002C565D">
            <w:rPr>
              <w:rFonts w:ascii="Times New Roman" w:hAnsi="Times New Roman"/>
              <w:sz w:val="24"/>
              <w:szCs w:val="24"/>
            </w:rPr>
            <w:t>5</w:t>
          </w:r>
          <w:r w:rsidR="00BC42EC">
            <w:rPr>
              <w:rFonts w:ascii="Times New Roman" w:hAnsi="Times New Roman"/>
              <w:sz w:val="24"/>
              <w:szCs w:val="24"/>
            </w:rPr>
            <w:t>0</w:t>
          </w:r>
        </w:p>
        <w:p w14:paraId="68DC2ADB" w14:textId="66426804" w:rsidR="00675E5D" w:rsidRPr="00675E5D" w:rsidRDefault="00675E5D" w:rsidP="00675E5D">
          <w:pPr>
            <w:pStyle w:val="TOC2"/>
            <w:spacing w:line="480" w:lineRule="auto"/>
            <w:ind w:left="216"/>
            <w:contextualSpacing/>
            <w:rPr>
              <w:rFonts w:ascii="Times New Roman" w:hAnsi="Times New Roman"/>
              <w:sz w:val="24"/>
              <w:szCs w:val="24"/>
            </w:rPr>
          </w:pPr>
          <w:r w:rsidRPr="00675E5D">
            <w:rPr>
              <w:rFonts w:ascii="Times New Roman" w:hAnsi="Times New Roman"/>
              <w:sz w:val="24"/>
              <w:szCs w:val="24"/>
            </w:rPr>
            <w:t xml:space="preserve">8.1 Research Question Revisited </w:t>
          </w:r>
          <w:r w:rsidRPr="00675E5D">
            <w:rPr>
              <w:rFonts w:ascii="Times New Roman" w:hAnsi="Times New Roman"/>
              <w:sz w:val="24"/>
              <w:szCs w:val="24"/>
            </w:rPr>
            <w:ptab w:relativeTo="margin" w:alignment="right" w:leader="dot"/>
          </w:r>
          <w:r w:rsidR="002C565D">
            <w:rPr>
              <w:rFonts w:ascii="Times New Roman" w:hAnsi="Times New Roman"/>
              <w:sz w:val="24"/>
              <w:szCs w:val="24"/>
            </w:rPr>
            <w:t>5</w:t>
          </w:r>
          <w:r w:rsidR="00BC42EC">
            <w:rPr>
              <w:rFonts w:ascii="Times New Roman" w:hAnsi="Times New Roman"/>
              <w:sz w:val="24"/>
              <w:szCs w:val="24"/>
            </w:rPr>
            <w:t>0</w:t>
          </w:r>
        </w:p>
        <w:p w14:paraId="616513AF" w14:textId="58EF8749" w:rsidR="00675E5D" w:rsidRPr="00675E5D" w:rsidRDefault="00675E5D" w:rsidP="00675E5D">
          <w:pPr>
            <w:pStyle w:val="TOC3"/>
            <w:spacing w:line="480" w:lineRule="auto"/>
            <w:ind w:left="0"/>
            <w:contextualSpacing/>
            <w:rPr>
              <w:rFonts w:ascii="Times New Roman" w:hAnsi="Times New Roman"/>
              <w:sz w:val="24"/>
              <w:szCs w:val="24"/>
            </w:rPr>
          </w:pPr>
          <w:r w:rsidRPr="00675E5D">
            <w:rPr>
              <w:rFonts w:ascii="Times New Roman" w:hAnsi="Times New Roman"/>
              <w:sz w:val="24"/>
              <w:szCs w:val="24"/>
            </w:rPr>
            <w:t xml:space="preserve">    8.2 Contributions and Implications </w:t>
          </w:r>
          <w:r w:rsidRPr="00675E5D">
            <w:rPr>
              <w:rFonts w:ascii="Times New Roman" w:hAnsi="Times New Roman"/>
              <w:sz w:val="24"/>
              <w:szCs w:val="24"/>
            </w:rPr>
            <w:ptab w:relativeTo="margin" w:alignment="right" w:leader="dot"/>
          </w:r>
          <w:r w:rsidR="002C565D">
            <w:rPr>
              <w:rFonts w:ascii="Times New Roman" w:hAnsi="Times New Roman"/>
              <w:sz w:val="24"/>
              <w:szCs w:val="24"/>
            </w:rPr>
            <w:t>5</w:t>
          </w:r>
          <w:r w:rsidR="00BC42EC">
            <w:rPr>
              <w:rFonts w:ascii="Times New Roman" w:hAnsi="Times New Roman"/>
              <w:sz w:val="24"/>
              <w:szCs w:val="24"/>
            </w:rPr>
            <w:t>2</w:t>
          </w:r>
        </w:p>
        <w:p w14:paraId="7DB111A3" w14:textId="5F8DCF8C" w:rsidR="00675E5D" w:rsidRPr="00675E5D" w:rsidRDefault="00675E5D" w:rsidP="00675E5D">
          <w:pPr>
            <w:pStyle w:val="TOC1"/>
            <w:spacing w:line="480" w:lineRule="auto"/>
            <w:contextualSpacing/>
            <w:rPr>
              <w:rFonts w:ascii="Times New Roman" w:hAnsi="Times New Roman"/>
              <w:sz w:val="24"/>
              <w:szCs w:val="24"/>
            </w:rPr>
          </w:pPr>
          <w:r w:rsidRPr="00675E5D">
            <w:rPr>
              <w:rFonts w:ascii="Times New Roman" w:hAnsi="Times New Roman"/>
              <w:sz w:val="24"/>
              <w:szCs w:val="24"/>
            </w:rPr>
            <w:t xml:space="preserve">    8.3 Future Horizons </w:t>
          </w:r>
          <w:r w:rsidRPr="00675E5D">
            <w:rPr>
              <w:rFonts w:ascii="Times New Roman" w:hAnsi="Times New Roman"/>
              <w:sz w:val="24"/>
              <w:szCs w:val="24"/>
            </w:rPr>
            <w:ptab w:relativeTo="margin" w:alignment="right" w:leader="dot"/>
          </w:r>
          <w:r w:rsidR="002C565D">
            <w:rPr>
              <w:rFonts w:ascii="Times New Roman" w:hAnsi="Times New Roman"/>
              <w:sz w:val="24"/>
              <w:szCs w:val="24"/>
            </w:rPr>
            <w:t>5</w:t>
          </w:r>
          <w:r w:rsidR="00BC42EC">
            <w:rPr>
              <w:rFonts w:ascii="Times New Roman" w:hAnsi="Times New Roman"/>
              <w:sz w:val="24"/>
              <w:szCs w:val="24"/>
            </w:rPr>
            <w:t>3</w:t>
          </w:r>
        </w:p>
        <w:p w14:paraId="2AF9B390" w14:textId="285B89F0" w:rsidR="00951D24" w:rsidRPr="00675E5D" w:rsidRDefault="00675E5D" w:rsidP="00675E5D">
          <w:pPr>
            <w:pStyle w:val="TOC2"/>
            <w:spacing w:line="480" w:lineRule="auto"/>
            <w:ind w:left="0"/>
            <w:contextualSpacing/>
            <w:rPr>
              <w:rFonts w:ascii="Times New Roman" w:eastAsia="MS Mincho" w:hAnsi="Times New Roman"/>
              <w:sz w:val="24"/>
              <w:szCs w:val="24"/>
            </w:rPr>
          </w:pPr>
          <w:r w:rsidRPr="00675E5D">
            <w:rPr>
              <w:rFonts w:ascii="Times New Roman" w:hAnsi="Times New Roman"/>
              <w:sz w:val="24"/>
              <w:szCs w:val="24"/>
            </w:rPr>
            <w:t xml:space="preserve">Bibliography </w:t>
          </w:r>
          <w:r w:rsidRPr="00675E5D">
            <w:rPr>
              <w:rFonts w:ascii="Times New Roman" w:hAnsi="Times New Roman"/>
              <w:sz w:val="24"/>
              <w:szCs w:val="24"/>
            </w:rPr>
            <w:ptab w:relativeTo="margin" w:alignment="right" w:leader="dot"/>
          </w:r>
          <w:r w:rsidR="002C565D">
            <w:rPr>
              <w:rFonts w:ascii="Times New Roman" w:hAnsi="Times New Roman"/>
              <w:sz w:val="24"/>
              <w:szCs w:val="24"/>
            </w:rPr>
            <w:t>5</w:t>
          </w:r>
          <w:r w:rsidR="00BC42EC">
            <w:rPr>
              <w:rFonts w:ascii="Times New Roman" w:hAnsi="Times New Roman"/>
              <w:sz w:val="24"/>
              <w:szCs w:val="24"/>
            </w:rPr>
            <w:t>4</w:t>
          </w:r>
        </w:p>
      </w:sdtContent>
    </w:sdt>
    <w:p w14:paraId="486A5E26" w14:textId="77777777" w:rsidR="00951D24" w:rsidRPr="00675E5D" w:rsidRDefault="00000000" w:rsidP="00675E5D">
      <w:pPr>
        <w:pStyle w:val="Heading1"/>
        <w:spacing w:line="480" w:lineRule="auto"/>
        <w:contextualSpacing/>
        <w:jc w:val="center"/>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ACKNOWLEDGEMENTS</w:t>
      </w:r>
    </w:p>
    <w:p w14:paraId="33AAB28B" w14:textId="77777777" w:rsidR="00951D24" w:rsidRPr="00675E5D" w:rsidRDefault="00000000" w:rsidP="00675E5D">
      <w:pPr>
        <w:spacing w:line="480" w:lineRule="auto"/>
        <w:contextualSpacing/>
        <w:rPr>
          <w:rFonts w:cs="Times New Roman"/>
          <w:szCs w:val="24"/>
        </w:rPr>
      </w:pPr>
      <w:r w:rsidRPr="00675E5D">
        <w:rPr>
          <w:rFonts w:cs="Times New Roman"/>
          <w:szCs w:val="24"/>
        </w:rPr>
        <w:t>I would like to extend my sincerest thanks to my supervisor, [Supervisor Name], who assisted me with immeasurable value in this research project, specifically, helping me work through the complicated nature of the intersection of discrimination law and computational systems. I would like to express my gratitude to the Royal Holloway Law Library staff members, who provided me with a high-quality help in locating legal information in databases and styles in referencing. I recognize the importance of the feedback provided by the participants of research seminars I have appeared at earlier versions of this work were told. Non-compliance and omissions will be my full responsibility.</w:t>
      </w:r>
    </w:p>
    <w:p w14:paraId="36905710" w14:textId="77777777" w:rsidR="00951D24" w:rsidRPr="00675E5D" w:rsidRDefault="00000000" w:rsidP="00675E5D">
      <w:pPr>
        <w:spacing w:line="480" w:lineRule="auto"/>
        <w:contextualSpacing/>
        <w:rPr>
          <w:rFonts w:cs="Times New Roman"/>
          <w:szCs w:val="24"/>
        </w:rPr>
      </w:pPr>
      <w:r w:rsidRPr="00675E5D">
        <w:rPr>
          <w:rFonts w:cs="Times New Roman"/>
          <w:szCs w:val="24"/>
        </w:rPr>
        <w:br w:type="page"/>
      </w:r>
    </w:p>
    <w:p w14:paraId="5A68CF1C" w14:textId="77777777" w:rsidR="00951D24" w:rsidRPr="00675E5D" w:rsidRDefault="00000000" w:rsidP="000C634E">
      <w:pPr>
        <w:pStyle w:val="Heading1"/>
        <w:spacing w:line="480" w:lineRule="auto"/>
        <w:contextualSpacing/>
        <w:jc w:val="center"/>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CHAPTER 1: INTRODUCTION</w:t>
      </w:r>
    </w:p>
    <w:p w14:paraId="01DE5E43"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1.1 The Algorithmic Revolution in Credit</w:t>
      </w:r>
    </w:p>
    <w:p w14:paraId="4AD2D1D5" w14:textId="77777777" w:rsidR="00951D24" w:rsidRPr="00675E5D" w:rsidRDefault="00000000" w:rsidP="00675E5D">
      <w:pPr>
        <w:spacing w:line="480" w:lineRule="auto"/>
        <w:contextualSpacing/>
        <w:rPr>
          <w:rFonts w:cs="Times New Roman"/>
          <w:szCs w:val="24"/>
        </w:rPr>
      </w:pPr>
      <w:r w:rsidRPr="00675E5D">
        <w:rPr>
          <w:rFonts w:cs="Times New Roman"/>
          <w:szCs w:val="24"/>
        </w:rPr>
        <w:t>In November 2019, the creator of the Ruby on Rails web framework, David Heinemeier Hansson, tweeted that Apple Card had given him a credit limit that was twenty times less than that of his wife in spite of the fact that he and his wife share finances and that she had a higher credit rating.</w:t>
      </w:r>
      <w:r w:rsidRPr="00675E5D">
        <w:rPr>
          <w:rStyle w:val="FootnoteReference"/>
          <w:rFonts w:cs="Times New Roman"/>
          <w:szCs w:val="24"/>
        </w:rPr>
        <w:footnoteReference w:id="1"/>
      </w:r>
      <w:r w:rsidRPr="00675E5D">
        <w:rPr>
          <w:rFonts w:cs="Times New Roman"/>
          <w:szCs w:val="24"/>
        </w:rPr>
        <w:t xml:space="preserve"> It was the thread that became viral and received replies of thousands of people including the co-founder of the Apple Steve Wozniak who acknowledged that he has encountered such gender disparities. The New York Department of Financial Services subsequently launched an investigation of Goldman Sachs who was the underwriter of Apple Card programme.</w:t>
      </w:r>
    </w:p>
    <w:p w14:paraId="14C8B9A4" w14:textId="77777777" w:rsidR="00951D24" w:rsidRPr="00675E5D" w:rsidRDefault="00000000" w:rsidP="00675E5D">
      <w:pPr>
        <w:spacing w:line="480" w:lineRule="auto"/>
        <w:contextualSpacing/>
        <w:rPr>
          <w:rFonts w:cs="Times New Roman"/>
          <w:szCs w:val="24"/>
        </w:rPr>
      </w:pPr>
      <w:r w:rsidRPr="00675E5D">
        <w:rPr>
          <w:rFonts w:cs="Times New Roman"/>
          <w:szCs w:val="24"/>
        </w:rPr>
        <w:t>Credit scoring serves as a gateway to essential financial infrastructure, determining not only whether consumers can borrow but on what terms. Access to affordable credit profoundly shapes life opportunities, enabling homeownership, education, and resilience during financial crises. When discriminatory patterns become embedded in algorithmic systems, they systematically disadvantage vulnerable groups and perpetuate historical inequalities.</w:t>
      </w:r>
    </w:p>
    <w:p w14:paraId="73868A36" w14:textId="77777777" w:rsidR="00951D24" w:rsidRPr="00675E5D" w:rsidRDefault="00000000" w:rsidP="00675E5D">
      <w:pPr>
        <w:spacing w:line="480" w:lineRule="auto"/>
        <w:contextualSpacing/>
        <w:rPr>
          <w:rFonts w:cs="Times New Roman"/>
          <w:szCs w:val="24"/>
        </w:rPr>
      </w:pPr>
      <w:r w:rsidRPr="00675E5D">
        <w:rPr>
          <w:rFonts w:cs="Times New Roman"/>
          <w:szCs w:val="24"/>
        </w:rPr>
        <w:t>Algorithms credit scoring has been widely adopted in the financial services sector in the United Kingdom in a short time.</w:t>
      </w:r>
      <w:r w:rsidRPr="00675E5D">
        <w:rPr>
          <w:rStyle w:val="FootnoteReference"/>
          <w:rFonts w:cs="Times New Roman"/>
          <w:szCs w:val="24"/>
        </w:rPr>
        <w:footnoteReference w:id="2"/>
      </w:r>
      <w:r w:rsidRPr="00675E5D">
        <w:rPr>
          <w:rFonts w:cs="Times New Roman"/>
          <w:szCs w:val="24"/>
        </w:rPr>
        <w:t xml:space="preserve"> While specific industry statistics remain commercially confidential, regulatory feedback and industry reports show that a significant number of machine-learning models have been adopted in determining creditworthiness. Larger UK lenders have openly </w:t>
      </w:r>
      <w:r w:rsidRPr="00675E5D">
        <w:rPr>
          <w:rFonts w:cs="Times New Roman"/>
          <w:szCs w:val="24"/>
        </w:rPr>
        <w:lastRenderedPageBreak/>
        <w:t xml:space="preserve">debated the use of highly sophisticated algorithms, which consider a vast number of more data points than standard credit scores. </w:t>
      </w:r>
    </w:p>
    <w:p w14:paraId="0B713E52" w14:textId="77777777" w:rsidR="00951D24" w:rsidRPr="00675E5D" w:rsidRDefault="00000000" w:rsidP="00675E5D">
      <w:pPr>
        <w:spacing w:line="480" w:lineRule="auto"/>
        <w:contextualSpacing/>
        <w:rPr>
          <w:rFonts w:cs="Times New Roman"/>
          <w:szCs w:val="24"/>
        </w:rPr>
      </w:pPr>
      <w:r w:rsidRPr="00675E5D">
        <w:rPr>
          <w:rFonts w:cs="Times New Roman"/>
          <w:szCs w:val="24"/>
        </w:rPr>
        <w:t>Advocates of using algorithms to credit score highlight a number of possible advantages. To begin with, algorithms can minimize the effects of human biases in lending decisions, which have previously affected them.</w:t>
      </w:r>
      <w:r w:rsidRPr="00675E5D">
        <w:rPr>
          <w:rStyle w:val="FootnoteReference"/>
          <w:rFonts w:cs="Times New Roman"/>
          <w:szCs w:val="24"/>
        </w:rPr>
        <w:footnoteReference w:id="3"/>
      </w:r>
      <w:r w:rsidRPr="00675E5D">
        <w:rPr>
          <w:rFonts w:cs="Times New Roman"/>
          <w:szCs w:val="24"/>
        </w:rPr>
        <w:t xml:space="preserve"> Second, alternative data can be analyzed by machine-learning models to evaluate the worth of thin-file borrowers, which has the potential to increase the financial inclusion. Third, enhanced capital efficiency can be achieved through a better risk assessment.</w:t>
      </w:r>
    </w:p>
    <w:p w14:paraId="12707748"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1.2 The Core Problem: Legal-Technological Mismatch</w:t>
      </w:r>
    </w:p>
    <w:p w14:paraId="7F9CAE10" w14:textId="687B86C4" w:rsidR="00951D24" w:rsidRPr="00675E5D" w:rsidRDefault="00000000" w:rsidP="00675E5D">
      <w:pPr>
        <w:spacing w:line="480" w:lineRule="auto"/>
        <w:contextualSpacing/>
        <w:rPr>
          <w:rFonts w:cs="Times New Roman"/>
          <w:szCs w:val="24"/>
        </w:rPr>
      </w:pPr>
      <w:r w:rsidRPr="00675E5D">
        <w:rPr>
          <w:rFonts w:cs="Times New Roman"/>
          <w:szCs w:val="24"/>
        </w:rPr>
        <w:t>UK anti-discrimination law rests on deeply anthropocentric foundations</w:t>
      </w:r>
      <w:r w:rsidR="001D0545">
        <w:rPr>
          <w:rFonts w:cs="Times New Roman"/>
          <w:szCs w:val="24"/>
        </w:rPr>
        <w:t xml:space="preserve"> </w:t>
      </w:r>
      <w:r w:rsidRPr="00675E5D">
        <w:rPr>
          <w:rFonts w:cs="Times New Roman"/>
          <w:szCs w:val="24"/>
        </w:rPr>
        <w:t>premises fundamentally challenged by algorithmic systems which are aligned to algorithm systems limitedly. The legislative framework assumes that the human decision-makers assume that their mental states, intellectual procedures and habits can be studied and analyzed. The practice of algorithmic credit scoring challenges these assumptions at least in a variety of dimensions.</w:t>
      </w:r>
      <w:r w:rsidRPr="00675E5D">
        <w:rPr>
          <w:rStyle w:val="FootnoteReference"/>
          <w:rFonts w:cs="Times New Roman"/>
          <w:szCs w:val="24"/>
        </w:rPr>
        <w:footnoteReference w:id="4"/>
      </w:r>
    </w:p>
    <w:p w14:paraId="38CEA2C2"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The Equality Act 2010 (EA 2010) consolidates British anti-discrimination law. Section 13 (EA 2010, </w:t>
      </w:r>
      <w:bookmarkStart w:id="0" w:name="_Hlk214575844"/>
      <w:r w:rsidRPr="00675E5D">
        <w:rPr>
          <w:rFonts w:cs="Times New Roman"/>
          <w:szCs w:val="24"/>
        </w:rPr>
        <w:t>s 13</w:t>
      </w:r>
      <w:bookmarkEnd w:id="0"/>
      <w:r w:rsidRPr="00675E5D">
        <w:rPr>
          <w:rFonts w:cs="Times New Roman"/>
          <w:szCs w:val="24"/>
        </w:rPr>
        <w:t xml:space="preserve">). Section 13 (s 13) prevents direct discrimination, which happens when person A treats person B in a less favorable way because, due to a characteristic that is a source of discrimination. The formulation assumes the existence of a decision-maker that can be identified and whose intentions and thoughts can be questioned. In conventional credit, loan officers would </w:t>
      </w:r>
      <w:r w:rsidRPr="00675E5D">
        <w:rPr>
          <w:rFonts w:cs="Times New Roman"/>
          <w:szCs w:val="24"/>
        </w:rPr>
        <w:lastRenderedPageBreak/>
        <w:t>go through applications and make decisions; their decision may be explored as being done in testimony, documents or by circumstantial evidence.</w:t>
      </w:r>
    </w:p>
    <w:p w14:paraId="6A46CB8F" w14:textId="77777777" w:rsidR="00951D24" w:rsidRPr="00675E5D" w:rsidRDefault="00000000" w:rsidP="00675E5D">
      <w:pPr>
        <w:spacing w:line="480" w:lineRule="auto"/>
        <w:contextualSpacing/>
        <w:rPr>
          <w:rFonts w:cs="Times New Roman"/>
          <w:szCs w:val="24"/>
        </w:rPr>
      </w:pPr>
      <w:r w:rsidRPr="00675E5D">
        <w:rPr>
          <w:rFonts w:cs="Times New Roman"/>
          <w:szCs w:val="24"/>
        </w:rPr>
        <w:t>The scoring of the algorithmic credit is in essence different. A machine learning model has no meaning of having a mental condition or a point of view. The model a mathematical optimization prediction on the basis of training data. It neither makes decisions nor makes decisions like human beings do- it generates probability scores that can be used to initiate automated or semi-automated actions. Human loan officers checking the outputs of its algorithms usually approve them blindly without any independent appraisal and do not see a mechanic score generating process.</w:t>
      </w:r>
      <w:r w:rsidRPr="00675E5D">
        <w:rPr>
          <w:rStyle w:val="FootnoteReference"/>
          <w:rFonts w:cs="Times New Roman"/>
          <w:szCs w:val="24"/>
        </w:rPr>
        <w:footnoteReference w:id="5"/>
      </w:r>
    </w:p>
    <w:p w14:paraId="38FC1A0C" w14:textId="77777777" w:rsidR="00951D24" w:rsidRPr="00675E5D" w:rsidRDefault="00000000" w:rsidP="00675E5D">
      <w:pPr>
        <w:spacing w:line="480" w:lineRule="auto"/>
        <w:contextualSpacing/>
        <w:rPr>
          <w:rFonts w:cs="Times New Roman"/>
          <w:szCs w:val="24"/>
        </w:rPr>
      </w:pPr>
      <w:r w:rsidRPr="00675E5D">
        <w:rPr>
          <w:rFonts w:cs="Times New Roman"/>
          <w:szCs w:val="24"/>
        </w:rPr>
        <w:t>In such systems where is the intention established? The task of developers of algorithms is to achieve predictive accuracy, but does not presuppose the model taking into account the characteristics that are being defended. Financial institutions implementing models might be unconcerned with biases. The algorithms are not legal persons with the ability to form intentions. Responsibility spreads among developers, deploying institutions, data providers and automated systems, which do not fit the traditional legal notion of agency and causation.</w:t>
      </w:r>
    </w:p>
    <w:p w14:paraId="3A8003D2" w14:textId="77777777" w:rsidR="00951D24" w:rsidRPr="00675E5D" w:rsidRDefault="00000000" w:rsidP="00675E5D">
      <w:pPr>
        <w:spacing w:line="480" w:lineRule="auto"/>
        <w:contextualSpacing/>
        <w:rPr>
          <w:rFonts w:cs="Times New Roman"/>
          <w:szCs w:val="24"/>
        </w:rPr>
      </w:pPr>
      <w:r w:rsidRPr="00675E5D">
        <w:rPr>
          <w:rFonts w:cs="Times New Roman"/>
          <w:szCs w:val="24"/>
        </w:rPr>
        <w:t>Section 19 deals with indirect discrimination- it might happen even without the intention of a discriminatory act. Indirect discrimination occurs by a provision, criterion or practice (PCP) that may seem to be neutral, and which disadvantages individuals having protected characteristics unless it can be shown to be proportionate to the implementation of legitimate purposes. This notion emerged to solve cases where neutrality is unequivocal in providing effects of a rule.</w:t>
      </w:r>
    </w:p>
    <w:p w14:paraId="5C1F5160"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PCP concept presupposes decision-making reducible to identifiable, articulable rules—a framework fundamentally incompatible with machine-learning architectures. These are the rules used in traditional credit underwriting: employees who have less than three years continuous employment, debt-to-income ratios less than 40% required. These rules can be found, statistical measures can be made of their disparate effects and they can be contrasted with less discriminative options.</w:t>
      </w:r>
      <w:r w:rsidRPr="00675E5D">
        <w:rPr>
          <w:rStyle w:val="FootnoteReference"/>
          <w:rFonts w:cs="Times New Roman"/>
          <w:szCs w:val="24"/>
        </w:rPr>
        <w:footnoteReference w:id="6"/>
      </w:r>
    </w:p>
    <w:p w14:paraId="3881B1A8" w14:textId="77777777" w:rsidR="00951D24" w:rsidRPr="00675E5D" w:rsidRDefault="00000000" w:rsidP="00675E5D">
      <w:pPr>
        <w:spacing w:line="480" w:lineRule="auto"/>
        <w:contextualSpacing/>
        <w:rPr>
          <w:rFonts w:cs="Times New Roman"/>
          <w:szCs w:val="24"/>
        </w:rPr>
      </w:pPr>
      <w:r w:rsidRPr="00675E5D">
        <w:rPr>
          <w:rFonts w:cs="Times New Roman"/>
          <w:szCs w:val="24"/>
        </w:rPr>
        <w:t>Machine-learning models fundamentally challenge this framework. Neural networks are networks of interconnected nodes by the process of weighted training with the weighting effected by iterative optimization. They do not spout out rules in orthodox ways. Because predictions are made based on complicated, interactive, and non-linear annotations among thousands of variables. The importance of features is localized and relative. PCP is not discrete to isolate and challenge.</w:t>
      </w:r>
    </w:p>
    <w:p w14:paraId="62895571" w14:textId="77777777" w:rsidR="00951D24" w:rsidRPr="00675E5D" w:rsidRDefault="00000000" w:rsidP="00675E5D">
      <w:pPr>
        <w:spacing w:line="480" w:lineRule="auto"/>
        <w:contextualSpacing/>
        <w:rPr>
          <w:rFonts w:cs="Times New Roman"/>
          <w:szCs w:val="24"/>
        </w:rPr>
      </w:pPr>
      <w:r w:rsidRPr="00675E5D">
        <w:rPr>
          <w:rFonts w:cs="Times New Roman"/>
          <w:szCs w:val="24"/>
        </w:rPr>
        <w:t>Moreover, algorithmic bias usually works via proxy discrimination. Lenders might not necessarily be overt regarding race or gender, and are within the law by doing so. Nevertheless, there are other variables that are related to secured features. Postal codes are associated with racial groups as a result of residential segregation. Gender is related to spending patterns. In cases where algorithms can optimize predictive accuracy, the correlations can be identified and weighted, in essence, proxies can discriminate.</w:t>
      </w:r>
    </w:p>
    <w:p w14:paraId="499FC0F8"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This produces what we term the 'distributed intentionality problem': algorithmic systems diffuse causation across thousands of interacting variables, rendering traditional legal concepts of agency and intent analytically inadequate. Most predictive models are most accurate when interested in being opaque. The more complex the model is, the more predictive performance is </w:t>
      </w:r>
      <w:r w:rsidRPr="00675E5D">
        <w:rPr>
          <w:rFonts w:cs="Times New Roman"/>
          <w:szCs w:val="24"/>
        </w:rPr>
        <w:lastRenderedPageBreak/>
        <w:t>expected to improve, but the worse human understanding becomes. This is the tension between accuracy and interpretability that has a far-reaching problem with regimes of legal accountability based on the examination of decision-making.</w:t>
      </w:r>
    </w:p>
    <w:p w14:paraId="10BAB9AC" w14:textId="77777777" w:rsidR="00951D24" w:rsidRPr="00675E5D" w:rsidRDefault="00000000" w:rsidP="00675E5D">
      <w:pPr>
        <w:spacing w:line="480" w:lineRule="auto"/>
        <w:contextualSpacing/>
        <w:rPr>
          <w:rFonts w:cs="Times New Roman"/>
          <w:szCs w:val="24"/>
        </w:rPr>
      </w:pPr>
      <w:r w:rsidRPr="00675E5D">
        <w:rPr>
          <w:rFonts w:cs="Times New Roman"/>
          <w:szCs w:val="24"/>
        </w:rPr>
        <w:t>Claimants face insurmountable epistemic barriers. They might be interested in discrimination, yet they have no evidence or indications to prove it. When models are running in distributed effects, they are not able to find particular PCPs. In opaque processes, they are not able to exhibit causation. These proof of burden challenges could put anti-discriminatory guarantees in effect in algorithms into virtual nonexistence.</w:t>
      </w:r>
    </w:p>
    <w:p w14:paraId="6671AB36"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1.3 Research Questions and Significance</w:t>
      </w:r>
    </w:p>
    <w:p w14:paraId="31C22B82" w14:textId="77777777" w:rsidR="00951D24" w:rsidRPr="00675E5D" w:rsidRDefault="00000000" w:rsidP="00675E5D">
      <w:pPr>
        <w:spacing w:line="480" w:lineRule="auto"/>
        <w:contextualSpacing/>
        <w:rPr>
          <w:rFonts w:cs="Times New Roman"/>
          <w:szCs w:val="24"/>
        </w:rPr>
      </w:pPr>
      <w:r w:rsidRPr="00675E5D">
        <w:rPr>
          <w:rFonts w:cs="Times New Roman"/>
          <w:szCs w:val="24"/>
        </w:rPr>
        <w:t>The main research question in this dissertation is as follows: To what extent is UK anti-discrimination law effective in addressing algorithmic bias within credit-scoring systems?</w:t>
      </w:r>
    </w:p>
    <w:p w14:paraId="010BDB7E" w14:textId="77777777" w:rsidR="00951D24" w:rsidRPr="00675E5D" w:rsidRDefault="00000000" w:rsidP="00675E5D">
      <w:pPr>
        <w:spacing w:line="480" w:lineRule="auto"/>
        <w:contextualSpacing/>
        <w:rPr>
          <w:rFonts w:cs="Times New Roman"/>
          <w:szCs w:val="24"/>
        </w:rPr>
      </w:pPr>
      <w:r w:rsidRPr="00675E5D">
        <w:rPr>
          <w:rFonts w:cs="Times New Roman"/>
          <w:szCs w:val="24"/>
        </w:rPr>
        <w:t>This chief question results in supplementary questions. First, speaking of technical mechanisms: What do technical aspects of machine-learning systems such as training data selection, feature engineering, model architecture and performance optimization provide potentially discriminatory performance when applied to credit-scoring? Second, do the major anti-discrimination principles, especially ideas of direct discrimination, indirect discrimination, PCPs, justification, and causation fail or are inadequate in application to any of the systems of algorithmic decision making? Third, of regulatory effectiveness: How well do current regulatory frameworks, beyond the Equality Act 2010, such as consumer credit law, data protection law and financial services law, deal with algorithmic discrimination and in what areas have there been failures? Fourth, on the reform paths: What legal, regulatory and institutional reforms are required and commensurate to correct or maintain identified deficiencies and still have a positive innovation?</w:t>
      </w:r>
    </w:p>
    <w:p w14:paraId="3EF02C44"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These questions are significant due to interrelated reasons. To start with, the availability of credit is a significant determinant of economic prospects and welfare. Those who cannot get credit or who can only get credit at unfavorable conditions are prevented to own a home, receive an education, be an entrepreneur, and resilient during an emergency. When algorithmic credit scoring practices shape the distribution of disadvantage towards specific demographic groups systematically, they lock in and aggravate the redistributive goal of equality law.</w:t>
      </w:r>
    </w:p>
    <w:p w14:paraId="1EDF0F16" w14:textId="309D9816" w:rsidR="00951D24" w:rsidRPr="00675E5D" w:rsidRDefault="00000000" w:rsidP="00675E5D">
      <w:pPr>
        <w:spacing w:line="480" w:lineRule="auto"/>
        <w:contextualSpacing/>
        <w:rPr>
          <w:rFonts w:cs="Times New Roman"/>
          <w:szCs w:val="24"/>
        </w:rPr>
      </w:pPr>
      <w:r w:rsidRPr="00675E5D">
        <w:rPr>
          <w:rFonts w:cs="Times New Roman"/>
          <w:szCs w:val="24"/>
        </w:rPr>
        <w:t xml:space="preserve">Second, algorithmic discrimination casts </w:t>
      </w:r>
      <w:r w:rsidR="00675E5D" w:rsidRPr="00675E5D">
        <w:rPr>
          <w:rFonts w:cs="Times New Roman"/>
          <w:szCs w:val="24"/>
        </w:rPr>
        <w:t>doubt</w:t>
      </w:r>
      <w:r w:rsidRPr="00675E5D">
        <w:rPr>
          <w:rFonts w:cs="Times New Roman"/>
          <w:szCs w:val="24"/>
        </w:rPr>
        <w:t xml:space="preserve"> of innate justices and dignity. Society is committed to anti-discrimination law, which does not allow people to be under-privileged due to their innate traits or affiliation with a particular group that they have no control over. Even in the absence of human animus, when historic prejudice is coded into putatively objective algorithms, or validated with the assistance of inhibited properties, they draw formal equality norms and breach them. The consequences of discrimination can especially be toxic since the algorithmic operations seem to be objective and unbiased as they are working in an opaque way.</w:t>
      </w:r>
    </w:p>
    <w:p w14:paraId="6E5290E3" w14:textId="77777777" w:rsidR="00951D24" w:rsidRPr="00675E5D" w:rsidRDefault="00000000" w:rsidP="00675E5D">
      <w:pPr>
        <w:spacing w:line="480" w:lineRule="auto"/>
        <w:contextualSpacing/>
        <w:rPr>
          <w:rFonts w:cs="Times New Roman"/>
          <w:szCs w:val="24"/>
        </w:rPr>
      </w:pPr>
      <w:r w:rsidRPr="00675E5D">
        <w:rPr>
          <w:rFonts w:cs="Times New Roman"/>
          <w:szCs w:val="24"/>
        </w:rPr>
        <w:t>Third, this study addresses timely issues at the cross-border of the law, technology, and regulation. With the spread of artificial intelligence systems to all areas of life, questions of accountability of the algorithm become more pressing. Credit scoring provides information applicable to algorithmic discrimination issues in different situations and gives a manageable scope on in-depth analysis.</w:t>
      </w:r>
    </w:p>
    <w:p w14:paraId="708D42C2"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This study, in relation to the law of discrimination, also participates in the involvement of socio-technical systems. Although the legal literature has focused much on discrimination in employment, education, and housing, the concept of algorithmic credit scoring has been relatively understudied in the UK legal literature even though it is a practical concept. In this </w:t>
      </w:r>
      <w:r w:rsidRPr="00675E5D">
        <w:rPr>
          <w:rFonts w:cs="Times New Roman"/>
          <w:szCs w:val="24"/>
        </w:rPr>
        <w:lastRenderedPageBreak/>
        <w:t>dissertation, the field of doctrinal analysis is put into dialogue with the computer science scholarship of fairness, accountability, and transparency that creates inter-disciplinary insights.</w:t>
      </w:r>
    </w:p>
    <w:p w14:paraId="7646F4B3" w14:textId="0EA73338" w:rsidR="00951D24" w:rsidRPr="00675E5D" w:rsidRDefault="00000000" w:rsidP="00675E5D">
      <w:pPr>
        <w:spacing w:line="480" w:lineRule="auto"/>
        <w:contextualSpacing/>
        <w:rPr>
          <w:rFonts w:cs="Times New Roman"/>
          <w:szCs w:val="24"/>
        </w:rPr>
      </w:pPr>
      <w:r w:rsidRPr="00675E5D">
        <w:rPr>
          <w:rFonts w:cs="Times New Roman"/>
          <w:szCs w:val="24"/>
        </w:rPr>
        <w:t>This research makes three original contributions. First, it reconceptualizes PCPs as 'algorithmic dispositions'</w:t>
      </w:r>
      <w:r w:rsidR="000C634E">
        <w:rPr>
          <w:rFonts w:cs="Times New Roman"/>
          <w:szCs w:val="24"/>
        </w:rPr>
        <w:t xml:space="preserve"> </w:t>
      </w:r>
      <w:r w:rsidRPr="00675E5D">
        <w:rPr>
          <w:rFonts w:cs="Times New Roman"/>
          <w:szCs w:val="24"/>
        </w:rPr>
        <w:t>stable patterns of differential treatment embedded in model architectures. Second, it proposes a novel 'functional equivalence' test for proxy discrimination under s 13. Third, it develops an implementable three-pillar reform framework balancing innovation with equality protection. The consumers should have proper legal protection concerning the algorithmic discrimination. Banking must have a legal framework that can help provide an ethical use of algorithms. Laws should have structures on control and regulation. Legal reform requires evidence on the part of policymakers.</w:t>
      </w:r>
    </w:p>
    <w:p w14:paraId="1B266A58" w14:textId="77777777" w:rsidR="00951D24" w:rsidRPr="00675E5D" w:rsidRDefault="00000000" w:rsidP="00675E5D">
      <w:pPr>
        <w:spacing w:line="480" w:lineRule="auto"/>
        <w:contextualSpacing/>
        <w:rPr>
          <w:rFonts w:cs="Times New Roman"/>
          <w:szCs w:val="24"/>
        </w:rPr>
      </w:pPr>
      <w:r w:rsidRPr="00675E5D">
        <w:rPr>
          <w:rFonts w:cs="Times New Roman"/>
          <w:szCs w:val="24"/>
        </w:rPr>
        <w:t>The research is timely. Algorithms used in financial services are adopted faster than the regulating frameworks. The European Union has issued the AI Act that regulates the high-risk systems of AI such as credit scoring comprehensively. The White Paper positions on AI governance released by the UK Government have preferred to approach AI governance through sector oriented, solutions. The Financial Conduct Authority has opened consultations on the use of AI. The study in this dissertation would improve the policy discussions through the provision of solution-oriented reform proposals based on rigorous analysis of the existing weaknesses.</w:t>
      </w:r>
    </w:p>
    <w:p w14:paraId="2BCA7A6D"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1.4 Scope, Methodology, and Structure</w:t>
      </w:r>
    </w:p>
    <w:p w14:paraId="11C773E1" w14:textId="77777777" w:rsidR="00951D24" w:rsidRPr="00675E5D" w:rsidRDefault="00000000" w:rsidP="00675E5D">
      <w:pPr>
        <w:spacing w:line="480" w:lineRule="auto"/>
        <w:contextualSpacing/>
        <w:rPr>
          <w:rFonts w:cs="Times New Roman"/>
          <w:szCs w:val="24"/>
        </w:rPr>
      </w:pPr>
      <w:r w:rsidRPr="00675E5D">
        <w:rPr>
          <w:rFonts w:cs="Times New Roman"/>
          <w:szCs w:val="24"/>
        </w:rPr>
        <w:t>The dissertation is dedicated to the UK law applied to the systems of algorithmic credit-scoring. Although it attracts comparative lessons, and especially EU law, the most important point of analysis is the domestic UK law and regulation. The study analyzes credit scoring not other areas of algorithmic decision-making, but the conclusions have consequences with regard to algorithmic governance over a broader context.</w:t>
      </w:r>
    </w:p>
    <w:p w14:paraId="2BB52EC5"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methodology used in the research is a combination of systematic interpretation of statutory and case-law with critical approaches to theory. Doctrinal analysis involves stringent study of legal authority, means of interpreting the law, and judicial precedents. Critical analysis, based on critical legal studies and science-and-technology studies, is based on the critical examination of the structural presuppositions of law and technology as social constructs, and it exposes how the apparent neutrality of law and technique embodies power relations.</w:t>
      </w:r>
    </w:p>
    <w:p w14:paraId="60CFFF9A" w14:textId="77777777" w:rsidR="00951D24" w:rsidRPr="00675E5D" w:rsidRDefault="00000000" w:rsidP="00675E5D">
      <w:pPr>
        <w:spacing w:line="480" w:lineRule="auto"/>
        <w:contextualSpacing/>
        <w:rPr>
          <w:rFonts w:cs="Times New Roman"/>
          <w:szCs w:val="24"/>
        </w:rPr>
      </w:pPr>
      <w:r w:rsidRPr="00675E5D">
        <w:rPr>
          <w:rFonts w:cs="Times New Roman"/>
          <w:szCs w:val="24"/>
        </w:rPr>
        <w:t>The dissertation follows the eight chapters. Chapter 2 justifies the methodological approach. Chapter 3 includes a detailed address of legal and regulatory environment. Chapter 4 puts technical mechanisms into legal issues. Chapter 5 presents the framework by use of detailed case studies. Chapter 6 generalizes findings to make a diagnosis on systematic gaps. Chapter 7 suggests specific proposals concerning reforms. Chapter 8 brings back research questions and the future research directions to a close.</w:t>
      </w:r>
    </w:p>
    <w:p w14:paraId="268D8E17" w14:textId="77777777" w:rsidR="00951D24" w:rsidRPr="00675E5D" w:rsidRDefault="00000000" w:rsidP="00675E5D">
      <w:pPr>
        <w:spacing w:line="480" w:lineRule="auto"/>
        <w:contextualSpacing/>
        <w:rPr>
          <w:rFonts w:cs="Times New Roman"/>
          <w:szCs w:val="24"/>
        </w:rPr>
      </w:pPr>
      <w:r w:rsidRPr="00675E5D">
        <w:rPr>
          <w:rFonts w:cs="Times New Roman"/>
          <w:szCs w:val="24"/>
        </w:rPr>
        <w:t>This framework runs through identification of the problem, diagnosis to solution design keeping the analytic rigor but still with practical impact in mind.</w:t>
      </w:r>
    </w:p>
    <w:p w14:paraId="1F90C559" w14:textId="77777777" w:rsidR="00951D24" w:rsidRPr="00675E5D" w:rsidRDefault="00000000" w:rsidP="00675E5D">
      <w:pPr>
        <w:spacing w:line="480" w:lineRule="auto"/>
        <w:contextualSpacing/>
        <w:rPr>
          <w:rFonts w:cs="Times New Roman"/>
          <w:szCs w:val="24"/>
        </w:rPr>
      </w:pPr>
      <w:r w:rsidRPr="00675E5D">
        <w:rPr>
          <w:rFonts w:cs="Times New Roman"/>
          <w:szCs w:val="24"/>
        </w:rPr>
        <w:br w:type="page"/>
      </w:r>
    </w:p>
    <w:p w14:paraId="0FEFBBA1" w14:textId="77777777" w:rsidR="00951D24" w:rsidRPr="00675E5D" w:rsidRDefault="00000000" w:rsidP="00675E5D">
      <w:pPr>
        <w:pStyle w:val="Heading1"/>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CHAPTER 2: RESEARCH METHODOLOGY</w:t>
      </w:r>
    </w:p>
    <w:p w14:paraId="7AFDD039"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2.1 Doctrinal Legal Research Approach</w:t>
      </w:r>
    </w:p>
    <w:p w14:paraId="762A1882" w14:textId="77777777" w:rsidR="00951D24" w:rsidRPr="00675E5D" w:rsidRDefault="00000000" w:rsidP="00675E5D">
      <w:pPr>
        <w:spacing w:line="480" w:lineRule="auto"/>
        <w:contextualSpacing/>
        <w:rPr>
          <w:rFonts w:cs="Times New Roman"/>
          <w:szCs w:val="24"/>
        </w:rPr>
      </w:pPr>
      <w:r w:rsidRPr="00675E5D">
        <w:rPr>
          <w:rFonts w:cs="Times New Roman"/>
          <w:szCs w:val="24"/>
        </w:rPr>
        <w:t>The doctrinal legal research is the methodology used in this dissertation. Doctrinal research entails inductive study of the legal sources with a view to establish what the law is, how legal events take place, and what ought to be construed and applied. The main premise of the method consists in asserting the relative autonomy of the sources of law and their internal logic that can be studied by applying the interpretive method which is particular to the law.</w:t>
      </w:r>
    </w:p>
    <w:p w14:paraId="47FB3288" w14:textId="77777777" w:rsidR="00951D24" w:rsidRPr="00675E5D" w:rsidRDefault="00000000" w:rsidP="00675E5D">
      <w:pPr>
        <w:spacing w:line="480" w:lineRule="auto"/>
        <w:contextualSpacing/>
        <w:rPr>
          <w:rFonts w:cs="Times New Roman"/>
          <w:szCs w:val="24"/>
        </w:rPr>
      </w:pPr>
      <w:r w:rsidRPr="00675E5D">
        <w:rPr>
          <w:rFonts w:cs="Times New Roman"/>
          <w:szCs w:val="24"/>
        </w:rPr>
        <w:t>The study is a systematic examination of primary legal sources of law. The first category includes statutes. With the Equality Act 2010 as the core one (covered by the Consumer Credit Act 1974, Data Protection Act 2018, UK General Data Protection Regulation and Financial Services and Markets Act 2000). The rules in statutory interpretation include literal interpretation where the language is precise, and purposive interpretation where the language is ambiguous, resorted to the legislative history, and concerning the determination of the ruling in harmony with constitutional principles and human rights commitments under the Human Rights Act 1998.</w:t>
      </w:r>
    </w:p>
    <w:p w14:paraId="0ACE5643" w14:textId="77777777" w:rsidR="00951D24" w:rsidRPr="00675E5D" w:rsidRDefault="00000000" w:rsidP="00675E5D">
      <w:pPr>
        <w:spacing w:line="480" w:lineRule="auto"/>
        <w:contextualSpacing/>
        <w:rPr>
          <w:rFonts w:cs="Times New Roman"/>
          <w:szCs w:val="24"/>
        </w:rPr>
      </w:pPr>
      <w:r w:rsidRPr="00675E5D">
        <w:rPr>
          <w:rFonts w:cs="Times New Roman"/>
          <w:szCs w:val="24"/>
        </w:rPr>
        <w:t>The second important category of sources of law is the case law. Cases on interpretations of discrimination law offer official advice. Other significant cases are Essop v Home Office</w:t>
      </w:r>
      <w:r w:rsidRPr="00675E5D">
        <w:rPr>
          <w:rStyle w:val="FootnoteReference"/>
          <w:rFonts w:cs="Times New Roman"/>
          <w:szCs w:val="24"/>
        </w:rPr>
        <w:footnoteReference w:id="7"/>
      </w:r>
      <w:r w:rsidRPr="00675E5D">
        <w:rPr>
          <w:rFonts w:cs="Times New Roman"/>
          <w:szCs w:val="24"/>
        </w:rPr>
        <w:t xml:space="preserve"> on indirect discrimination, Igen Ltd v Wong</w:t>
      </w:r>
      <w:r w:rsidRPr="00675E5D">
        <w:rPr>
          <w:rStyle w:val="FootnoteReference"/>
          <w:rFonts w:cs="Times New Roman"/>
          <w:szCs w:val="24"/>
        </w:rPr>
        <w:footnoteReference w:id="8"/>
      </w:r>
      <w:r w:rsidRPr="00675E5D">
        <w:rPr>
          <w:rFonts w:cs="Times New Roman"/>
          <w:szCs w:val="24"/>
        </w:rPr>
        <w:t xml:space="preserve"> on burden of proof, Homer v Chief Constable of West Yorkshire</w:t>
      </w:r>
      <w:r w:rsidRPr="00675E5D">
        <w:rPr>
          <w:rStyle w:val="FootnoteReference"/>
          <w:rFonts w:cs="Times New Roman"/>
          <w:szCs w:val="24"/>
        </w:rPr>
        <w:footnoteReference w:id="9"/>
      </w:r>
      <w:r w:rsidRPr="00675E5D">
        <w:rPr>
          <w:rFonts w:cs="Times New Roman"/>
          <w:szCs w:val="24"/>
        </w:rPr>
        <w:t xml:space="preserve"> on justification, James v Eastleigh Borough Council</w:t>
      </w:r>
      <w:r w:rsidRPr="00675E5D">
        <w:rPr>
          <w:rStyle w:val="FootnoteReference"/>
          <w:rFonts w:cs="Times New Roman"/>
          <w:szCs w:val="24"/>
        </w:rPr>
        <w:footnoteReference w:id="10"/>
      </w:r>
      <w:r w:rsidRPr="00675E5D">
        <w:rPr>
          <w:rFonts w:cs="Times New Roman"/>
          <w:szCs w:val="24"/>
        </w:rPr>
        <w:t xml:space="preserve"> on direct discrimination, Nagarajan v London Regional Transport </w:t>
      </w:r>
      <w:r w:rsidRPr="00675E5D">
        <w:rPr>
          <w:rStyle w:val="FootnoteReference"/>
          <w:rFonts w:cs="Times New Roman"/>
          <w:szCs w:val="24"/>
        </w:rPr>
        <w:footnoteReference w:id="11"/>
      </w:r>
      <w:r w:rsidRPr="00675E5D">
        <w:rPr>
          <w:rFonts w:cs="Times New Roman"/>
          <w:szCs w:val="24"/>
        </w:rPr>
        <w:t>on causation, and R (E)</w:t>
      </w:r>
    </w:p>
    <w:p w14:paraId="28D00D6D"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third category of source includes regulatory materials. The importance of statutory provisions and the provisions of the Financial Conduct Authority Handbook, as well as guidance of the Information Commissioner, is the source of information regarding the way that statutory frameworks are applied in practice. Regulatory guidance is not substitutive of the law but courts give it some weight when they interpret the statutory obligations.</w:t>
      </w:r>
    </w:p>
    <w:p w14:paraId="509FD435" w14:textId="77777777" w:rsidR="00951D24" w:rsidRPr="00675E5D" w:rsidRDefault="00000000" w:rsidP="00675E5D">
      <w:pPr>
        <w:spacing w:line="480" w:lineRule="auto"/>
        <w:contextualSpacing/>
        <w:rPr>
          <w:rFonts w:cs="Times New Roman"/>
          <w:szCs w:val="24"/>
        </w:rPr>
      </w:pPr>
      <w:r w:rsidRPr="00675E5D">
        <w:rPr>
          <w:rFonts w:cs="Times New Roman"/>
          <w:szCs w:val="24"/>
        </w:rPr>
        <w:t>The combination of the textual, structural, and purposive approaches is considered to be interpretive. Ordinary meaning is the start of the elements of textual interpretation. Structural interpretation touches on the relationship of the provisions in a statute as well as in the larger legal structure. Purposive interpretation traces out statutory aims and applies these provisions to promote the aims.</w:t>
      </w:r>
    </w:p>
    <w:p w14:paraId="1E9CC548" w14:textId="1754416B" w:rsidR="00951D24" w:rsidRPr="00675E5D" w:rsidRDefault="00000000" w:rsidP="00675E5D">
      <w:pPr>
        <w:spacing w:line="480" w:lineRule="auto"/>
        <w:contextualSpacing/>
        <w:rPr>
          <w:rFonts w:cs="Times New Roman"/>
          <w:szCs w:val="24"/>
        </w:rPr>
      </w:pPr>
      <w:r w:rsidRPr="00675E5D">
        <w:rPr>
          <w:rFonts w:cs="Times New Roman"/>
          <w:szCs w:val="24"/>
        </w:rPr>
        <w:t>There is procedural interference with human rights implications. Section 3 of the Human Rights Act 1998 (HRA 1998)</w:t>
      </w:r>
      <w:r w:rsidR="00BC42EC">
        <w:rPr>
          <w:rStyle w:val="FootnoteReference"/>
          <w:rFonts w:cs="Times New Roman"/>
          <w:szCs w:val="24"/>
        </w:rPr>
        <w:footnoteReference w:id="12"/>
      </w:r>
      <w:r w:rsidRPr="00675E5D">
        <w:rPr>
          <w:rFonts w:cs="Times New Roman"/>
          <w:szCs w:val="24"/>
        </w:rPr>
        <w:t xml:space="preserve"> mandates an obligation of compatibility of statutes with European Convention on Human Rights</w:t>
      </w:r>
      <w:r w:rsidR="00BE4DFF">
        <w:rPr>
          <w:rStyle w:val="FootnoteReference"/>
          <w:rFonts w:cs="Times New Roman"/>
          <w:szCs w:val="24"/>
        </w:rPr>
        <w:footnoteReference w:id="13"/>
      </w:r>
      <w:r w:rsidRPr="00675E5D">
        <w:rPr>
          <w:rFonts w:cs="Times New Roman"/>
          <w:szCs w:val="24"/>
        </w:rPr>
        <w:t xml:space="preserve"> as far as it is possible. The rights relevant Conventions contain Article 14 (prohibition of discrimination) as interpreted in conjunction with Article 8 ECHR (right to private life of a person) and also with Article 1 of Protocol 1 ECHR (protection of the property).</w:t>
      </w:r>
    </w:p>
    <w:p w14:paraId="7F490E54" w14:textId="77777777" w:rsidR="00951D24" w:rsidRPr="00675E5D" w:rsidRDefault="00000000" w:rsidP="00675E5D">
      <w:pPr>
        <w:spacing w:line="480" w:lineRule="auto"/>
        <w:contextualSpacing/>
        <w:rPr>
          <w:rFonts w:cs="Times New Roman"/>
          <w:szCs w:val="24"/>
        </w:rPr>
      </w:pPr>
      <w:r w:rsidRPr="00675E5D">
        <w:rPr>
          <w:rFonts w:cs="Times New Roman"/>
          <w:szCs w:val="24"/>
        </w:rPr>
        <w:t>Essential strengths are offered by the doctrinal analysis. It provides disciplined methods of dealing with authoritative legal materials through the techniques of legal reasoning. It recognizes rules of binding, clarifies vague terms, and associates the law to facts. It is able to uncover internal discrepancies, lacuna, and inconsistencies in legal jurisdictions.</w:t>
      </w:r>
    </w:p>
    <w:p w14:paraId="30B7AF0B"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2.2 Critical Legal Framework</w:t>
      </w:r>
    </w:p>
    <w:p w14:paraId="11C2FCA9" w14:textId="77777777" w:rsidR="00951D24" w:rsidRPr="00675E5D" w:rsidRDefault="00000000" w:rsidP="00675E5D">
      <w:pPr>
        <w:spacing w:line="480" w:lineRule="auto"/>
        <w:contextualSpacing/>
        <w:rPr>
          <w:rFonts w:cs="Times New Roman"/>
          <w:szCs w:val="24"/>
        </w:rPr>
      </w:pPr>
      <w:r w:rsidRPr="00675E5D">
        <w:rPr>
          <w:rFonts w:cs="Times New Roman"/>
          <w:szCs w:val="24"/>
        </w:rPr>
        <w:t>The analysis of doctrines is not sufficient. Doctrinal method adopts the categories and concepts of law as more or less given with an emphasis on interpretation and application instead of questioning the assumptions. The anthropocentrism of the law, how technology facilitates social power, and whether the conceptual architecture of law is acceptable all need to be interrogated in order to realize the manner in which algorithmic credit scoring alleges equality law.</w:t>
      </w:r>
      <w:r w:rsidRPr="00675E5D">
        <w:rPr>
          <w:rStyle w:val="FootnoteReference"/>
          <w:rFonts w:cs="Times New Roman"/>
          <w:szCs w:val="24"/>
        </w:rPr>
        <w:footnoteReference w:id="14"/>
      </w:r>
    </w:p>
    <w:p w14:paraId="006393B3" w14:textId="77777777" w:rsidR="00951D24" w:rsidRPr="00675E5D" w:rsidRDefault="00000000" w:rsidP="00675E5D">
      <w:pPr>
        <w:spacing w:line="480" w:lineRule="auto"/>
        <w:contextualSpacing/>
        <w:rPr>
          <w:rFonts w:cs="Times New Roman"/>
          <w:szCs w:val="24"/>
        </w:rPr>
      </w:pPr>
      <w:r w:rsidRPr="00675E5D">
        <w:rPr>
          <w:rFonts w:cs="Times New Roman"/>
          <w:szCs w:val="24"/>
        </w:rPr>
        <w:t>Critical legal studies emerged in the 1970s-1980s, fundamentally challenging liberal legalism's claim that law is neutral, determinate, and apolitical that legal law is neutral, determinate, and distinct from politics. Scholars of CLS claimed that law doctrines were indeterminate, which allowed finding various possible interpretations to justify various results.</w:t>
      </w:r>
      <w:r w:rsidRPr="00675E5D">
        <w:rPr>
          <w:rStyle w:val="FootnoteReference"/>
          <w:rFonts w:cs="Times New Roman"/>
          <w:szCs w:val="24"/>
        </w:rPr>
        <w:footnoteReference w:id="15"/>
      </w:r>
      <w:r w:rsidRPr="00675E5D">
        <w:rPr>
          <w:rFonts w:cs="Times New Roman"/>
          <w:szCs w:val="24"/>
        </w:rPr>
        <w:t xml:space="preserve"> The legal reasoning is not discovery of existing rules and is constitutive argumentation that builds outcomes and seems to derive them out of principles. Law is not independent of politics and power, but simply writes or makes legitimate certain allocations of social resources.</w:t>
      </w:r>
    </w:p>
    <w:p w14:paraId="0725E544" w14:textId="77777777" w:rsidR="00951D24" w:rsidRPr="00675E5D" w:rsidRDefault="00000000" w:rsidP="00675E5D">
      <w:pPr>
        <w:spacing w:line="480" w:lineRule="auto"/>
        <w:contextualSpacing/>
        <w:rPr>
          <w:rFonts w:cs="Times New Roman"/>
          <w:szCs w:val="24"/>
        </w:rPr>
      </w:pPr>
      <w:r w:rsidRPr="00675E5D">
        <w:rPr>
          <w:rFonts w:cs="Times New Roman"/>
          <w:szCs w:val="24"/>
        </w:rPr>
        <w:t>There are some critical insights that are adopted in this dissertation. First, the seemingly neutral categories of law tend to incorporate substantive assumptions that favor certain interests above all. The intentionality and discrete practices perspective that the Equality Act puts on should demonstrate the atomized actors of liberal individualism. This framework can fail systematically to take care of structural discrimination created by some collective processes or technological systems that do not involve agency intentionally.</w:t>
      </w:r>
    </w:p>
    <w:p w14:paraId="53D90DC3"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Second, the legal types are not necessarily natural or naturally present in the past. The current model of the anti-discrimination law is an expression of certain political trade-offs and social realities. The historical construction of law indicates their existing constraints and the opportunities to change.</w:t>
      </w:r>
    </w:p>
    <w:p w14:paraId="48F1D290" w14:textId="77777777" w:rsidR="00951D24" w:rsidRPr="00675E5D" w:rsidRDefault="00000000" w:rsidP="00675E5D">
      <w:pPr>
        <w:spacing w:line="480" w:lineRule="auto"/>
        <w:contextualSpacing/>
        <w:rPr>
          <w:rFonts w:cs="Times New Roman"/>
          <w:szCs w:val="24"/>
        </w:rPr>
      </w:pPr>
      <w:r w:rsidRPr="00675E5D">
        <w:rPr>
          <w:rFonts w:cs="Times New Roman"/>
          <w:szCs w:val="24"/>
        </w:rPr>
        <w:t>Third, there can exist formal legal equality and substantive inequality. The concept of providing equal treatment without considering the situation will be the same, a concept known as formal equality, which is likely to perpetuate disadvantage where initial positions are unequal. Direct discrimination in the Equality Act is outlawed and this creates formal equality. Formal equal treatment in credit scores however might maintain historic discrimination when algorithms are trained with biased historic data.</w:t>
      </w:r>
    </w:p>
    <w:p w14:paraId="0027BBFA" w14:textId="3D125137" w:rsidR="00951D24" w:rsidRPr="00675E5D" w:rsidRDefault="00000000" w:rsidP="00675E5D">
      <w:pPr>
        <w:spacing w:line="480" w:lineRule="auto"/>
        <w:contextualSpacing/>
        <w:rPr>
          <w:rFonts w:cs="Times New Roman"/>
          <w:szCs w:val="24"/>
        </w:rPr>
      </w:pPr>
      <w:r w:rsidRPr="00675E5D">
        <w:rPr>
          <w:rFonts w:cs="Times New Roman"/>
          <w:szCs w:val="24"/>
        </w:rPr>
        <w:t>Science and technology studies (STS) offer some complementary critical insights. STS not only applies to the social construction of scientific knowledge and technological artifacts but also to the limits or constraints to social possibilities and the ways that technologies, having been built, structure human relationships.</w:t>
      </w:r>
    </w:p>
    <w:p w14:paraId="0F631B3F" w14:textId="77777777" w:rsidR="00951D24" w:rsidRPr="00675E5D" w:rsidRDefault="00000000" w:rsidP="00675E5D">
      <w:pPr>
        <w:spacing w:line="480" w:lineRule="auto"/>
        <w:contextualSpacing/>
        <w:rPr>
          <w:rFonts w:cs="Times New Roman"/>
          <w:szCs w:val="24"/>
        </w:rPr>
      </w:pPr>
      <w:r w:rsidRPr="00675E5D">
        <w:rPr>
          <w:rFonts w:cs="Times New Roman"/>
          <w:szCs w:val="24"/>
        </w:rPr>
        <w:t>This dissertation is informed by a number of STS insights. First, algorithms are not black boxes who are neutral and find the objective patterns in information. Decisions relevant to the data to be collected, the manner of selecting the variables, their characteristics to be captured, the outcomes sought to be optimized and the means of measuring performance are all affected by human decision-making and values.</w:t>
      </w:r>
    </w:p>
    <w:p w14:paraId="681906EB" w14:textId="77777777" w:rsidR="00951D24" w:rsidRPr="00675E5D" w:rsidRDefault="00000000" w:rsidP="00675E5D">
      <w:pPr>
        <w:spacing w:line="480" w:lineRule="auto"/>
        <w:contextualSpacing/>
        <w:rPr>
          <w:rFonts w:cs="Times New Roman"/>
          <w:szCs w:val="24"/>
        </w:rPr>
      </w:pPr>
      <w:r w:rsidRPr="00675E5D">
        <w:rPr>
          <w:rFonts w:cs="Times New Roman"/>
          <w:szCs w:val="24"/>
        </w:rPr>
        <w:t>Second, technological systems are not appurate to legal and social systems, they are practices of governance, distributing rights, enforcing responsibilities and making decisions. Automated credit rating is privatized governance.</w:t>
      </w:r>
    </w:p>
    <w:p w14:paraId="232B5513"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Third, it is not a matter of just technical issues but a matter of political issues regarding accountability and power. The opaque nature of algorithmic systems means that they will not be reviewed democratically or held accountable to the law.</w:t>
      </w:r>
    </w:p>
    <w:p w14:paraId="506B6E94" w14:textId="77777777" w:rsidR="00951D24" w:rsidRPr="00675E5D" w:rsidRDefault="00000000" w:rsidP="00675E5D">
      <w:pPr>
        <w:spacing w:line="480" w:lineRule="auto"/>
        <w:contextualSpacing/>
        <w:rPr>
          <w:rFonts w:cs="Times New Roman"/>
          <w:szCs w:val="24"/>
        </w:rPr>
      </w:pPr>
      <w:r w:rsidRPr="00675E5D">
        <w:rPr>
          <w:rFonts w:cs="Times New Roman"/>
          <w:szCs w:val="24"/>
        </w:rPr>
        <w:t>This dissertation harmonizes the doctrinal and critical approaches in the form of the critical doctrinal analysis. It is serious about law as a somewhat independent discipline that has its own way of doing things and authorities, keeping to doctrinal rigor in the method of statutory and case analysis. At the same time, it is also a critical analysis of the conceptual presupposition of law, how it engages and relates with technology and power, and how the sufficiency of law is assessed through the substantive test of justice and efficacy.</w:t>
      </w:r>
    </w:p>
    <w:p w14:paraId="447DF1D7"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2.3 Interdisciplinary Integration and Limitations</w:t>
      </w:r>
    </w:p>
    <w:p w14:paraId="2EB3A949" w14:textId="77777777" w:rsidR="00951D24" w:rsidRPr="00675E5D" w:rsidRDefault="00000000" w:rsidP="00675E5D">
      <w:pPr>
        <w:spacing w:line="480" w:lineRule="auto"/>
        <w:contextualSpacing/>
        <w:rPr>
          <w:rFonts w:cs="Times New Roman"/>
          <w:szCs w:val="24"/>
        </w:rPr>
      </w:pPr>
      <w:r w:rsidRPr="00675E5D">
        <w:rPr>
          <w:rFonts w:cs="Times New Roman"/>
          <w:szCs w:val="24"/>
        </w:rPr>
        <w:t>To actively employ algorithmic credit-scoring discrimination in the analysis of the issue, it is necessary to use not only legal sources but also computer science literature on machine learning, empirical studies on lending discrimination, and regulatory policy documents.</w:t>
      </w:r>
      <w:r w:rsidRPr="00675E5D">
        <w:rPr>
          <w:rStyle w:val="FootnoteReference"/>
          <w:rFonts w:cs="Times New Roman"/>
          <w:szCs w:val="24"/>
        </w:rPr>
        <w:footnoteReference w:id="16"/>
      </w:r>
    </w:p>
    <w:p w14:paraId="3D7229BD" w14:textId="77777777" w:rsidR="00951D24" w:rsidRPr="00675E5D" w:rsidRDefault="00000000" w:rsidP="00675E5D">
      <w:pPr>
        <w:spacing w:line="480" w:lineRule="auto"/>
        <w:contextualSpacing/>
        <w:rPr>
          <w:rFonts w:cs="Times New Roman"/>
          <w:szCs w:val="24"/>
        </w:rPr>
      </w:pPr>
      <w:r w:rsidRPr="00675E5D">
        <w:rPr>
          <w:rFonts w:cs="Times New Roman"/>
          <w:szCs w:val="24"/>
        </w:rPr>
        <w:t>Charters on computer science offer the necessary concepts on the mechanism of algorithms and the occurrence of bias. The most significant ones are supervised learning, feature engineering, metrics of model evaluation, and bias mitigation strategies. The study relies on reviewed electronic materials in computing science to define technical processes in an accurate manner.</w:t>
      </w:r>
    </w:p>
    <w:p w14:paraId="5FB817CB"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This study has limitations associated with it. The most fundamental limitation is data access limitations. Business credit-scoring resolutions are trade secrets. This study does not have the opportunity to look at real commercial algorithms. Conclusions are also limited by the Generalizability limits. The world of credit scoring comprises various technologies used in </w:t>
      </w:r>
      <w:r w:rsidRPr="00675E5D">
        <w:rPr>
          <w:rFonts w:cs="Times New Roman"/>
          <w:szCs w:val="24"/>
        </w:rPr>
        <w:lastRenderedPageBreak/>
        <w:t>different situations. The other limitation comes up as a result of temporal dynamism. On the one hand, technology develops very fast. On the other hand, regulation develops very fast. This dissertation gives an outline of the time, 2025, around May.</w:t>
      </w:r>
      <w:r w:rsidRPr="00675E5D">
        <w:rPr>
          <w:rStyle w:val="FootnoteReference"/>
          <w:rFonts w:cs="Times New Roman"/>
          <w:szCs w:val="24"/>
        </w:rPr>
        <w:footnoteReference w:id="17"/>
      </w:r>
    </w:p>
    <w:p w14:paraId="3475A24F" w14:textId="77777777" w:rsidR="00951D24" w:rsidRPr="00675E5D" w:rsidRDefault="00000000" w:rsidP="00675E5D">
      <w:pPr>
        <w:spacing w:line="480" w:lineRule="auto"/>
        <w:contextualSpacing/>
        <w:rPr>
          <w:rFonts w:cs="Times New Roman"/>
          <w:szCs w:val="24"/>
        </w:rPr>
      </w:pPr>
      <w:r w:rsidRPr="00675E5D">
        <w:rPr>
          <w:rFonts w:cs="Times New Roman"/>
          <w:szCs w:val="24"/>
        </w:rPr>
        <w:t>The study has aimed at being comprehensible, true and accountable when reporting its findings by noting the shortcomings of any single investigator in various fields of study.</w:t>
      </w:r>
    </w:p>
    <w:p w14:paraId="1FE08931" w14:textId="77777777" w:rsidR="00951D24" w:rsidRPr="00675E5D" w:rsidRDefault="00000000" w:rsidP="00675E5D">
      <w:pPr>
        <w:spacing w:line="480" w:lineRule="auto"/>
        <w:contextualSpacing/>
        <w:rPr>
          <w:rFonts w:cs="Times New Roman"/>
          <w:szCs w:val="24"/>
        </w:rPr>
      </w:pPr>
      <w:r w:rsidRPr="00675E5D">
        <w:rPr>
          <w:rFonts w:cs="Times New Roman"/>
          <w:szCs w:val="24"/>
        </w:rPr>
        <w:br w:type="page"/>
      </w:r>
    </w:p>
    <w:p w14:paraId="03FBE423" w14:textId="77777777" w:rsidR="00951D24" w:rsidRPr="00675E5D" w:rsidRDefault="00000000" w:rsidP="00675E5D">
      <w:pPr>
        <w:pStyle w:val="Heading1"/>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CHAPTER 3: LEGAL FRAMEWORK</w:t>
      </w:r>
    </w:p>
    <w:p w14:paraId="716BC331"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3.1 Equality Act 2010: Core Provisions</w:t>
      </w:r>
    </w:p>
    <w:p w14:paraId="4E2C1CA5" w14:textId="77777777" w:rsidR="00951D24" w:rsidRPr="00675E5D" w:rsidRDefault="00000000" w:rsidP="00675E5D">
      <w:pPr>
        <w:spacing w:line="480" w:lineRule="auto"/>
        <w:contextualSpacing/>
        <w:rPr>
          <w:rFonts w:cs="Times New Roman"/>
          <w:szCs w:val="24"/>
        </w:rPr>
      </w:pPr>
      <w:r w:rsidRPr="00675E5D">
        <w:rPr>
          <w:rFonts w:cs="Times New Roman"/>
          <w:szCs w:val="24"/>
        </w:rPr>
        <w:t>The Equality Act 2010</w:t>
      </w:r>
      <w:r w:rsidRPr="00675E5D">
        <w:rPr>
          <w:rStyle w:val="FootnoteReference"/>
          <w:rFonts w:cs="Times New Roman"/>
          <w:szCs w:val="24"/>
        </w:rPr>
        <w:footnoteReference w:id="18"/>
      </w:r>
      <w:r w:rsidRPr="00675E5D">
        <w:rPr>
          <w:rFonts w:cs="Times New Roman"/>
          <w:szCs w:val="24"/>
        </w:rPr>
        <w:t xml:space="preserve"> brings together British discrimination law, and replaces any previous statutes. The Act covers persons against discrimination on the ground of nine of the protected qualities, age, disability, gender reassignment, marriage and civil partnership, pregnancy and maternity, race, religion or belief, sex and sexual orientation. Age, race and sex, are very salient when it comes to credit-scoring.</w:t>
      </w:r>
    </w:p>
    <w:p w14:paraId="12810023" w14:textId="77777777" w:rsidR="000C634E" w:rsidRDefault="00000000" w:rsidP="000C634E">
      <w:pPr>
        <w:spacing w:line="480" w:lineRule="auto"/>
        <w:contextualSpacing/>
        <w:rPr>
          <w:rFonts w:cs="Times New Roman"/>
          <w:szCs w:val="24"/>
        </w:rPr>
      </w:pPr>
      <w:r w:rsidRPr="00675E5D">
        <w:rPr>
          <w:rFonts w:cs="Times New Roman"/>
          <w:szCs w:val="24"/>
        </w:rPr>
        <w:t>In section 4, there is a definition of protected characteristics. Race incorporates color, nationality and ethnic or national origins. Sex is binary under the Act. Age can be defined as individuals within a certain age. Part 3 relates to services and functions of the public. Section 29 deals with the discrimination that should not be allowed when relating to the services offered by service providers to the populace. Credit: section 29(6) expressly clarifies that banking, insurance or credit granting facilities are also covered by the services.</w:t>
      </w:r>
    </w:p>
    <w:p w14:paraId="60077C61" w14:textId="77777777" w:rsidR="000C634E" w:rsidRDefault="000C634E" w:rsidP="000C634E">
      <w:pPr>
        <w:spacing w:line="480" w:lineRule="auto"/>
        <w:contextualSpacing/>
        <w:rPr>
          <w:rFonts w:cs="Times New Roman"/>
          <w:szCs w:val="24"/>
        </w:rPr>
      </w:pPr>
    </w:p>
    <w:p w14:paraId="601A00B9" w14:textId="79EEFA5B" w:rsidR="00951D24" w:rsidRPr="000C634E" w:rsidRDefault="00000000" w:rsidP="000C634E">
      <w:pPr>
        <w:spacing w:line="480" w:lineRule="auto"/>
        <w:contextualSpacing/>
        <w:rPr>
          <w:rFonts w:cs="Times New Roman"/>
          <w:szCs w:val="24"/>
        </w:rPr>
      </w:pPr>
      <w:r w:rsidRPr="000C634E">
        <w:rPr>
          <w:rFonts w:cs="Times New Roman"/>
          <w:b/>
          <w:bCs/>
          <w:szCs w:val="24"/>
        </w:rPr>
        <w:t>Direct Discrimination (Section 13)</w:t>
      </w:r>
      <w:r w:rsidRPr="00675E5D">
        <w:rPr>
          <w:rFonts w:cs="Times New Roman"/>
          <w:szCs w:val="24"/>
        </w:rPr>
        <w:br/>
      </w:r>
      <w:r w:rsidRPr="000C634E">
        <w:rPr>
          <w:rFonts w:cs="Times New Roman"/>
          <w:szCs w:val="24"/>
        </w:rPr>
        <w:t>The use of safeguarded features in algorithmic situations brings forth new questions of interpretation. Although the Equality Act explicitly applies to credit services, the distributed character of algorithmic choice poses a problem to actual senses of when characteristics are taken into account or utilized in decision making. Where an algorithm, which does not explicitly handle data marked as race, or as sex, yet gives a set of racially or gender-disparate results systematically through proxy variables, has the characteristic been used in violation of the meaning of the term in the Act?</w:t>
      </w:r>
    </w:p>
    <w:p w14:paraId="609A9884"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This question raises both problematic questions of algorithmic intentionality and of algorithmic liability. The traditional discrimination law was made based on human actors whose consideration of the protected characteristics might be identified by either testimony, by document or circumstantial inference. The presence of subjective mental states is not present in algorithmic systems. They treat inputs mathematically with no consideration at all in phenomenological senses. But their outputs are found to correlate with safeguarded personalities.</w:t>
      </w:r>
    </w:p>
    <w:p w14:paraId="25D9DB98" w14:textId="6CCC281D" w:rsidR="00951D24" w:rsidRPr="00675E5D" w:rsidRDefault="00000000" w:rsidP="00675E5D">
      <w:pPr>
        <w:spacing w:line="480" w:lineRule="auto"/>
        <w:contextualSpacing/>
        <w:rPr>
          <w:rFonts w:cs="Times New Roman"/>
          <w:szCs w:val="24"/>
        </w:rPr>
      </w:pPr>
      <w:r w:rsidRPr="00675E5D">
        <w:rPr>
          <w:rFonts w:cs="Times New Roman"/>
          <w:szCs w:val="24"/>
        </w:rPr>
        <w:t>There are scholars who claim that the guarded features must be thought of in terms of functionality and not formality in the context of algorithms. In this perception, when the outputs of an algorithm depend on concealed features systematically even where the features are not manipulated per se, the features have a functional determining capacity and are, therefore, considered as used under the consideration of the Act. This construal would give direct discrimination broader application to include foolhardy proxy measures.</w:t>
      </w:r>
    </w:p>
    <w:p w14:paraId="31CA0F51" w14:textId="77777777" w:rsidR="00951D24" w:rsidRPr="00675E5D" w:rsidRDefault="00000000" w:rsidP="00675E5D">
      <w:pPr>
        <w:spacing w:line="480" w:lineRule="auto"/>
        <w:contextualSpacing/>
        <w:rPr>
          <w:rFonts w:cs="Times New Roman"/>
          <w:szCs w:val="24"/>
        </w:rPr>
      </w:pPr>
      <w:r w:rsidRPr="00675E5D">
        <w:rPr>
          <w:rFonts w:cs="Times New Roman"/>
          <w:szCs w:val="24"/>
        </w:rPr>
        <w:t>Secure traits are complex to interact in algorithmic situations. This is especially the problem of age. Age is not categorical as most similar characteristics; that is, it is continuous. Each individual is aged; the issue is whether there is any justification of particular age-related differentiations.</w:t>
      </w:r>
      <w:r w:rsidRPr="00675E5D">
        <w:rPr>
          <w:rStyle w:val="FootnoteReference"/>
          <w:rFonts w:cs="Times New Roman"/>
          <w:szCs w:val="24"/>
        </w:rPr>
        <w:footnoteReference w:id="19"/>
      </w:r>
      <w:r w:rsidRPr="00675E5D">
        <w:rPr>
          <w:rFonts w:cs="Times New Roman"/>
          <w:szCs w:val="24"/>
        </w:rPr>
        <w:t xml:space="preserve"> Algorithms credit-scoring regularly take the variables related to age: length of credit history, duration of employment, patterns of asset accumulation. Such factors also inevitably correlate with age since the financial condition changes with the course of the life. The analytical complication of determining whether age is legitimately being risk assessed or considering that age-based discrimination is unlawful occurs in cases where the effects of age are confounded by a large number of correlated variables.</w:t>
      </w:r>
    </w:p>
    <w:p w14:paraId="2FBA59A3"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issue of disability poses unique concerns. The Equality Act outlaws cases of discrimination due to disability and makes reasonable adjustments. The definition of disability however, emphasizes on physical, or mental impairments that have tremendous long-term impacts on the capacity to perform normal day-to-day tasks. Algorithms in credit-scoring do not generally accept the status of disability as input. However, the disabled can also be associated with income, healthcare costs or job losses, which algorithms are capable of processing. If people that are disadvantaged by algorithms do not have a financial pattern that matches disability-related conditions, does illegal disability discrimination take place? Or are those a-priori considerations of financial measures that just turn out to be related to disability?</w:t>
      </w:r>
    </w:p>
    <w:p w14:paraId="1B0D996F" w14:textId="77777777" w:rsidR="00951D24" w:rsidRPr="00675E5D" w:rsidRDefault="00000000" w:rsidP="00675E5D">
      <w:pPr>
        <w:spacing w:line="480" w:lineRule="auto"/>
        <w:contextualSpacing/>
        <w:rPr>
          <w:rFonts w:cs="Times New Roman"/>
          <w:szCs w:val="24"/>
        </w:rPr>
      </w:pPr>
      <w:r w:rsidRPr="00675E5D">
        <w:rPr>
          <w:rFonts w:cs="Times New Roman"/>
          <w:szCs w:val="24"/>
        </w:rPr>
        <w:t>The reasonably adjustment stipulations of the Act compel service providers to make adaptive changes to disabled persons in circumstances where their failure to do so subjects them to a significant disadvantage. When applied to algorithmic credit scoring, it may necessitate lenders to: detect instances where algorithmic scores indicate cases of disability; re-calibrate the assessment to eliminate the presence of disability-related disadvantages; or offer alternative avenues of assessment to disabled candidates. Nevertheless, these personalized manipulations are not compatible with the logic of the algorithmic credit score, in the sense of standardized evaluation of which large groups of people occur through automated methods. Introducing useful reasonable modifications and preserving the results of the algorithms have not been solved in a practical manner.</w:t>
      </w:r>
    </w:p>
    <w:p w14:paraId="73C3FB48"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Moreover, the Act prevents individuals who are discriminated against due to perceived, or association with people who have, the characteristics which are protectable. These provisions present curious questions in the area of algorithms. Does an algorithm have the ability to perceive the characteristics or matches applicants with shielded groups? These ideas assume that </w:t>
      </w:r>
      <w:r w:rsidRPr="00675E5D">
        <w:rPr>
          <w:rFonts w:cs="Times New Roman"/>
          <w:szCs w:val="24"/>
        </w:rPr>
        <w:lastRenderedPageBreak/>
        <w:t>there are no algorithms of cognitive processes. However, algorithms will categorize applicants in groups that correlate with attributes that are protected on the basis of behavioral patterns, meaning that it would be group membership, which is compromised by proxy characteristics. The question of whether or not perception and association doctrines apply to such algorithmic classification has not been called upon in case law.</w:t>
      </w:r>
    </w:p>
    <w:p w14:paraId="408BEFB1" w14:textId="6F2BCC94" w:rsidR="00951D24" w:rsidRPr="00675E5D" w:rsidRDefault="00000000" w:rsidP="00675E5D">
      <w:pPr>
        <w:spacing w:line="480" w:lineRule="auto"/>
        <w:contextualSpacing/>
        <w:rPr>
          <w:rFonts w:cs="Times New Roman"/>
          <w:szCs w:val="24"/>
        </w:rPr>
      </w:pPr>
      <w:r w:rsidRPr="00675E5D">
        <w:rPr>
          <w:rFonts w:cs="Times New Roman"/>
          <w:szCs w:val="24"/>
        </w:rPr>
        <w:t>Direct discrimination is defined in Section 13; (1) (A) A person (A) discriminates against another (B) otherwise an individual treats less favorably a person (B) than he/she treats or would treat other people due to a protected characteristic. This formulation presupposes various components less favorable treatment, causal relationship ("because of) and comparison with the treatment of other people.</w:t>
      </w:r>
    </w:p>
    <w:p w14:paraId="537740ED" w14:textId="77777777" w:rsidR="00951D24" w:rsidRPr="00675E5D" w:rsidRDefault="00000000" w:rsidP="00675E5D">
      <w:pPr>
        <w:spacing w:line="480" w:lineRule="auto"/>
        <w:contextualSpacing/>
        <w:rPr>
          <w:rFonts w:cs="Times New Roman"/>
          <w:szCs w:val="24"/>
        </w:rPr>
      </w:pPr>
      <w:r w:rsidRPr="00675E5D">
        <w:rPr>
          <w:rFonts w:cs="Times New Roman"/>
          <w:szCs w:val="24"/>
        </w:rPr>
        <w:t>The causation because of requirement is critical. The House of Lords in Nagarajan v London Regional Transport [1999] UKHL 36 at [12] said that because of is concerned with the cause of the alleged discriminator taking action, that is, with the mental processes (conscious or unconscious) which caused treatment.</w:t>
      </w:r>
    </w:p>
    <w:p w14:paraId="2102A5F5" w14:textId="77777777" w:rsidR="00951D24" w:rsidRPr="00675E5D" w:rsidRDefault="00000000" w:rsidP="00675E5D">
      <w:pPr>
        <w:spacing w:line="480" w:lineRule="auto"/>
        <w:contextualSpacing/>
        <w:rPr>
          <w:rFonts w:cs="Times New Roman"/>
          <w:szCs w:val="24"/>
        </w:rPr>
      </w:pPr>
      <w:r w:rsidRPr="00675E5D">
        <w:rPr>
          <w:rFonts w:cs="Times New Roman"/>
          <w:szCs w:val="24"/>
        </w:rPr>
        <w:t>This goal-oriented paradigm is naturally aligned with the case of human decision-makers and the possibility to study their mental conditions. What about its application to non-mental algorithmic systems?</w:t>
      </w:r>
    </w:p>
    <w:p w14:paraId="7DA56405" w14:textId="77777777" w:rsidR="00951D24" w:rsidRPr="00675E5D" w:rsidRDefault="00000000" w:rsidP="00675E5D">
      <w:pPr>
        <w:spacing w:line="480" w:lineRule="auto"/>
        <w:contextualSpacing/>
        <w:rPr>
          <w:rFonts w:cs="Times New Roman"/>
          <w:szCs w:val="24"/>
        </w:rPr>
      </w:pPr>
      <w:r w:rsidRPr="00675E5D">
        <w:rPr>
          <w:rFonts w:cs="Times New Roman"/>
          <w:szCs w:val="24"/>
        </w:rPr>
        <w:t>It might be understood as one thing in that an algorithmic direct discrimination happens should a protected characteristic itself be directly fed into the model. Nonetheless, the vast majority of credit-scoring models do not explicitly take the input variables of protections. Are their exclusion bars to direct discrimination claims?</w:t>
      </w:r>
    </w:p>
    <w:p w14:paraId="4CFB009D" w14:textId="4A8CD29D" w:rsidR="00951D24" w:rsidRPr="00675E5D" w:rsidRDefault="00000000" w:rsidP="00675E5D">
      <w:pPr>
        <w:spacing w:line="480" w:lineRule="auto"/>
        <w:contextualSpacing/>
        <w:rPr>
          <w:rFonts w:cs="Times New Roman"/>
          <w:szCs w:val="24"/>
        </w:rPr>
      </w:pPr>
      <w:r w:rsidRPr="00675E5D">
        <w:rPr>
          <w:rFonts w:cs="Times New Roman"/>
          <w:szCs w:val="24"/>
        </w:rPr>
        <w:t xml:space="preserve">Not necessarily. Direct discrimination may arise even when the motive of the person doing it is benign provided that the protected characteristic is a treatment reason in </w:t>
      </w:r>
      <w:bookmarkStart w:id="1" w:name="_Hlk214575166"/>
      <w:r w:rsidRPr="00675E5D">
        <w:rPr>
          <w:rFonts w:cs="Times New Roman"/>
          <w:szCs w:val="24"/>
        </w:rPr>
        <w:t xml:space="preserve">R (E) v Governing Body </w:t>
      </w:r>
      <w:r w:rsidRPr="00675E5D">
        <w:rPr>
          <w:rFonts w:cs="Times New Roman"/>
          <w:szCs w:val="24"/>
        </w:rPr>
        <w:lastRenderedPageBreak/>
        <w:t>of JFS [2009] UKSC 15 at [34]</w:t>
      </w:r>
      <w:r w:rsidR="00A5345C" w:rsidRPr="00675E5D">
        <w:rPr>
          <w:rFonts w:cs="Times New Roman"/>
          <w:szCs w:val="24"/>
        </w:rPr>
        <w:t>– [</w:t>
      </w:r>
      <w:r w:rsidRPr="00675E5D">
        <w:rPr>
          <w:rFonts w:cs="Times New Roman"/>
          <w:szCs w:val="24"/>
        </w:rPr>
        <w:t>36]</w:t>
      </w:r>
      <w:bookmarkEnd w:id="1"/>
      <w:r w:rsidR="00A5345C">
        <w:rPr>
          <w:rStyle w:val="FootnoteReference"/>
          <w:rFonts w:cs="Times New Roman"/>
          <w:szCs w:val="24"/>
        </w:rPr>
        <w:footnoteReference w:id="20"/>
      </w:r>
      <w:r w:rsidRPr="00675E5D">
        <w:rPr>
          <w:rFonts w:cs="Times New Roman"/>
          <w:szCs w:val="24"/>
        </w:rPr>
        <w:t>. Would this be direct discrimination against applicants who vary on the basis of what the model systematically gives them though the applicants differ only in terms of protected characteristics?</w:t>
      </w:r>
    </w:p>
    <w:p w14:paraId="545356FC" w14:textId="77777777" w:rsidR="00951D24" w:rsidRPr="00675E5D" w:rsidRDefault="00000000" w:rsidP="00675E5D">
      <w:pPr>
        <w:spacing w:line="480" w:lineRule="auto"/>
        <w:contextualSpacing/>
        <w:rPr>
          <w:rFonts w:cs="Times New Roman"/>
          <w:szCs w:val="24"/>
        </w:rPr>
      </w:pPr>
      <w:r w:rsidRPr="00675E5D">
        <w:rPr>
          <w:rFonts w:cs="Times New Roman"/>
          <w:szCs w:val="24"/>
        </w:rPr>
        <w:t>Such interpretation has serious challenges. The machine-learning models are probabilistic and stochastic. When the cause of a characteristic is spread out through thousands of variables, it becomes analytically hard to establish that there is a reason a particular characteristic has the characteristic it possesses. Besides, direct discrimination involves demonstrating treatment due to the characteristic of protection- it is required that there is no correlation but should be due.</w:t>
      </w:r>
      <w:r w:rsidRPr="00675E5D">
        <w:rPr>
          <w:rStyle w:val="FootnoteReference"/>
          <w:rFonts w:cs="Times New Roman"/>
          <w:szCs w:val="24"/>
        </w:rPr>
        <w:footnoteReference w:id="21"/>
      </w:r>
    </w:p>
    <w:p w14:paraId="1C3CD41F" w14:textId="77777777" w:rsidR="00951D24" w:rsidRPr="00675E5D" w:rsidRDefault="00000000" w:rsidP="00675E5D">
      <w:pPr>
        <w:pStyle w:val="Heading3"/>
        <w:spacing w:line="480" w:lineRule="auto"/>
        <w:contextualSpacing/>
        <w:rPr>
          <w:rFonts w:ascii="Times New Roman" w:hAnsi="Times New Roman" w:cs="Times New Roman"/>
          <w:color w:val="auto"/>
          <w:szCs w:val="24"/>
        </w:rPr>
      </w:pPr>
      <w:r w:rsidRPr="00675E5D">
        <w:rPr>
          <w:rFonts w:ascii="Times New Roman" w:hAnsi="Times New Roman" w:cs="Times New Roman"/>
          <w:color w:val="auto"/>
          <w:szCs w:val="24"/>
        </w:rPr>
        <w:t>Indirect Discrimination (Section 19)</w:t>
      </w:r>
    </w:p>
    <w:p w14:paraId="64A2632E" w14:textId="2ADC01FB" w:rsidR="00951D24" w:rsidRPr="00675E5D" w:rsidRDefault="00000000" w:rsidP="00675E5D">
      <w:pPr>
        <w:spacing w:line="480" w:lineRule="auto"/>
        <w:contextualSpacing/>
        <w:rPr>
          <w:rFonts w:cs="Times New Roman"/>
          <w:szCs w:val="24"/>
        </w:rPr>
      </w:pPr>
      <w:r w:rsidRPr="00675E5D">
        <w:rPr>
          <w:rFonts w:cs="Times New Roman"/>
          <w:szCs w:val="24"/>
        </w:rPr>
        <w:t xml:space="preserve">Indirect discrimination is defined in Section 19. It happens when A possesses a provision, criterion or practice (PCP) that is discriminatory in reference to an applicable secure feature. Discrimination A PCP is discriminatory where: (a) it is applied to persons who do not possess the characteristic shared by B; (b) it places persons sharing </w:t>
      </w:r>
      <w:r w:rsidR="00A5345C" w:rsidRPr="00675E5D">
        <w:rPr>
          <w:rFonts w:cs="Times New Roman"/>
          <w:szCs w:val="24"/>
        </w:rPr>
        <w:t>Bs</w:t>
      </w:r>
      <w:r w:rsidRPr="00675E5D">
        <w:rPr>
          <w:rFonts w:cs="Times New Roman"/>
          <w:szCs w:val="24"/>
        </w:rPr>
        <w:t>. characteristic at a specific disadvantage; (c) it disadvantages B specifically; and (d) It cannot demonstrate that it is applied in a proportionate manner to the achievement of legitimate purposes.</w:t>
      </w:r>
      <w:r w:rsidRPr="00675E5D">
        <w:rPr>
          <w:rStyle w:val="FootnoteReference"/>
          <w:rFonts w:cs="Times New Roman"/>
          <w:szCs w:val="24"/>
        </w:rPr>
        <w:footnoteReference w:id="22"/>
      </w:r>
    </w:p>
    <w:p w14:paraId="44C3C536" w14:textId="77777777" w:rsidR="00951D24" w:rsidRPr="00675E5D" w:rsidRDefault="00000000" w:rsidP="00675E5D">
      <w:pPr>
        <w:spacing w:line="480" w:lineRule="auto"/>
        <w:contextualSpacing/>
        <w:rPr>
          <w:rFonts w:cs="Times New Roman"/>
          <w:szCs w:val="24"/>
        </w:rPr>
      </w:pPr>
      <w:r w:rsidRPr="00675E5D">
        <w:rPr>
          <w:rFonts w:cs="Times New Roman"/>
          <w:szCs w:val="24"/>
        </w:rPr>
        <w:t>Indirect discrimination takes into consideration purportedly neutral policies that presume to advantageously victimize the groups of persons that are being taken care of. The PCP concept encompasses formal rules, informal practices and ad hoc decisions. The paradigmatic example: an employer needs full time work, which unfairly favors women who have care giving duties.</w:t>
      </w:r>
    </w:p>
    <w:p w14:paraId="257178DE"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PCP framework presumes that one can break decision-making down in identifiable policies or practices. Is this framework applicable to the machine-learning credit scoring?</w:t>
      </w:r>
    </w:p>
    <w:p w14:paraId="0D36A4BC" w14:textId="77777777" w:rsidR="00951D24" w:rsidRPr="00675E5D" w:rsidRDefault="00000000" w:rsidP="00675E5D">
      <w:pPr>
        <w:spacing w:line="480" w:lineRule="auto"/>
        <w:contextualSpacing/>
        <w:rPr>
          <w:rFonts w:cs="Times New Roman"/>
          <w:szCs w:val="24"/>
        </w:rPr>
      </w:pPr>
      <w:r w:rsidRPr="00675E5D">
        <w:rPr>
          <w:rFonts w:cs="Times New Roman"/>
          <w:szCs w:val="24"/>
        </w:rPr>
        <w:t>These aspects can make up identifiable PCPs. Man may have a cut-off score practice- those above the thresholds passed are approved by a lender. The algorithmic procedure attaining scores is, however, hard to describe as a PCP. There is no articulation of discrete criteria in a neural network.</w:t>
      </w:r>
    </w:p>
    <w:p w14:paraId="045A69BC" w14:textId="77777777" w:rsidR="00951D24" w:rsidRPr="00675E5D" w:rsidRDefault="00000000" w:rsidP="00675E5D">
      <w:pPr>
        <w:spacing w:line="480" w:lineRule="auto"/>
        <w:contextualSpacing/>
        <w:rPr>
          <w:rFonts w:cs="Times New Roman"/>
          <w:szCs w:val="24"/>
        </w:rPr>
      </w:pPr>
      <w:r w:rsidRPr="00675E5D">
        <w:rPr>
          <w:rFonts w:cs="Times New Roman"/>
          <w:szCs w:val="24"/>
        </w:rPr>
        <w:t>The Supreme Court in Essop v Home Office [2017] UKSC 27 at [25] elucidated that the identification of the PCP does not have to be precise on the first instance. Ethnic minority applicants had a test passed disproportionately against their claims. The Supreme Court maintained that it was not necessary to elaborate on the causality of a disparate impact of a PCP provided it was proven to exist.</w:t>
      </w:r>
    </w:p>
    <w:p w14:paraId="1B9715EF" w14:textId="77777777" w:rsidR="00951D24" w:rsidRPr="00675E5D" w:rsidRDefault="00000000" w:rsidP="00675E5D">
      <w:pPr>
        <w:spacing w:line="480" w:lineRule="auto"/>
        <w:contextualSpacing/>
        <w:rPr>
          <w:rFonts w:cs="Times New Roman"/>
          <w:szCs w:val="24"/>
        </w:rPr>
      </w:pPr>
      <w:r w:rsidRPr="00675E5D">
        <w:rPr>
          <w:rFonts w:cs="Times New Roman"/>
          <w:szCs w:val="24"/>
        </w:rPr>
        <w:t>According to Essop [2017] UKSC 27 at [25], the problem of algorithmic credit scoring might amount to a challengeable PCP. This practice could put a protected population at a disadvantage and therefore develop prima facie cases statistical evidence. Nevertheless, there are complications of this meaning in terms of the degree of generality and possibility to find alternatives.</w:t>
      </w:r>
    </w:p>
    <w:p w14:paraId="0E3133FD" w14:textId="77777777" w:rsidR="00951D24" w:rsidRPr="00675E5D" w:rsidRDefault="00000000" w:rsidP="00675E5D">
      <w:pPr>
        <w:pStyle w:val="Heading3"/>
        <w:spacing w:line="480" w:lineRule="auto"/>
        <w:contextualSpacing/>
        <w:rPr>
          <w:rFonts w:ascii="Times New Roman" w:hAnsi="Times New Roman" w:cs="Times New Roman"/>
          <w:color w:val="auto"/>
          <w:szCs w:val="24"/>
        </w:rPr>
      </w:pPr>
      <w:r w:rsidRPr="00675E5D">
        <w:rPr>
          <w:rFonts w:ascii="Times New Roman" w:hAnsi="Times New Roman" w:cs="Times New Roman"/>
          <w:color w:val="auto"/>
          <w:szCs w:val="24"/>
        </w:rPr>
        <w:t>Justification Analysis</w:t>
      </w:r>
    </w:p>
    <w:p w14:paraId="10A4334D" w14:textId="77777777" w:rsidR="00951D24" w:rsidRPr="00675E5D" w:rsidRDefault="00000000" w:rsidP="00675E5D">
      <w:pPr>
        <w:spacing w:line="480" w:lineRule="auto"/>
        <w:contextualSpacing/>
        <w:rPr>
          <w:rFonts w:cs="Times New Roman"/>
          <w:szCs w:val="24"/>
        </w:rPr>
      </w:pPr>
      <w:r w:rsidRPr="00675E5D">
        <w:rPr>
          <w:rFonts w:cs="Times New Roman"/>
          <w:szCs w:val="24"/>
        </w:rPr>
        <w:t>Indirect discrimination is illegal unless PCPs demonstrate that they are proportionate methods by which the defendants may achieve genuine intentions. This involves the creation of: (1) that there should be a valid purpose; (2) that the PCP used should be both suited and reasonably necessary; and (3) that the discriminatory impact should be reasonable.</w:t>
      </w:r>
      <w:r w:rsidRPr="00675E5D">
        <w:rPr>
          <w:rStyle w:val="FootnoteReference"/>
          <w:rFonts w:cs="Times New Roman"/>
          <w:szCs w:val="24"/>
        </w:rPr>
        <w:footnoteReference w:id="23"/>
      </w:r>
    </w:p>
    <w:p w14:paraId="0650C1E8"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Some of the common assertions made by lenders in credit-scoring settings are to obtain repayment of loans, accurately set risk prices and to meet regulatory compliance. These are valid purposes in general that are allowed by the courts.</w:t>
      </w:r>
    </w:p>
    <w:p w14:paraId="632B85D8" w14:textId="77777777" w:rsidR="00951D24" w:rsidRPr="00675E5D" w:rsidRDefault="00000000" w:rsidP="00675E5D">
      <w:pPr>
        <w:spacing w:line="480" w:lineRule="auto"/>
        <w:contextualSpacing/>
        <w:rPr>
          <w:rFonts w:cs="Times New Roman"/>
          <w:szCs w:val="24"/>
        </w:rPr>
      </w:pPr>
      <w:r w:rsidRPr="00675E5D">
        <w:rPr>
          <w:rFonts w:cs="Times New Roman"/>
          <w:szCs w:val="24"/>
        </w:rPr>
        <w:t>The proportionality analysis entails equalizing: the significance of the legitimate purpose; the productivity of the PCP and the discriminatory outcome and the presence of lower-discriminatory solutions.</w:t>
      </w:r>
    </w:p>
    <w:p w14:paraId="17BAA1E3" w14:textId="77777777" w:rsidR="00951D24" w:rsidRPr="00675E5D" w:rsidRDefault="00000000" w:rsidP="00675E5D">
      <w:pPr>
        <w:spacing w:line="480" w:lineRule="auto"/>
        <w:contextualSpacing/>
        <w:rPr>
          <w:rFonts w:cs="Times New Roman"/>
          <w:szCs w:val="24"/>
        </w:rPr>
      </w:pPr>
      <w:r w:rsidRPr="00675E5D">
        <w:rPr>
          <w:rFonts w:cs="Times New Roman"/>
          <w:szCs w:val="24"/>
        </w:rPr>
        <w:t>The Supreme Court of the United Kingdom, in Homer v Chief Constable of West Yorkshire [2012] UKSC 15 at [19]</w:t>
      </w:r>
      <w:r w:rsidRPr="00675E5D">
        <w:rPr>
          <w:rStyle w:val="FootnoteReference"/>
          <w:rFonts w:cs="Times New Roman"/>
          <w:szCs w:val="24"/>
        </w:rPr>
        <w:footnoteReference w:id="24"/>
      </w:r>
      <w:r w:rsidRPr="00675E5D">
        <w:rPr>
          <w:rFonts w:cs="Times New Roman"/>
          <w:szCs w:val="24"/>
        </w:rPr>
        <w:t>, noted that, the stricter the impact of the discrimination, the more challenging it will be to explain. The more discriminative practice cannot be justified in the event that there is a less discriminatory version with which the goal would be attained equally well.</w:t>
      </w:r>
    </w:p>
    <w:p w14:paraId="6DE142F3" w14:textId="77777777" w:rsidR="00951D24" w:rsidRPr="00675E5D" w:rsidRDefault="00000000" w:rsidP="00675E5D">
      <w:pPr>
        <w:spacing w:line="480" w:lineRule="auto"/>
        <w:contextualSpacing/>
        <w:rPr>
          <w:rFonts w:cs="Times New Roman"/>
          <w:szCs w:val="24"/>
        </w:rPr>
      </w:pPr>
      <w:r w:rsidRPr="00675E5D">
        <w:rPr>
          <w:rFonts w:cs="Times New Roman"/>
          <w:szCs w:val="24"/>
        </w:rPr>
        <w:t>Reported to algorithmic credit scoring: a lender has to demonstrate that the model is required to reach objectives of risk-management. Suppose that another model would help measure the risk in a somewhat just as accurate way but would yield less discriminative results, then the more discriminative model cannot be defended.</w:t>
      </w:r>
    </w:p>
    <w:p w14:paraId="75D25B09" w14:textId="77777777" w:rsidR="00951D24" w:rsidRPr="00675E5D" w:rsidRDefault="00000000" w:rsidP="00675E5D">
      <w:pPr>
        <w:spacing w:line="480" w:lineRule="auto"/>
        <w:contextualSpacing/>
        <w:rPr>
          <w:rFonts w:cs="Times New Roman"/>
          <w:szCs w:val="24"/>
        </w:rPr>
      </w:pPr>
      <w:r w:rsidRPr="00675E5D">
        <w:rPr>
          <w:rFonts w:cs="Times New Roman"/>
          <w:szCs w:val="24"/>
        </w:rPr>
        <w:t>Nevertheless, to assess these assertions, one should have technical knowledge, as well as access to proprietary information. Lenders declare that it is operationally imperative to have accuracy improvements. Courts do not have expertise to answer these questions and usually leave the business to judge which dangers the acceptance of justification analysis might turn into a rubber stamp.</w:t>
      </w:r>
    </w:p>
    <w:p w14:paraId="21FB64BA" w14:textId="77777777" w:rsidR="00951D24" w:rsidRPr="00675E5D" w:rsidRDefault="00000000" w:rsidP="00675E5D">
      <w:pPr>
        <w:pStyle w:val="Heading3"/>
        <w:spacing w:line="480" w:lineRule="auto"/>
        <w:contextualSpacing/>
        <w:rPr>
          <w:rFonts w:ascii="Times New Roman" w:hAnsi="Times New Roman" w:cs="Times New Roman"/>
          <w:color w:val="auto"/>
          <w:szCs w:val="24"/>
        </w:rPr>
      </w:pPr>
      <w:r w:rsidRPr="00675E5D">
        <w:rPr>
          <w:rFonts w:ascii="Times New Roman" w:hAnsi="Times New Roman" w:cs="Times New Roman"/>
          <w:color w:val="auto"/>
          <w:szCs w:val="24"/>
        </w:rPr>
        <w:t>Burden of Proof (Section 136)</w:t>
      </w:r>
    </w:p>
    <w:p w14:paraId="4454022C"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Section 136 (s 136) touches upon the question of burden of proof: when there are facts which prove that the defendant can determine that discrimination took place without any explanation, </w:t>
      </w:r>
      <w:r w:rsidRPr="00675E5D">
        <w:rPr>
          <w:rFonts w:cs="Times New Roman"/>
          <w:szCs w:val="24"/>
        </w:rPr>
        <w:lastRenderedPageBreak/>
        <w:t>then the court should state that discrimination did take place, unless defendants can prove otherwise.</w:t>
      </w:r>
    </w:p>
    <w:p w14:paraId="65E41A37" w14:textId="2E7068FB" w:rsidR="00951D24" w:rsidRPr="00675E5D" w:rsidRDefault="00000000" w:rsidP="00675E5D">
      <w:pPr>
        <w:spacing w:line="480" w:lineRule="auto"/>
        <w:contextualSpacing/>
        <w:rPr>
          <w:rFonts w:cs="Times New Roman"/>
          <w:szCs w:val="24"/>
        </w:rPr>
      </w:pPr>
      <w:r w:rsidRPr="00675E5D">
        <w:rPr>
          <w:rFonts w:cs="Times New Roman"/>
          <w:szCs w:val="24"/>
        </w:rPr>
        <w:t>The Court of Appeal has described the process in Igen Ltd v Wong [2005] EWCA Civ 142 at [17]</w:t>
      </w:r>
      <w:r w:rsidR="00A5345C" w:rsidRPr="00675E5D">
        <w:rPr>
          <w:rFonts w:cs="Times New Roman"/>
          <w:szCs w:val="24"/>
        </w:rPr>
        <w:t>– [</w:t>
      </w:r>
      <w:r w:rsidRPr="00675E5D">
        <w:rPr>
          <w:rFonts w:cs="Times New Roman"/>
          <w:szCs w:val="24"/>
        </w:rPr>
        <w:t>19]. Claimants need to demonstrate the facts upon which the tribunals could conclude that there was discrimination that has happened. In the case when the claimants can release this burden, the defendant should demonstrate that it has not been discriminating.</w:t>
      </w:r>
    </w:p>
    <w:p w14:paraId="7ACE8DB6" w14:textId="77777777" w:rsidR="00951D24" w:rsidRPr="00675E5D" w:rsidRDefault="00000000" w:rsidP="00675E5D">
      <w:pPr>
        <w:spacing w:line="480" w:lineRule="auto"/>
        <w:contextualSpacing/>
        <w:rPr>
          <w:rFonts w:cs="Times New Roman"/>
          <w:szCs w:val="24"/>
        </w:rPr>
      </w:pPr>
      <w:r w:rsidRPr="00675E5D">
        <w:rPr>
          <w:rFonts w:cs="Times New Roman"/>
          <w:szCs w:val="24"/>
        </w:rPr>
        <w:t>This model assumes the availability of adequate information to claimants who will use the information to build prima facie cases. In conventional settings, claimants may demonstrate that they have a characteristic that has been safeguarded and they were treated in a disadvantaged way and that like-minded persons were treated in a better way.</w:t>
      </w:r>
    </w:p>
    <w:p w14:paraId="611F883C" w14:textId="77777777" w:rsidR="00951D24" w:rsidRPr="00675E5D" w:rsidRDefault="00000000" w:rsidP="00675E5D">
      <w:pPr>
        <w:spacing w:line="480" w:lineRule="auto"/>
        <w:contextualSpacing/>
        <w:rPr>
          <w:rFonts w:cs="Times New Roman"/>
          <w:szCs w:val="24"/>
        </w:rPr>
      </w:pPr>
      <w:r w:rsidRPr="00675E5D">
        <w:rPr>
          <w:rFonts w:cs="Times New Roman"/>
          <w:szCs w:val="24"/>
        </w:rPr>
        <w:t>The issue of algorithmic credit scoring confronts this construct. Applicants do not normally have any information other than their success or their marks. They are unaware of the way the score was calculated, what variables were involved, or whether there are any patterns of disadvantage. Discovery is necessary to build prima facie cases and it is not practical to get a discovery without bringing litigation.</w:t>
      </w:r>
    </w:p>
    <w:p w14:paraId="11BA4F39" w14:textId="77777777" w:rsidR="00951D24" w:rsidRPr="00675E5D" w:rsidRDefault="00000000" w:rsidP="00675E5D">
      <w:pPr>
        <w:spacing w:line="480" w:lineRule="auto"/>
        <w:contextualSpacing/>
        <w:rPr>
          <w:rFonts w:cs="Times New Roman"/>
          <w:szCs w:val="24"/>
        </w:rPr>
      </w:pPr>
      <w:r w:rsidRPr="00675E5D">
        <w:rPr>
          <w:rFonts w:cs="Times New Roman"/>
          <w:szCs w:val="24"/>
        </w:rPr>
        <w:t>This imbalance will put section 136 burden-shifting provisionally useless in the situation of algorithms.</w:t>
      </w:r>
    </w:p>
    <w:p w14:paraId="337E06FD"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3.2 Consumer Credit and Data Protection Regulation</w:t>
      </w:r>
    </w:p>
    <w:p w14:paraId="04DEE41E" w14:textId="77777777" w:rsidR="00951D24" w:rsidRPr="00675E5D" w:rsidRDefault="00000000" w:rsidP="00675E5D">
      <w:pPr>
        <w:spacing w:line="480" w:lineRule="auto"/>
        <w:contextualSpacing/>
        <w:rPr>
          <w:rFonts w:cs="Times New Roman"/>
          <w:szCs w:val="24"/>
        </w:rPr>
      </w:pPr>
      <w:r w:rsidRPr="00675E5D">
        <w:rPr>
          <w:rFonts w:cs="Times New Roman"/>
          <w:szCs w:val="24"/>
        </w:rPr>
        <w:t>In addition to the Equality Act, the credit scoring is also regulated by the consumer credit regulation administered by the Financial Conduct Authority (FCA). FCA controls firms in the Financial Services and Markets Act 2000.</w:t>
      </w:r>
      <w:r w:rsidRPr="00675E5D">
        <w:rPr>
          <w:rStyle w:val="FootnoteReference"/>
          <w:rFonts w:cs="Times New Roman"/>
          <w:szCs w:val="24"/>
        </w:rPr>
        <w:footnoteReference w:id="25"/>
      </w:r>
    </w:p>
    <w:p w14:paraId="75E1FBF5"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FCA Handbook boasts of principles at the top. Principle 6 stipulates that firms must pay due respect to the interest of its customers and treat them equally. This principle of treating customers fairly (TCF) demands companies to be fair in their transactions, disclose transparent information, and prevent predictable damages.</w:t>
      </w:r>
    </w:p>
    <w:p w14:paraId="798BD485" w14:textId="77777777" w:rsidR="00951D24" w:rsidRPr="00675E5D" w:rsidRDefault="00000000" w:rsidP="00675E5D">
      <w:pPr>
        <w:spacing w:line="480" w:lineRule="auto"/>
        <w:contextualSpacing/>
        <w:rPr>
          <w:rFonts w:cs="Times New Roman"/>
          <w:szCs w:val="24"/>
        </w:rPr>
      </w:pPr>
      <w:r w:rsidRPr="00675E5D">
        <w:rPr>
          <w:rFonts w:cs="Times New Roman"/>
          <w:szCs w:val="24"/>
        </w:rPr>
        <w:t>In 2022, the FCA adopted the Consumer Duty that implies higher standards. The Consumer Duty obliges companies to do what is necessary to achieve good results among retail clients. The focus of the results in the Duty could be the possible solution to algorithmic discrimination. But discrimination and disparate impact is not clearly stated in the Duty.</w:t>
      </w:r>
    </w:p>
    <w:p w14:paraId="0464EF87" w14:textId="77777777" w:rsidR="00951D24" w:rsidRPr="00675E5D" w:rsidRDefault="00000000" w:rsidP="00675E5D">
      <w:pPr>
        <w:spacing w:line="480" w:lineRule="auto"/>
        <w:contextualSpacing/>
        <w:rPr>
          <w:rFonts w:cs="Times New Roman"/>
          <w:szCs w:val="24"/>
        </w:rPr>
      </w:pPr>
      <w:r w:rsidRPr="00675E5D">
        <w:rPr>
          <w:rFonts w:cs="Times New Roman"/>
          <w:szCs w:val="24"/>
        </w:rPr>
        <w:t>The regulation of consumer credit is regulated in terms of creditworthiness measurements. Consumer credit act 1974</w:t>
      </w:r>
      <w:r w:rsidRPr="00675E5D">
        <w:rPr>
          <w:rStyle w:val="FootnoteReference"/>
          <w:rFonts w:cs="Times New Roman"/>
          <w:szCs w:val="24"/>
        </w:rPr>
        <w:footnoteReference w:id="26"/>
      </w:r>
      <w:r w:rsidRPr="00675E5D">
        <w:rPr>
          <w:rFonts w:cs="Times New Roman"/>
          <w:szCs w:val="24"/>
        </w:rPr>
        <w:t xml:space="preserve"> stipulates that lender should evaluate credit worthiness prior to awarding credit. The Consumer Credit sourcebook (CONC) obliges companies to develop specific policies to check the credit worthiness.</w:t>
      </w:r>
    </w:p>
    <w:p w14:paraId="2F45AF3D" w14:textId="77777777" w:rsidR="00951D24" w:rsidRPr="00675E5D" w:rsidRDefault="00000000" w:rsidP="00675E5D">
      <w:pPr>
        <w:spacing w:line="480" w:lineRule="auto"/>
        <w:contextualSpacing/>
        <w:rPr>
          <w:rFonts w:cs="Times New Roman"/>
          <w:szCs w:val="24"/>
        </w:rPr>
      </w:pPr>
      <w:r w:rsidRPr="00675E5D">
        <w:rPr>
          <w:rFonts w:cs="Times New Roman"/>
          <w:szCs w:val="24"/>
        </w:rPr>
        <w:t>Such requirements are aimed at sustainability and affordability of lending. There is no strict reference to discrimination and disparate impact. Nevertheless, when biased models are used, there are chances that they assess creditworthiness inaccurately.</w:t>
      </w:r>
    </w:p>
    <w:p w14:paraId="1F607C8C" w14:textId="77777777" w:rsidR="00951D24" w:rsidRPr="00675E5D" w:rsidRDefault="00000000" w:rsidP="00675E5D">
      <w:pPr>
        <w:pStyle w:val="Heading3"/>
        <w:spacing w:line="480" w:lineRule="auto"/>
        <w:contextualSpacing/>
        <w:rPr>
          <w:rFonts w:ascii="Times New Roman" w:hAnsi="Times New Roman" w:cs="Times New Roman"/>
          <w:color w:val="auto"/>
          <w:szCs w:val="24"/>
        </w:rPr>
      </w:pPr>
      <w:r w:rsidRPr="00675E5D">
        <w:rPr>
          <w:rFonts w:ascii="Times New Roman" w:hAnsi="Times New Roman" w:cs="Times New Roman"/>
          <w:color w:val="auto"/>
          <w:szCs w:val="24"/>
        </w:rPr>
        <w:t>UK GDPR and Data Protection</w:t>
      </w:r>
    </w:p>
    <w:p w14:paraId="5396C1FA" w14:textId="77777777" w:rsidR="00951D24" w:rsidRPr="00675E5D" w:rsidRDefault="00000000" w:rsidP="00675E5D">
      <w:pPr>
        <w:spacing w:line="480" w:lineRule="auto"/>
        <w:contextualSpacing/>
        <w:rPr>
          <w:rFonts w:cs="Times New Roman"/>
          <w:szCs w:val="24"/>
        </w:rPr>
      </w:pPr>
      <w:r w:rsidRPr="00675E5D">
        <w:rPr>
          <w:rFonts w:cs="Times New Roman"/>
          <w:szCs w:val="24"/>
        </w:rPr>
        <w:t>Automated decision-making is regulated by the UK General Data Protection Regulation (UK GDPR) and the Data Protection Act 2018 (DPA 2018)</w:t>
      </w:r>
      <w:r w:rsidRPr="00675E5D">
        <w:rPr>
          <w:rStyle w:val="FootnoteReference"/>
          <w:rFonts w:cs="Times New Roman"/>
          <w:szCs w:val="24"/>
        </w:rPr>
        <w:footnoteReference w:id="27"/>
      </w:r>
      <w:r w:rsidRPr="00675E5D">
        <w:rPr>
          <w:rFonts w:cs="Times New Roman"/>
          <w:szCs w:val="24"/>
        </w:rPr>
        <w:t xml:space="preserve"> which have very important repercussions on the aspects of algorithmic credit scoring.</w:t>
      </w:r>
    </w:p>
    <w:p w14:paraId="62F6893E" w14:textId="04560385" w:rsidR="00951D24" w:rsidRPr="00675E5D" w:rsidRDefault="00000000" w:rsidP="00675E5D">
      <w:pPr>
        <w:spacing w:line="480" w:lineRule="auto"/>
        <w:contextualSpacing/>
        <w:rPr>
          <w:rFonts w:cs="Times New Roman"/>
          <w:szCs w:val="24"/>
        </w:rPr>
      </w:pPr>
      <w:r w:rsidRPr="00675E5D">
        <w:rPr>
          <w:rFonts w:cs="Times New Roman"/>
          <w:szCs w:val="24"/>
        </w:rPr>
        <w:t xml:space="preserve">UK GDPR, art 22(1) provides that the data subject shall have the right not to be subject to a decision based solely on automated processing, including profiling, which produces legal effects </w:t>
      </w:r>
      <w:r w:rsidRPr="00675E5D">
        <w:rPr>
          <w:rFonts w:cs="Times New Roman"/>
          <w:szCs w:val="24"/>
        </w:rPr>
        <w:lastRenderedPageBreak/>
        <w:t>concerning him or her or similarly significantly affects him or her. Credit decisions clearly fall within this scope.</w:t>
      </w:r>
      <w:r w:rsidR="00A5345C">
        <w:rPr>
          <w:rFonts w:cs="Times New Roman"/>
          <w:szCs w:val="24"/>
        </w:rPr>
        <w:t xml:space="preserve"> </w:t>
      </w:r>
      <w:r w:rsidRPr="00675E5D">
        <w:rPr>
          <w:rFonts w:cs="Times New Roman"/>
          <w:szCs w:val="24"/>
        </w:rPr>
        <w:t>Article 22(2) UK GDPR, however, provides exceptions. The ban is not applicable in case automated decision-making is: (a) required to enter or perform agreements; (b) legal; and (c) on explicit consent.</w:t>
      </w:r>
    </w:p>
    <w:p w14:paraId="26FC03F7" w14:textId="77777777" w:rsidR="00951D24" w:rsidRPr="00675E5D" w:rsidRDefault="00000000" w:rsidP="00675E5D">
      <w:pPr>
        <w:spacing w:line="480" w:lineRule="auto"/>
        <w:contextualSpacing/>
        <w:rPr>
          <w:rFonts w:cs="Times New Roman"/>
          <w:szCs w:val="24"/>
        </w:rPr>
      </w:pPr>
      <w:r w:rsidRPr="00675E5D">
        <w:rPr>
          <w:rFonts w:cs="Times New Roman"/>
          <w:szCs w:val="24"/>
        </w:rPr>
        <w:t>The contract-necessity exception is invoked by lenders on a regular basis. They believe that automated credit decision is needed to engage credit contracts. This understanding seriously limits the practical extent of Article 22.</w:t>
      </w:r>
    </w:p>
    <w:p w14:paraId="2D30D88C" w14:textId="77777777" w:rsidR="00951D24" w:rsidRPr="00675E5D" w:rsidRDefault="00000000" w:rsidP="00675E5D">
      <w:pPr>
        <w:spacing w:line="480" w:lineRule="auto"/>
        <w:contextualSpacing/>
        <w:rPr>
          <w:rFonts w:cs="Times New Roman"/>
          <w:szCs w:val="24"/>
        </w:rPr>
      </w:pPr>
      <w:r w:rsidRPr="00675E5D">
        <w:rPr>
          <w:rFonts w:cs="Times New Roman"/>
          <w:szCs w:val="24"/>
        </w:rPr>
        <w:t>In cases of Article 22 in particular, its safeguards are mainly procedural. Article 22(3) UK GDPR obliges the controllers to take appropriate actions in order to protect the rights of the data subject, such as the rights to human intervention and the right to appeal.</w:t>
      </w:r>
    </w:p>
    <w:p w14:paraId="45F04714" w14:textId="77777777" w:rsidR="00951D24" w:rsidRPr="00675E5D" w:rsidRDefault="00000000" w:rsidP="00675E5D">
      <w:pPr>
        <w:spacing w:line="480" w:lineRule="auto"/>
        <w:contextualSpacing/>
        <w:rPr>
          <w:rFonts w:cs="Times New Roman"/>
          <w:szCs w:val="24"/>
        </w:rPr>
      </w:pPr>
      <w:r w:rsidRPr="00675E5D">
        <w:rPr>
          <w:rFonts w:cs="Times New Roman"/>
          <w:szCs w:val="24"/>
        </w:rPr>
        <w:t>Articles 13-15 binding, the controllers have to make the information about logic involved in automated decision-making meaningful. But this is taken in a loose way. The ICO realizes that it may not be possible to provide complete technical explanations. There is no need to reveal trade secrets by the controllers. Practically, the lenders offer generic statements on the use of creditworthiness models.</w:t>
      </w:r>
    </w:p>
    <w:p w14:paraId="120CE69F" w14:textId="72D1BFE8" w:rsidR="00951D24" w:rsidRPr="00A5345C" w:rsidRDefault="00000000" w:rsidP="00A5345C">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3.2A Comparative and International Perspectives</w:t>
      </w:r>
      <w:r w:rsidRPr="00675E5D">
        <w:rPr>
          <w:rFonts w:cs="Times New Roman"/>
          <w:szCs w:val="24"/>
        </w:rPr>
        <w:br/>
      </w:r>
      <w:r w:rsidRPr="00A5345C">
        <w:rPr>
          <w:rFonts w:ascii="Times New Roman" w:hAnsi="Times New Roman" w:cs="Times New Roman"/>
          <w:b w:val="0"/>
          <w:bCs w:val="0"/>
          <w:color w:val="auto"/>
          <w:sz w:val="24"/>
          <w:szCs w:val="24"/>
        </w:rPr>
        <w:t>The limitations and reform opportunities of the UK law can be seen through the international and comparative perspectives. The US has faced algorithmic discrimination in lending contexts in very different legal systems, which can be used as useful comparisons.</w:t>
      </w:r>
    </w:p>
    <w:p w14:paraId="13F813E4"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In the US, the fair lending law (especially the Equal Credit Opportunity Act and fair housing act) does not allow any discrimination but uses varied doctrines in comparison with the equality law in the UK. In the US, treatment that is different, on the one hand as well as impact, on the other, are explicitly banned by the law as disparate treatment and disparate impact, respectively. </w:t>
      </w:r>
      <w:r w:rsidRPr="00675E5D">
        <w:rPr>
          <w:rFonts w:cs="Times New Roman"/>
          <w:szCs w:val="24"/>
        </w:rPr>
        <w:lastRenderedPageBreak/>
        <w:t>Nevertheless, the lending contexts have led US courts to create disparate impact doctrine by case law such as Texas Department of Housing and Community Affairs v Inclusive Communities Project.</w:t>
      </w:r>
    </w:p>
    <w:p w14:paraId="2F1FD929" w14:textId="77777777" w:rsidR="00951D24" w:rsidRPr="00675E5D" w:rsidRDefault="00000000" w:rsidP="00675E5D">
      <w:pPr>
        <w:spacing w:line="480" w:lineRule="auto"/>
        <w:contextualSpacing/>
        <w:rPr>
          <w:rFonts w:cs="Times New Roman"/>
          <w:szCs w:val="24"/>
        </w:rPr>
      </w:pPr>
      <w:r w:rsidRPr="00675E5D">
        <w:rPr>
          <w:rFonts w:cs="Times New Roman"/>
          <w:szCs w:val="24"/>
        </w:rPr>
        <w:t>The US disparate impact doctrine stipulates that the plaintiffs must demonstrate statistically significant differences in outcomes. Most importantly, the accused can defend practices by proving that they are necessary in legitimate business. This is comparable with UK justification analysis but the US courts have built a considerable amount of case law regarding what should be considered as necessity in the context of lending. Courts examine the question of the existence of less discriminative alternatives and it is up to the defendants to present physical instances that alternatives would affect legitimate business interests significantly.</w:t>
      </w:r>
    </w:p>
    <w:p w14:paraId="73DAD0BC" w14:textId="77777777" w:rsidR="00951D24" w:rsidRPr="00675E5D" w:rsidRDefault="00000000" w:rsidP="00675E5D">
      <w:pPr>
        <w:spacing w:line="480" w:lineRule="auto"/>
        <w:contextualSpacing/>
        <w:rPr>
          <w:rFonts w:cs="Times New Roman"/>
          <w:szCs w:val="24"/>
        </w:rPr>
      </w:pPr>
      <w:r w:rsidRPr="00675E5D">
        <w:rPr>
          <w:rFonts w:cs="Times New Roman"/>
          <w:szCs w:val="24"/>
        </w:rPr>
        <w:t>Moreover, the regulatory bodies in the US, especially the Consumer Financial Protection Bureau, have given guidance concerning the discrimination of algorithmic lending. The Bureau has reiterated that the fair lending law does not discriminate between any intentional action and a neutral policy which has a disparate effect. Although unknowingly biased, the lenders of algorithms are still not absolved of discrimination. This stricter form of liability is opposed to the intention based direct discrimination approach that UK law is trying to achieve.</w:t>
      </w:r>
    </w:p>
    <w:p w14:paraId="2C86AA25" w14:textId="77777777" w:rsidR="00951D24" w:rsidRPr="00675E5D" w:rsidRDefault="00000000" w:rsidP="00675E5D">
      <w:pPr>
        <w:spacing w:line="480" w:lineRule="auto"/>
        <w:contextualSpacing/>
        <w:rPr>
          <w:rFonts w:cs="Times New Roman"/>
          <w:szCs w:val="24"/>
        </w:rPr>
      </w:pPr>
      <w:r w:rsidRPr="00675E5D">
        <w:rPr>
          <w:rFonts w:cs="Times New Roman"/>
          <w:szCs w:val="24"/>
        </w:rPr>
        <w:t>The AI Act of the European Union, which was mentioned above, sets up all-encompassing algorithmic regulation that UK legislation does not. Nevertheless, it is educative to consider the issues in the Act implementation. The risk-based approach of the Act categorizes credit scoring as being high-risk, which imposes substantial compliance requirements. Premature enactment has shown strains between the issues of complete regulation and innovation in the industry.</w:t>
      </w:r>
    </w:p>
    <w:p w14:paraId="453A0C02"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Another accountable point of comparison is the strategy of Canada. The services such as credit are covered by Canadian human rights law which does not allow discrimination. Canadian </w:t>
      </w:r>
      <w:r w:rsidRPr="00675E5D">
        <w:rPr>
          <w:rFonts w:cs="Times New Roman"/>
          <w:szCs w:val="24"/>
        </w:rPr>
        <w:lastRenderedPageBreak/>
        <w:t>Human Rights Commission has already provided a guide on algorithmic discrimination, which stated that the automated systems should not violate the human rights requirements. Even in the absence of intentional discrimination, bureaucratic discrimination has been deployed by the Canadian courts as adverse impact discrimination analogous to indirect discrimination. Nevertheless, the Canadian jurisprudence on algorithmic credit discrimination is not extensive, and most of the case-related to employment issues instead of financial services.</w:t>
      </w:r>
    </w:p>
    <w:p w14:paraId="5EEB75E7" w14:textId="77777777" w:rsidR="00951D24" w:rsidRPr="00675E5D" w:rsidRDefault="00000000" w:rsidP="00675E5D">
      <w:pPr>
        <w:spacing w:line="480" w:lineRule="auto"/>
        <w:contextualSpacing/>
        <w:rPr>
          <w:rFonts w:cs="Times New Roman"/>
          <w:szCs w:val="24"/>
        </w:rPr>
      </w:pPr>
      <w:r w:rsidRPr="00675E5D">
        <w:rPr>
          <w:rFonts w:cs="Times New Roman"/>
          <w:szCs w:val="24"/>
        </w:rPr>
        <w:t>These comparative outlooks propose a number of recommendations to the UK reform. First, the applicability of algorithmic discrimination to automated systems should be explicitly stated in law, as it is not understood by the UK law. Second, regulatory guidance in the context of specifically addressing algorithmic lending discrimination, such as the one offered by the US agencies, may be helpful to lenders and investigatory authorities. Third, getting the UK justification doctrine more determinate may be achieved by setting clear standards according to which justification analysis should be approached in algorithmic situations based on the existing case law developed in the US. Fourth, approaches to algorithmic discrimination that are strict liability, as emulated in the US, may have a better incentive effect in preventing bias proactively on the basis of the current frameworks in the UK law.</w:t>
      </w:r>
    </w:p>
    <w:p w14:paraId="0A16FC35"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3.3 Emerging Regulatory Frameworks</w:t>
      </w:r>
    </w:p>
    <w:p w14:paraId="2ED63633" w14:textId="77777777" w:rsidR="00951D24" w:rsidRPr="00675E5D" w:rsidRDefault="00000000" w:rsidP="00675E5D">
      <w:pPr>
        <w:spacing w:line="480" w:lineRule="auto"/>
        <w:contextualSpacing/>
        <w:rPr>
          <w:rFonts w:cs="Times New Roman"/>
          <w:szCs w:val="24"/>
        </w:rPr>
      </w:pPr>
      <w:r w:rsidRPr="00675E5D">
        <w:rPr>
          <w:rFonts w:cs="Times New Roman"/>
          <w:szCs w:val="24"/>
        </w:rPr>
        <w:t>In addition to the existing UK legislation, there are new regulatory projects, which could inform the future regulation of algorithmic credit-scoring.</w:t>
      </w:r>
    </w:p>
    <w:p w14:paraId="6AEA1E2A" w14:textId="02C287BF"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Artificial Intelligence Act</w:t>
      </w:r>
      <w:r w:rsidR="00592018">
        <w:rPr>
          <w:rStyle w:val="FootnoteReference"/>
          <w:rFonts w:cs="Times New Roman"/>
          <w:szCs w:val="24"/>
        </w:rPr>
        <w:footnoteReference w:id="28"/>
      </w:r>
      <w:r w:rsidRPr="00675E5D">
        <w:rPr>
          <w:rFonts w:cs="Times New Roman"/>
          <w:szCs w:val="24"/>
        </w:rPr>
        <w:t xml:space="preserve"> was the first horizontal AI system regulation and it was implemented in 2024 by the European Union. The AI Act is based on a risk-based framework where AI systems are categorized according to risk levels and respective responsibilities given.</w:t>
      </w:r>
    </w:p>
    <w:p w14:paraId="329410B8" w14:textId="77777777" w:rsidR="00951D24" w:rsidRPr="00675E5D" w:rsidRDefault="00000000" w:rsidP="00675E5D">
      <w:pPr>
        <w:spacing w:line="480" w:lineRule="auto"/>
        <w:contextualSpacing/>
        <w:rPr>
          <w:rFonts w:cs="Times New Roman"/>
          <w:szCs w:val="24"/>
        </w:rPr>
      </w:pPr>
      <w:r w:rsidRPr="00675E5D">
        <w:rPr>
          <w:rFonts w:cs="Times New Roman"/>
          <w:szCs w:val="24"/>
        </w:rPr>
        <w:t>The credit-scoring and credit-decision systems fall in the category of "high-risk" AI systems as per the Annex III. Risky AI systems are prone to in-depth requirements such as risk-management systems; data governance with the training datasets relevant, representative, and error-free; technical documentation; transparency; human supervision; and accuracy and robustness.</w:t>
      </w:r>
    </w:p>
    <w:p w14:paraId="75522634" w14:textId="77777777" w:rsidR="00951D24" w:rsidRPr="00675E5D" w:rsidRDefault="00000000" w:rsidP="00675E5D">
      <w:pPr>
        <w:spacing w:line="480" w:lineRule="auto"/>
        <w:contextualSpacing/>
        <w:rPr>
          <w:rFonts w:cs="Times New Roman"/>
          <w:szCs w:val="24"/>
        </w:rPr>
      </w:pPr>
      <w:r w:rsidRPr="00675E5D">
        <w:rPr>
          <w:rFonts w:cs="Times New Roman"/>
          <w:szCs w:val="24"/>
        </w:rPr>
        <w:t>Article 10 demands that training datasets be free of errors and complete and have suitable statistical characteristics, including those related to the persons or groups to whom the high-risk AI system is to be applied. Article 14 has human control measures against dangers that concern discrimination.</w:t>
      </w:r>
    </w:p>
    <w:p w14:paraId="21404E3B" w14:textId="60054AF4" w:rsidR="00951D24" w:rsidRPr="00675E5D" w:rsidRDefault="00000000" w:rsidP="00675E5D">
      <w:pPr>
        <w:spacing w:line="480" w:lineRule="auto"/>
        <w:contextualSpacing/>
        <w:rPr>
          <w:rFonts w:cs="Times New Roman"/>
          <w:szCs w:val="24"/>
        </w:rPr>
      </w:pPr>
      <w:r w:rsidRPr="00675E5D">
        <w:rPr>
          <w:rFonts w:cs="Times New Roman"/>
          <w:szCs w:val="24"/>
        </w:rPr>
        <w:t>The AI Act establishes an enforcement system with a strong penalty of up to 35 million or 7 percent of yearly turnover worldwide. Member States appoint national competent authorities to control and implement the regulation.</w:t>
      </w:r>
      <w:r w:rsidR="00A5345C">
        <w:rPr>
          <w:rFonts w:cs="Times New Roman"/>
          <w:szCs w:val="24"/>
        </w:rPr>
        <w:t xml:space="preserve"> </w:t>
      </w:r>
      <w:r w:rsidRPr="00675E5D">
        <w:rPr>
          <w:rFonts w:cs="Times New Roman"/>
          <w:szCs w:val="24"/>
        </w:rPr>
        <w:t>EU AI Act does not apply to the UK after Brexit. In 2023, the UK Government ignored completists by making artificial intelligence an error with its AI White Paper targeting instead sector-centric approaches based on principles. Instead of establishing new AI regulators, the current regulators would consider AI in their sectoral mandate based on five principles, which include safety; transparency; fairness; accountability; and contestability.</w:t>
      </w:r>
    </w:p>
    <w:p w14:paraId="3B05E601" w14:textId="77777777" w:rsidR="00951D24" w:rsidRPr="00675E5D" w:rsidRDefault="00000000" w:rsidP="00675E5D">
      <w:pPr>
        <w:spacing w:line="480" w:lineRule="auto"/>
        <w:contextualSpacing/>
        <w:rPr>
          <w:rFonts w:cs="Times New Roman"/>
          <w:szCs w:val="24"/>
        </w:rPr>
      </w:pPr>
      <w:r w:rsidRPr="00675E5D">
        <w:rPr>
          <w:rFonts w:cs="Times New Roman"/>
          <w:szCs w:val="24"/>
        </w:rPr>
        <w:t>The FCA would additionally carry out AI governance under its mandate of consumer credit. ICO would deal with aspects of protection of data. The EHRC would make equality requirements.</w:t>
      </w:r>
    </w:p>
    <w:p w14:paraId="6C559385"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The regulatory environment is in this way disjointed and dynamic. The Equality Act creates the non-discrimination commitments but the act was not aimed at algorithmic systems. The regulation of consumer credit is centered on the issue of affordability but not discrimination. The law on data protection was offering procedural rights but a weak substantive protection. New AI governance systems are premature. Such fragmentation has loopholes that promote poor accountability.</w:t>
      </w:r>
    </w:p>
    <w:p w14:paraId="2A094962" w14:textId="77777777" w:rsidR="00951D24" w:rsidRPr="00675E5D" w:rsidRDefault="00000000" w:rsidP="00675E5D">
      <w:pPr>
        <w:spacing w:line="480" w:lineRule="auto"/>
        <w:contextualSpacing/>
        <w:rPr>
          <w:rFonts w:cs="Times New Roman"/>
          <w:szCs w:val="24"/>
        </w:rPr>
      </w:pPr>
      <w:r w:rsidRPr="00675E5D">
        <w:rPr>
          <w:rFonts w:cs="Times New Roman"/>
          <w:szCs w:val="24"/>
        </w:rPr>
        <w:br w:type="page"/>
      </w:r>
    </w:p>
    <w:p w14:paraId="4150F604" w14:textId="77777777" w:rsidR="00951D24" w:rsidRPr="00675E5D" w:rsidRDefault="00000000" w:rsidP="00675E5D">
      <w:pPr>
        <w:pStyle w:val="Heading1"/>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CHAPTER 4: TECHNICAL MECHANISMS OF ALGORITHMIC BIAS</w:t>
      </w:r>
    </w:p>
    <w:p w14:paraId="59FAC0E2"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4.1 How Algorithmic Credit Scoring Works</w:t>
      </w:r>
    </w:p>
    <w:p w14:paraId="03C6783F" w14:textId="629F8876" w:rsidR="00951D24" w:rsidRPr="00675E5D" w:rsidRDefault="00000000" w:rsidP="00675E5D">
      <w:pPr>
        <w:spacing w:line="480" w:lineRule="auto"/>
        <w:contextualSpacing/>
        <w:rPr>
          <w:rFonts w:cs="Times New Roman"/>
          <w:szCs w:val="24"/>
        </w:rPr>
      </w:pPr>
      <w:r w:rsidRPr="00675E5D">
        <w:rPr>
          <w:rFonts w:cs="Times New Roman"/>
          <w:szCs w:val="24"/>
        </w:rPr>
        <w:t xml:space="preserve">Traditional credit scoring uses relatively simple statistical models which are primarily logistic regression. These types measure the potential of default from using minimum predictor variables which include payment history, credit utilization and length of credit history. Classic scorecards are </w:t>
      </w:r>
      <w:r w:rsidR="002C565D" w:rsidRPr="00675E5D">
        <w:rPr>
          <w:rFonts w:cs="Times New Roman"/>
          <w:szCs w:val="24"/>
        </w:rPr>
        <w:t>clear-cut;</w:t>
      </w:r>
      <w:r w:rsidRPr="00675E5D">
        <w:rPr>
          <w:rFonts w:cs="Times New Roman"/>
          <w:szCs w:val="24"/>
        </w:rPr>
        <w:t xml:space="preserve"> variables, weightings, and calculations are set in stone.</w:t>
      </w:r>
    </w:p>
    <w:p w14:paraId="6FFFA9B4" w14:textId="77777777" w:rsidR="00951D24" w:rsidRPr="00675E5D" w:rsidRDefault="00000000" w:rsidP="00675E5D">
      <w:pPr>
        <w:spacing w:line="480" w:lineRule="auto"/>
        <w:contextualSpacing/>
        <w:rPr>
          <w:rFonts w:cs="Times New Roman"/>
          <w:szCs w:val="24"/>
        </w:rPr>
      </w:pPr>
      <w:r w:rsidRPr="00675E5D">
        <w:rPr>
          <w:rFonts w:cs="Times New Roman"/>
          <w:szCs w:val="24"/>
        </w:rPr>
        <w:t>Nevertheless, there are drawbacks of traditional scorecards. They do not utilize many variables, are linear with each other and normally utilize customary credit-bureau information.</w:t>
      </w:r>
    </w:p>
    <w:p w14:paraId="3E1E4DA9" w14:textId="77777777" w:rsidR="00951D24" w:rsidRPr="00675E5D" w:rsidRDefault="00000000" w:rsidP="00675E5D">
      <w:pPr>
        <w:spacing w:line="480" w:lineRule="auto"/>
        <w:contextualSpacing/>
        <w:rPr>
          <w:rFonts w:cs="Times New Roman"/>
          <w:szCs w:val="24"/>
        </w:rPr>
      </w:pPr>
      <w:r w:rsidRPr="00675E5D">
        <w:rPr>
          <w:rFonts w:cs="Times New Roman"/>
          <w:szCs w:val="24"/>
        </w:rPr>
        <w:t>Machine-learning models overcome these shortcomings by being more complicated. Widely used ones are the gradient-boosted decision trees, random forests, and neural networks. These models are capable of: accepting hundreds or even thousands of variables; automatically discover non-linear relationships; accepting alternate data; and training itself through retraining.</w:t>
      </w:r>
    </w:p>
    <w:p w14:paraId="2B961C32" w14:textId="77777777" w:rsidR="00951D24" w:rsidRPr="00675E5D" w:rsidRDefault="00000000" w:rsidP="00675E5D">
      <w:pPr>
        <w:spacing w:line="480" w:lineRule="auto"/>
        <w:contextualSpacing/>
        <w:rPr>
          <w:rFonts w:cs="Times New Roman"/>
          <w:szCs w:val="24"/>
        </w:rPr>
      </w:pPr>
      <w:r w:rsidRPr="00675E5D">
        <w:rPr>
          <w:rFonts w:cs="Times New Roman"/>
          <w:szCs w:val="24"/>
        </w:rPr>
        <w:t>Machine-learning models generally have higher predictive accuracy compared to conventional scorecards, which is quantified in terms of such measures as area under the ROC curve (AUC). Nevertheless, the higher the complexity, the opaque. Contemporary models are black boxes i.e. their internal mechanism cannot be easily interpreted. A neural network having millions of parameters fails to generate rules that are understandable by humans.</w:t>
      </w:r>
    </w:p>
    <w:p w14:paraId="38C46ECD" w14:textId="77777777" w:rsidR="00951D24" w:rsidRPr="00675E5D" w:rsidRDefault="00000000" w:rsidP="00675E5D">
      <w:pPr>
        <w:spacing w:line="480" w:lineRule="auto"/>
        <w:contextualSpacing/>
        <w:rPr>
          <w:rFonts w:cs="Times New Roman"/>
          <w:szCs w:val="24"/>
        </w:rPr>
      </w:pPr>
      <w:r w:rsidRPr="00675E5D">
        <w:rPr>
          <w:rFonts w:cs="Times New Roman"/>
          <w:szCs w:val="24"/>
        </w:rPr>
        <w:t>All these biases pathways cannot be understood without having the workflow of model development: (1) data collection; (2) data preprocessing; (3) feature engineering; (4) model training; (5) model validation; (6) model deployment; and (7) model monitoring and retraining. At every level there is a possibility of bias to arise.</w:t>
      </w:r>
    </w:p>
    <w:p w14:paraId="62DB70A2"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4.2 Bias Pathways and Mechanisms</w:t>
      </w:r>
    </w:p>
    <w:p w14:paraId="177CDF9B" w14:textId="77777777" w:rsidR="00951D24" w:rsidRPr="00675E5D" w:rsidRDefault="00000000" w:rsidP="00675E5D">
      <w:pPr>
        <w:spacing w:line="480" w:lineRule="auto"/>
        <w:contextualSpacing/>
        <w:rPr>
          <w:rFonts w:cs="Times New Roman"/>
          <w:szCs w:val="24"/>
        </w:rPr>
      </w:pPr>
      <w:r w:rsidRPr="00675E5D">
        <w:rPr>
          <w:rFonts w:cs="Times New Roman"/>
          <w:szCs w:val="24"/>
        </w:rPr>
        <w:t>Machine-learning models are trained using historical information. In case the training information describes historic discrimination, the models will probably reproduce it. The credit scoring is trained based on past lending data. If previous loan officers had more safely denied credit to specific groups due to prejudice, models can acquire a habit of replicating discriminating trends.</w:t>
      </w:r>
    </w:p>
    <w:p w14:paraId="2C9AEE3D" w14:textId="77777777" w:rsidR="00951D24" w:rsidRPr="00675E5D" w:rsidRDefault="00000000" w:rsidP="00675E5D">
      <w:pPr>
        <w:spacing w:line="480" w:lineRule="auto"/>
        <w:contextualSpacing/>
        <w:rPr>
          <w:rFonts w:cs="Times New Roman"/>
          <w:szCs w:val="24"/>
        </w:rPr>
      </w:pPr>
      <w:r w:rsidRPr="00675E5D">
        <w:rPr>
          <w:rFonts w:cs="Times New Roman"/>
          <w:szCs w:val="24"/>
        </w:rPr>
        <w:t>On the same note, historical data could be an indicator of structural inequalities. There is a continuous wealth gap and income inequality among women and ethnic minorities. When models do not consider such disparities as natural cues predicting (instead of products of) negative perceptions, they project structural inequality into the outputs.</w:t>
      </w:r>
    </w:p>
    <w:p w14:paraId="4EB26516" w14:textId="77777777" w:rsidR="00951D24" w:rsidRPr="00675E5D" w:rsidRDefault="00000000" w:rsidP="00675E5D">
      <w:pPr>
        <w:spacing w:line="480" w:lineRule="auto"/>
        <w:contextualSpacing/>
        <w:rPr>
          <w:rFonts w:cs="Times New Roman"/>
          <w:szCs w:val="24"/>
        </w:rPr>
      </w:pPr>
      <w:r w:rsidRPr="00675E5D">
        <w:rPr>
          <w:rFonts w:cs="Times New Roman"/>
          <w:szCs w:val="24"/>
        </w:rPr>
        <w:t>Although we are excluding the presence of protected characteristics, there are other variables which can be used as proxies. Take into account residential postcode UK neighborhoods are still segregated by race and ethnicity. In the case that postcode related variables are the models, they are the proxies of race.</w:t>
      </w:r>
    </w:p>
    <w:p w14:paraId="2CDCEF69" w14:textId="77777777" w:rsidR="00951D24" w:rsidRPr="00675E5D" w:rsidRDefault="00000000" w:rsidP="00675E5D">
      <w:pPr>
        <w:spacing w:line="480" w:lineRule="auto"/>
        <w:contextualSpacing/>
        <w:rPr>
          <w:rFonts w:cs="Times New Roman"/>
          <w:szCs w:val="24"/>
        </w:rPr>
      </w:pPr>
      <w:r w:rsidRPr="00675E5D">
        <w:rPr>
          <w:rFonts w:cs="Times New Roman"/>
          <w:szCs w:val="24"/>
        </w:rPr>
        <w:t>Some of the possible proxy variables include: geographic variables (postcodes are a proxy of race); consumer behavior variables (shopping patterns proxy gender); device variables (mobile brands proxy age); patterns with timing of transaction (when bills are paid may be a proxy of precarity in employment intersects multiple factors such as race and gender).</w:t>
      </w:r>
    </w:p>
    <w:p w14:paraId="32D950A2" w14:textId="77777777" w:rsidR="00951D24" w:rsidRPr="00675E5D" w:rsidRDefault="00000000" w:rsidP="00675E5D">
      <w:pPr>
        <w:spacing w:line="480" w:lineRule="auto"/>
        <w:contextualSpacing/>
        <w:rPr>
          <w:rFonts w:cs="Times New Roman"/>
          <w:szCs w:val="24"/>
        </w:rPr>
      </w:pPr>
      <w:r w:rsidRPr="00675E5D">
        <w:rPr>
          <w:rFonts w:cs="Times New Roman"/>
          <w:szCs w:val="24"/>
        </w:rPr>
        <w:t>Proxy discrimination is especially malicious as it tries to defy official safeguards and yet turns out to have a similar discriminatory impact.</w:t>
      </w:r>
    </w:p>
    <w:p w14:paraId="55F72740" w14:textId="77777777" w:rsidR="00951D24" w:rsidRPr="00675E5D" w:rsidRDefault="00000000" w:rsidP="00675E5D">
      <w:pPr>
        <w:spacing w:line="480" w:lineRule="auto"/>
        <w:contextualSpacing/>
        <w:rPr>
          <w:rFonts w:cs="Times New Roman"/>
          <w:szCs w:val="24"/>
        </w:rPr>
      </w:pPr>
      <w:r w:rsidRPr="00675E5D">
        <w:rPr>
          <w:rFonts w:cs="Times New Roman"/>
          <w:szCs w:val="24"/>
        </w:rPr>
        <w:t>To model the training, labels of outcomes must be defined. In credit score, the term default is the common name. The definition of default however influences the learning in models. When turning to research there is an indication that the practices of collection are harsher on ethnic-</w:t>
      </w:r>
      <w:r w:rsidRPr="00675E5D">
        <w:rPr>
          <w:rFonts w:cs="Times New Roman"/>
          <w:szCs w:val="24"/>
        </w:rPr>
        <w:lastRenderedPageBreak/>
        <w:t>minority borrowers, with more delinquencies reported to which the teaching models tend to give a stronger tag of risk to the minority borrower despite recorded repayment ability being equal.</w:t>
      </w:r>
    </w:p>
    <w:p w14:paraId="05A99846" w14:textId="77777777" w:rsidR="00951D24" w:rsidRPr="00675E5D" w:rsidRDefault="00000000" w:rsidP="00675E5D">
      <w:pPr>
        <w:spacing w:line="480" w:lineRule="auto"/>
        <w:contextualSpacing/>
        <w:rPr>
          <w:rFonts w:cs="Times New Roman"/>
          <w:szCs w:val="24"/>
        </w:rPr>
      </w:pPr>
      <w:r w:rsidRPr="00675E5D">
        <w:rPr>
          <w:rFonts w:cs="Times New Roman"/>
          <w:szCs w:val="24"/>
        </w:rPr>
        <w:t>The dependability of models is determined by training information which covers populations to which the model will be utilized. When training data disproportionately represent certain groups, the models can be unsatisfactory in such groups. This is sharp to the 'thin-file’ consumers-those consumers having limited credit records, have disproportionately large numbers of young adults, newly immigrants and low-income earners.</w:t>
      </w:r>
    </w:p>
    <w:p w14:paraId="5643569F" w14:textId="77777777" w:rsidR="00951D24" w:rsidRPr="00675E5D" w:rsidRDefault="00000000" w:rsidP="00675E5D">
      <w:pPr>
        <w:spacing w:line="480" w:lineRule="auto"/>
        <w:contextualSpacing/>
        <w:rPr>
          <w:rFonts w:cs="Times New Roman"/>
          <w:szCs w:val="24"/>
        </w:rPr>
      </w:pPr>
      <w:r w:rsidRPr="00675E5D">
        <w:rPr>
          <w:rFonts w:cs="Times New Roman"/>
          <w:szCs w:val="24"/>
        </w:rPr>
        <w:t>The feature engineering branch incorporates human preferences that define model behavior. Drawing up a feature of length of credit history is prejudiced against young applicants. This can be a disadvantage to groups that are being discriminated by the labor-market by including the features of stability. Every decision is a statement of assumptions made with regard to the information.</w:t>
      </w:r>
    </w:p>
    <w:p w14:paraId="705EFD82" w14:textId="77777777" w:rsidR="00951D24" w:rsidRPr="00675E5D" w:rsidRDefault="00000000" w:rsidP="00675E5D">
      <w:pPr>
        <w:spacing w:line="480" w:lineRule="auto"/>
        <w:contextualSpacing/>
        <w:rPr>
          <w:rFonts w:cs="Times New Roman"/>
          <w:szCs w:val="24"/>
        </w:rPr>
      </w:pPr>
      <w:r w:rsidRPr="00675E5D">
        <w:rPr>
          <w:rFonts w:cs="Times New Roman"/>
          <w:szCs w:val="24"/>
        </w:rPr>
        <w:t>The optimization process with machine-learning is concerned only about accuracy and, therefore, all prediction errors are matched equally. This can unintentionally inculcate prejudice. In addition, precision and impartiality usually are mutually exclusive. Computer scientists have found plenty of definitions of fairness, many of which conflict with one another making it hard to make difficult choices that conventional practice does not resolve.</w:t>
      </w:r>
    </w:p>
    <w:p w14:paraId="073045B6" w14:textId="2D219587" w:rsidR="00951D24" w:rsidRPr="00675E5D" w:rsidRDefault="00000000" w:rsidP="00675E5D">
      <w:pPr>
        <w:spacing w:line="480" w:lineRule="auto"/>
        <w:contextualSpacing/>
        <w:rPr>
          <w:rFonts w:cs="Times New Roman"/>
          <w:szCs w:val="24"/>
        </w:rPr>
      </w:pPr>
      <w:r w:rsidRPr="00675E5D">
        <w:rPr>
          <w:rFonts w:cs="Times New Roman"/>
          <w:szCs w:val="24"/>
        </w:rPr>
        <w:t xml:space="preserve">Credit-scoring models are not just predictors of </w:t>
      </w:r>
      <w:r w:rsidR="002C565D" w:rsidRPr="00675E5D">
        <w:rPr>
          <w:rFonts w:cs="Times New Roman"/>
          <w:szCs w:val="24"/>
        </w:rPr>
        <w:t>creditworthiness;</w:t>
      </w:r>
      <w:r w:rsidRPr="00675E5D">
        <w:rPr>
          <w:rFonts w:cs="Times New Roman"/>
          <w:szCs w:val="24"/>
        </w:rPr>
        <w:t xml:space="preserve"> they influence it because they dictate who gets credit. This produces feedback in which bias is exaggerated with time. When biased models deprive qualified applicants with poor backgrounds of being hired, the unqualified applicants are unable to establish positive credit backgrounds, which validates the preliminary biased prediction in a self-fulfilling prophecy.</w:t>
      </w:r>
    </w:p>
    <w:p w14:paraId="61EF16BB"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4.3 Technical-Legal Translation Challenges</w:t>
      </w:r>
    </w:p>
    <w:p w14:paraId="2C47E5F1" w14:textId="77777777" w:rsidR="00951D24" w:rsidRPr="00675E5D" w:rsidRDefault="00000000" w:rsidP="00675E5D">
      <w:pPr>
        <w:spacing w:line="480" w:lineRule="auto"/>
        <w:contextualSpacing/>
        <w:rPr>
          <w:rFonts w:cs="Times New Roman"/>
          <w:szCs w:val="24"/>
        </w:rPr>
      </w:pPr>
      <w:r w:rsidRPr="00675E5D">
        <w:rPr>
          <w:rFonts w:cs="Times New Roman"/>
          <w:szCs w:val="24"/>
        </w:rPr>
        <w:t>Machine-learning models can allocate causal power to thousands of interactively and contextually varying variables. This diffused causation makes the Equality Act perplexing. The direct discrimination in section 13 assumes a treatment on the ground of a characteristic in an identifying cause-effect relationship- the aspect of discrimination must be established as a cause of the outcome treatment. The indirect discrimination found in section 19 involves identifying a PCP and measuring their effects.</w:t>
      </w:r>
    </w:p>
    <w:p w14:paraId="5D4D1881" w14:textId="77777777" w:rsidR="00951D24" w:rsidRPr="00675E5D" w:rsidRDefault="00000000" w:rsidP="00675E5D">
      <w:pPr>
        <w:spacing w:line="480" w:lineRule="auto"/>
        <w:contextualSpacing/>
        <w:rPr>
          <w:rFonts w:cs="Times New Roman"/>
          <w:szCs w:val="24"/>
        </w:rPr>
      </w:pPr>
      <w:r w:rsidRPr="00675E5D">
        <w:rPr>
          <w:rFonts w:cs="Times New Roman"/>
          <w:szCs w:val="24"/>
        </w:rPr>
        <w:t>There are deep accountability problems that arise with the black box problem. Establishing whether the models discriminate without having the knowledge of their production of outputs. The effects but not mechanisms may be statistical. Lenders are able to argue that models do not engage in discriminatory intent and they could not describe how such disparate patterns could arise. This gets round conventional frames of accountability.</w:t>
      </w:r>
    </w:p>
    <w:p w14:paraId="71B1F16A" w14:textId="77777777" w:rsidR="00951D24" w:rsidRPr="00675E5D" w:rsidRDefault="00000000" w:rsidP="00675E5D">
      <w:pPr>
        <w:spacing w:line="480" w:lineRule="auto"/>
        <w:contextualSpacing/>
        <w:rPr>
          <w:rFonts w:cs="Times New Roman"/>
          <w:szCs w:val="24"/>
        </w:rPr>
      </w:pPr>
      <w:r w:rsidRPr="00675E5D">
        <w:rPr>
          <w:rFonts w:cs="Times New Roman"/>
          <w:szCs w:val="24"/>
        </w:rPr>
        <w:t>The Equality Act is published with an organization of individual claims. This individualistic paradigm does not canopy well on systemic algorithmic discrimination among populations, which is executed by means of statistical trends. No one can prove with one hundred percent that he or she is at a disadvantage because of prejudice. The discrimination is a group and likely phenomenon.</w:t>
      </w:r>
    </w:p>
    <w:p w14:paraId="52876691" w14:textId="77777777" w:rsidR="00951D24" w:rsidRPr="00675E5D" w:rsidRDefault="00000000" w:rsidP="00675E5D">
      <w:pPr>
        <w:spacing w:line="480" w:lineRule="auto"/>
        <w:contextualSpacing/>
        <w:rPr>
          <w:rFonts w:cs="Times New Roman"/>
          <w:szCs w:val="24"/>
        </w:rPr>
      </w:pPr>
      <w:r w:rsidRPr="00675E5D">
        <w:rPr>
          <w:rFonts w:cs="Times New Roman"/>
          <w:szCs w:val="24"/>
        </w:rPr>
        <w:t>Though it is possible that the lenders have been found guilty of algorithmic indirect discrimination, they can defend it on the grounds that the PCP is proportional. According to lenders, proper risk evaluation requires algorithmic scoring. Analysis of such claims demands technical expertise in courts that do not have such expertise, which runs the risk that the substantiation of such claims has substituted the analysis of substantiation with accepting the claims of the lenders.</w:t>
      </w:r>
    </w:p>
    <w:p w14:paraId="78E309FB" w14:textId="5B28AEFA" w:rsidR="00951D24" w:rsidRPr="002C565D" w:rsidRDefault="00000000" w:rsidP="002C565D">
      <w:pPr>
        <w:spacing w:line="480" w:lineRule="auto"/>
        <w:contextualSpacing/>
        <w:jc w:val="center"/>
        <w:rPr>
          <w:rFonts w:cs="Times New Roman"/>
          <w:b/>
          <w:bCs/>
          <w:szCs w:val="24"/>
        </w:rPr>
      </w:pPr>
      <w:r w:rsidRPr="00675E5D">
        <w:rPr>
          <w:rFonts w:cs="Times New Roman"/>
          <w:szCs w:val="24"/>
        </w:rPr>
        <w:br w:type="page"/>
      </w:r>
      <w:r w:rsidRPr="002C565D">
        <w:rPr>
          <w:rFonts w:cs="Times New Roman"/>
          <w:b/>
          <w:bCs/>
          <w:szCs w:val="24"/>
        </w:rPr>
        <w:lastRenderedPageBreak/>
        <w:t>CHAPTER 5: CASE STUDIES AND EVIDENCE</w:t>
      </w:r>
    </w:p>
    <w:p w14:paraId="3902CB4F"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5.1 Gender Discrimination Analysis</w:t>
      </w:r>
    </w:p>
    <w:p w14:paraId="3B3E698B" w14:textId="77777777" w:rsidR="00951D24" w:rsidRPr="00675E5D" w:rsidRDefault="00000000" w:rsidP="00675E5D">
      <w:pPr>
        <w:spacing w:line="480" w:lineRule="auto"/>
        <w:contextualSpacing/>
        <w:rPr>
          <w:rFonts w:cs="Times New Roman"/>
          <w:szCs w:val="24"/>
        </w:rPr>
      </w:pPr>
      <w:r w:rsidRPr="00675E5D">
        <w:rPr>
          <w:rFonts w:cs="Times New Roman"/>
          <w:szCs w:val="24"/>
        </w:rPr>
        <w:t>Consider Ms. A and Mr. B are married partners whose money is joint. They feel separately seeking credit cards with UK Bank. Ms. Has credit score 750 and earns 45000-a-year. Mr. B has a credit rating of 720 and with an income of 50000. Despite Ms. Being of better credit, A receives a credit limit of 3000 Pounds whereas Mr. B is given 15000. The automated scoring algorithm of the Bank was used in both cases.</w:t>
      </w:r>
    </w:p>
    <w:p w14:paraId="6463DD26" w14:textId="77777777" w:rsidR="00951D24" w:rsidRPr="00675E5D" w:rsidRDefault="00000000" w:rsidP="00675E5D">
      <w:pPr>
        <w:spacing w:line="480" w:lineRule="auto"/>
        <w:contextualSpacing/>
        <w:rPr>
          <w:rFonts w:cs="Times New Roman"/>
          <w:szCs w:val="24"/>
        </w:rPr>
      </w:pPr>
      <w:r w:rsidRPr="00675E5D">
        <w:rPr>
          <w:rFonts w:cs="Times New Roman"/>
          <w:szCs w:val="24"/>
        </w:rPr>
        <w:t>Ms. Under section 13 a might claim that UK Bank treated her less favorably due to sex. Nevertheless, sex is not an input variable that was used by the Bank. Conventional direct discrimination law would mean that, the lack of express consideration would usually defeat claims.</w:t>
      </w:r>
    </w:p>
    <w:p w14:paraId="6627EAF8" w14:textId="77777777" w:rsidR="00951D24" w:rsidRPr="00675E5D" w:rsidRDefault="00000000" w:rsidP="00675E5D">
      <w:pPr>
        <w:spacing w:line="480" w:lineRule="auto"/>
        <w:contextualSpacing/>
        <w:rPr>
          <w:rFonts w:cs="Times New Roman"/>
          <w:szCs w:val="24"/>
        </w:rPr>
      </w:pPr>
      <w:r w:rsidRPr="00675E5D">
        <w:rPr>
          <w:rFonts w:cs="Times New Roman"/>
          <w:szCs w:val="24"/>
        </w:rPr>
        <w:t>Ms. One may claim that the algorithm did a good job of discriminating using proxy variables. There are however intellectual barriers in establishing proxy discrimination as direct discrimination. Direct discrimination involves the demonstration that the characteristic to be defended was a reason. Considering that sex was not always a consideration of the algorithm, it was, arguably, not a reason.</w:t>
      </w:r>
    </w:p>
    <w:p w14:paraId="246E2913" w14:textId="77777777" w:rsidR="00951D24" w:rsidRPr="00675E5D" w:rsidRDefault="00000000" w:rsidP="00675E5D">
      <w:pPr>
        <w:spacing w:line="480" w:lineRule="auto"/>
        <w:contextualSpacing/>
        <w:rPr>
          <w:rFonts w:cs="Times New Roman"/>
          <w:szCs w:val="24"/>
        </w:rPr>
      </w:pPr>
      <w:r w:rsidRPr="00675E5D">
        <w:rPr>
          <w:rFonts w:cs="Times New Roman"/>
          <w:szCs w:val="24"/>
        </w:rPr>
        <w:t>In case of indirect discrimination under section 19, Ms. An objection would be that the Bank used a PCP (algorithms model) that is more discriminating against women in a disproportionate manner. She would require statistical data to verify that there are lower limits of credit granted to women in a more methodical manner as compared to men with similar qualifications. There are difficulties in getting such evidence.</w:t>
      </w:r>
    </w:p>
    <w:p w14:paraId="312A96D8"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Assuming Ms. A pave the way to prima facie disparate impact, UK Bank would defend the practice: precise risk assessment is a valid purpose; algorithmic scoring would look at many variables; other methods would not be as accurate; the disparate impact would be fair.</w:t>
      </w:r>
    </w:p>
    <w:p w14:paraId="49E9A73F" w14:textId="77777777" w:rsidR="00951D24" w:rsidRPr="00675E5D" w:rsidRDefault="00000000" w:rsidP="00675E5D">
      <w:pPr>
        <w:spacing w:line="480" w:lineRule="auto"/>
        <w:contextualSpacing/>
        <w:rPr>
          <w:rFonts w:cs="Times New Roman"/>
          <w:szCs w:val="24"/>
        </w:rPr>
      </w:pPr>
      <w:r w:rsidRPr="00675E5D">
        <w:rPr>
          <w:rFonts w:cs="Times New Roman"/>
          <w:szCs w:val="24"/>
        </w:rPr>
        <w:t>Ms. The would have to counter such reasons by proving than there are less discriminatory options not an easy task technically and then economically. Trade secrecy would be invoked by UK Bank in order to oppose the revelation of model details.</w:t>
      </w:r>
    </w:p>
    <w:p w14:paraId="23C2005E" w14:textId="77777777" w:rsidR="00951D24" w:rsidRPr="00675E5D" w:rsidRDefault="00000000" w:rsidP="00675E5D">
      <w:pPr>
        <w:spacing w:line="480" w:lineRule="auto"/>
        <w:contextualSpacing/>
        <w:rPr>
          <w:rFonts w:cs="Times New Roman"/>
          <w:szCs w:val="24"/>
        </w:rPr>
      </w:pPr>
      <w:r w:rsidRPr="00675E5D">
        <w:rPr>
          <w:rFonts w:cs="Times New Roman"/>
          <w:szCs w:val="24"/>
        </w:rPr>
        <w:t>Under current law, Ms. The argument of A has unsurmountable challenges. Probably, she is unable to prove direct discrimination. Her indirect discrimination case has stood my ground with clear barriers of evidence, complex technical case, and required resources. She would get individual compensation in case she wins. The algorithmic model would still be running.</w:t>
      </w:r>
    </w:p>
    <w:p w14:paraId="6494DFE0"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5.2 Racial and Ethnic Discrimination</w:t>
      </w:r>
    </w:p>
    <w:p w14:paraId="3E5D8A63" w14:textId="77777777" w:rsidR="00951D24" w:rsidRPr="00675E5D" w:rsidRDefault="00000000" w:rsidP="00675E5D">
      <w:pPr>
        <w:spacing w:line="480" w:lineRule="auto"/>
        <w:contextualSpacing/>
        <w:rPr>
          <w:rFonts w:cs="Times New Roman"/>
          <w:szCs w:val="24"/>
        </w:rPr>
      </w:pPr>
      <w:r w:rsidRPr="00675E5D">
        <w:rPr>
          <w:rFonts w:cs="Times New Roman"/>
          <w:szCs w:val="24"/>
        </w:rPr>
        <w:t>Take Mr. C, a Pakistani born man residing in East London and he is British. Although he has steady employment history (five years), earns £38,000 and has a credit score of 680, LendCo refuses to give him a personal loan. His white colleague, Ms. D who is residing in a white neighborhood earns an annual income of £36,000, has credit score of 665, and three years of employment. She is approved.</w:t>
      </w:r>
    </w:p>
    <w:p w14:paraId="2592D507" w14:textId="77777777" w:rsidR="00951D24" w:rsidRPr="00675E5D" w:rsidRDefault="00000000" w:rsidP="00675E5D">
      <w:pPr>
        <w:spacing w:line="480" w:lineRule="auto"/>
        <w:contextualSpacing/>
        <w:rPr>
          <w:rFonts w:cs="Times New Roman"/>
          <w:szCs w:val="24"/>
        </w:rPr>
      </w:pPr>
      <w:r w:rsidRPr="00675E5D">
        <w:rPr>
          <w:rFonts w:cs="Times New Roman"/>
          <w:szCs w:val="24"/>
        </w:rPr>
        <w:t>The algorithm used by LendCo does not pay directly attention to race but uses factors at the postcode level. Mr. In the history, C has a postcode with an increased number of default rates. The algorithm uses postcode as a risk factor, which does not favor Mr. C despite his personal qualifications.</w:t>
      </w:r>
    </w:p>
    <w:p w14:paraId="0D0337F3"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The customer in Mr. C can assert indirect race discrimination. He would require statistical data that would prove that there is disproportionate turn away of LendCo by the ethnic minorities. </w:t>
      </w:r>
      <w:r w:rsidRPr="00675E5D">
        <w:rPr>
          <w:rFonts w:cs="Times New Roman"/>
          <w:szCs w:val="24"/>
        </w:rPr>
        <w:lastRenderedPageBreak/>
        <w:t>This is difficult because the UK lenders are not obligated to gather applicant race-related information.</w:t>
      </w:r>
    </w:p>
    <w:p w14:paraId="4F8626EA" w14:textId="77777777" w:rsidR="00951D24" w:rsidRPr="00675E5D" w:rsidRDefault="00000000" w:rsidP="00675E5D">
      <w:pPr>
        <w:spacing w:line="480" w:lineRule="auto"/>
        <w:contextualSpacing/>
        <w:rPr>
          <w:rFonts w:cs="Times New Roman"/>
          <w:szCs w:val="24"/>
        </w:rPr>
      </w:pPr>
      <w:r w:rsidRPr="00675E5D">
        <w:rPr>
          <w:rFonts w:cs="Times New Roman"/>
          <w:szCs w:val="24"/>
        </w:rPr>
        <w:t>LendCo would be justified to use postcodes: the risk assessment would be valid; the postcodes would reflect the economic conditions in the region in regards to the risk of default; omitting the postcodes would lower the rate of accuracy.</w:t>
      </w:r>
    </w:p>
    <w:p w14:paraId="688FBD57" w14:textId="77777777" w:rsidR="00951D24" w:rsidRPr="00675E5D" w:rsidRDefault="00000000" w:rsidP="00675E5D">
      <w:pPr>
        <w:spacing w:line="480" w:lineRule="auto"/>
        <w:contextualSpacing/>
        <w:rPr>
          <w:rFonts w:cs="Times New Roman"/>
          <w:szCs w:val="24"/>
        </w:rPr>
      </w:pPr>
      <w:r w:rsidRPr="00675E5D">
        <w:rPr>
          <w:rFonts w:cs="Times New Roman"/>
          <w:szCs w:val="24"/>
        </w:rPr>
        <w:t>Mr. C would say: individual considerations are of higher priority than postcode statistics where there is direct individual data at their disposal; where there is postcode data available to project economic conditions and there is individual level data available, lenders should employ restrictions that would have individual qualification on top of area level generalizations.</w:t>
      </w:r>
    </w:p>
    <w:p w14:paraId="6D5FA6BE" w14:textId="77777777" w:rsidR="00951D24" w:rsidRPr="00675E5D" w:rsidRDefault="00000000" w:rsidP="00675E5D">
      <w:pPr>
        <w:spacing w:line="480" w:lineRule="auto"/>
        <w:contextualSpacing/>
        <w:rPr>
          <w:rFonts w:cs="Times New Roman"/>
          <w:szCs w:val="24"/>
        </w:rPr>
      </w:pPr>
      <w:r w:rsidRPr="00675E5D">
        <w:rPr>
          <w:rFonts w:cs="Times New Roman"/>
          <w:szCs w:val="24"/>
        </w:rPr>
        <w:t>These are aspects that need professional testimony. It might be true that, although Mr. C suits in his individual claim, the pattern of the wider postcode-based disadvantage would still be there.</w:t>
      </w:r>
    </w:p>
    <w:p w14:paraId="098CB5B2" w14:textId="77777777" w:rsidR="00951D24" w:rsidRPr="00675E5D" w:rsidRDefault="00000000" w:rsidP="00675E5D">
      <w:pPr>
        <w:spacing w:line="480" w:lineRule="auto"/>
        <w:contextualSpacing/>
        <w:rPr>
          <w:rFonts w:cs="Times New Roman"/>
          <w:szCs w:val="24"/>
        </w:rPr>
      </w:pPr>
      <w:r w:rsidRPr="00675E5D">
        <w:rPr>
          <w:rFonts w:cs="Times New Roman"/>
          <w:szCs w:val="24"/>
        </w:rPr>
        <w:t>Even neutral geographic data is a representation of historical discrimination, as demonstrated by postcode discrimination. Housing discrimination in the past is manifested in residential segregation. The past discrimination should be used to create contemporary decisions by using postcode-based variables.</w:t>
      </w:r>
    </w:p>
    <w:p w14:paraId="76232C14"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5.3 Age and Intersectional Discrimination</w:t>
      </w:r>
    </w:p>
    <w:p w14:paraId="3E5EE0DE" w14:textId="77777777" w:rsidR="00951D24" w:rsidRPr="00675E5D" w:rsidRDefault="00000000" w:rsidP="00675E5D">
      <w:pPr>
        <w:spacing w:line="480" w:lineRule="auto"/>
        <w:contextualSpacing/>
        <w:rPr>
          <w:rFonts w:cs="Times New Roman"/>
          <w:szCs w:val="24"/>
        </w:rPr>
      </w:pPr>
      <w:r w:rsidRPr="00675E5D">
        <w:rPr>
          <w:rFonts w:cs="Times New Roman"/>
          <w:szCs w:val="24"/>
        </w:rPr>
        <w:t>Ms. E is 24 years old; this is her first post-graduate job after college, with an 18-month working experience of 32,000. She has a single credit card that she got 2 years ago that she has used in a responsible manner and never misses the payments. She even applies to car finance and is rejected. The model placed too much importance on her short credit history as compared to her impeccable payment history.</w:t>
      </w:r>
    </w:p>
    <w:p w14:paraId="58E58A2D"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Ms. E may present age discrimination. The reason why length of credit-history is used where justified by the lender as a necessary factor in risk assessment would have more data points in </w:t>
      </w:r>
      <w:r w:rsidRPr="00675E5D">
        <w:rPr>
          <w:rFonts w:cs="Times New Roman"/>
          <w:szCs w:val="24"/>
        </w:rPr>
        <w:lastRenderedPageBreak/>
        <w:t>longer histories. Nonetheless, the average statistics of individuals are not creators of credit diversity. Ms. E has experienced responsible management.</w:t>
      </w:r>
    </w:p>
    <w:p w14:paraId="78F2BEE7" w14:textId="77777777" w:rsidR="00951D24" w:rsidRPr="00675E5D" w:rsidRDefault="00000000" w:rsidP="00675E5D">
      <w:pPr>
        <w:spacing w:line="480" w:lineRule="auto"/>
        <w:contextualSpacing/>
        <w:rPr>
          <w:rFonts w:cs="Times New Roman"/>
          <w:szCs w:val="24"/>
        </w:rPr>
      </w:pPr>
      <w:r w:rsidRPr="00675E5D">
        <w:rPr>
          <w:rFonts w:cs="Times New Roman"/>
          <w:szCs w:val="24"/>
        </w:rPr>
        <w:t>There are some specific challenges to intersectionality. Ms. F is a 26-year-old black female, who is a single mother, is employed in a retail house, earning 28,000 pounds. The model takes into account: age (young, short history); income (modest); industry of employment (retail, less stable); postcode (urban, high ethnic-minority population). Although none of them are a deciding factor, when they occur together, they result in denial.</w:t>
      </w:r>
    </w:p>
    <w:p w14:paraId="1392ACF7" w14:textId="77777777" w:rsidR="00951D24" w:rsidRPr="00675E5D" w:rsidRDefault="00000000" w:rsidP="00675E5D">
      <w:pPr>
        <w:spacing w:line="480" w:lineRule="auto"/>
        <w:contextualSpacing/>
        <w:rPr>
          <w:rFonts w:cs="Times New Roman"/>
          <w:szCs w:val="24"/>
        </w:rPr>
      </w:pPr>
      <w:r w:rsidRPr="00675E5D">
        <w:rPr>
          <w:rFonts w:cs="Times New Roman"/>
          <w:szCs w:val="24"/>
        </w:rPr>
        <w:t>Individually, each of the factors may be justified. Nevertheless, they are combined unequally in their impact on the young Black female who experiences intersecting disadvantages.</w:t>
      </w:r>
    </w:p>
    <w:p w14:paraId="7D023BBF" w14:textId="77777777" w:rsidR="00951D24" w:rsidRPr="00675E5D" w:rsidRDefault="00000000" w:rsidP="00675E5D">
      <w:pPr>
        <w:spacing w:line="480" w:lineRule="auto"/>
        <w:contextualSpacing/>
        <w:rPr>
          <w:rFonts w:cs="Times New Roman"/>
          <w:szCs w:val="24"/>
        </w:rPr>
      </w:pPr>
      <w:r w:rsidRPr="00675E5D">
        <w:rPr>
          <w:rFonts w:cs="Times New Roman"/>
          <w:szCs w:val="24"/>
        </w:rPr>
        <w:t>The equality legislation of the UK is not sensitive to intersectional discrimination. Section 14 that was to have permitted combined claims was never put into effect. Ms. F must bring separate claims. The disadvantage however, is hard to portray when any one of the characteristics alone results in discrimination.</w:t>
      </w:r>
    </w:p>
    <w:p w14:paraId="59BAFB2E" w14:textId="77777777" w:rsidR="00951D24" w:rsidRPr="00675E5D" w:rsidRDefault="00000000" w:rsidP="00675E5D">
      <w:pPr>
        <w:spacing w:line="480" w:lineRule="auto"/>
        <w:contextualSpacing/>
        <w:rPr>
          <w:rFonts w:cs="Times New Roman"/>
          <w:szCs w:val="24"/>
        </w:rPr>
      </w:pPr>
      <w:r w:rsidRPr="00675E5D">
        <w:rPr>
          <w:rFonts w:cs="Times New Roman"/>
          <w:szCs w:val="24"/>
        </w:rPr>
        <w:t>This is a basic drawback: the categorical form of discrimination law has problems when it comes to an algorithmic form of organization of complex demographic subgroups formed by pattern recognition based on multivariate patterns.</w:t>
      </w:r>
    </w:p>
    <w:p w14:paraId="75430A05"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5.4 Evidence Synthesis</w:t>
      </w:r>
    </w:p>
    <w:p w14:paraId="27E45AC1" w14:textId="77777777" w:rsidR="00951D24" w:rsidRPr="00675E5D" w:rsidRDefault="00000000" w:rsidP="00675E5D">
      <w:pPr>
        <w:spacing w:line="480" w:lineRule="auto"/>
        <w:contextualSpacing/>
        <w:rPr>
          <w:rFonts w:cs="Times New Roman"/>
          <w:szCs w:val="24"/>
        </w:rPr>
      </w:pPr>
      <w:r w:rsidRPr="00675E5D">
        <w:rPr>
          <w:rFonts w:cs="Times New Roman"/>
          <w:szCs w:val="24"/>
        </w:rPr>
        <w:t>Several common patterns between case studies. In both cases, claimants are not provided with information that could demonstrate discrimination. Defendants have all the information and may oppose the disclosure on the basis of confidentiality.</w:t>
      </w:r>
    </w:p>
    <w:p w14:paraId="7E7A582E" w14:textId="77777777" w:rsidR="00951D24" w:rsidRPr="00675E5D" w:rsidRDefault="00000000" w:rsidP="00675E5D">
      <w:pPr>
        <w:spacing w:line="480" w:lineRule="auto"/>
        <w:contextualSpacing/>
        <w:rPr>
          <w:rFonts w:cs="Times New Roman"/>
          <w:szCs w:val="24"/>
        </w:rPr>
      </w:pPr>
      <w:r w:rsidRPr="00675E5D">
        <w:rPr>
          <w:rFonts w:cs="Times New Roman"/>
          <w:szCs w:val="24"/>
        </w:rPr>
        <w:t>Evaluation of discrimination is executed by using proxy variables that are correlated with qualities that are being secured but are not taken into consideration. The existing legislation is not that good at identifying proxy effects and assessing whether the use is justified.</w:t>
      </w:r>
    </w:p>
    <w:p w14:paraId="3695D426"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To counter algorithmic discrimination, not only technical and statistical expertise but also resources are necessary to hire experts to challenge the algorithmic discrimination. Single claimants hardly have these capabilities.</w:t>
      </w:r>
    </w:p>
    <w:p w14:paraId="2CF87DF6" w14:textId="77777777" w:rsidR="00951D24" w:rsidRPr="00675E5D" w:rsidRDefault="00000000" w:rsidP="00675E5D">
      <w:pPr>
        <w:spacing w:line="480" w:lineRule="auto"/>
        <w:contextualSpacing/>
        <w:rPr>
          <w:rFonts w:cs="Times New Roman"/>
          <w:szCs w:val="24"/>
        </w:rPr>
      </w:pPr>
      <w:r w:rsidRPr="00675E5D">
        <w:rPr>
          <w:rFonts w:cs="Times New Roman"/>
          <w:szCs w:val="24"/>
        </w:rPr>
        <w:t>Trying to justify nearly any feature of the model, lenders can appeal to the risk assessment and accuracy. Courts are not in position to be critical on justifications and leave judgments to businesses.</w:t>
      </w:r>
    </w:p>
    <w:p w14:paraId="54051D22" w14:textId="77777777" w:rsidR="00951D24" w:rsidRPr="00675E5D" w:rsidRDefault="00000000" w:rsidP="00675E5D">
      <w:pPr>
        <w:spacing w:line="480" w:lineRule="auto"/>
        <w:contextualSpacing/>
        <w:rPr>
          <w:rFonts w:cs="Times New Roman"/>
          <w:szCs w:val="24"/>
        </w:rPr>
      </w:pPr>
      <w:r w:rsidRPr="00675E5D">
        <w:rPr>
          <w:rFonts w:cs="Times New Roman"/>
          <w:szCs w:val="24"/>
        </w:rPr>
        <w:t>Even the successful individual claims undergo only individual remedies. Wider algorithmic systems proceed with functioning. There is no systemic corrective mechanism.</w:t>
      </w:r>
    </w:p>
    <w:p w14:paraId="633B883A" w14:textId="77777777" w:rsidR="00951D24" w:rsidRPr="00675E5D" w:rsidRDefault="00000000" w:rsidP="00675E5D">
      <w:pPr>
        <w:spacing w:line="480" w:lineRule="auto"/>
        <w:contextualSpacing/>
        <w:rPr>
          <w:rFonts w:cs="Times New Roman"/>
          <w:szCs w:val="24"/>
        </w:rPr>
      </w:pPr>
      <w:r w:rsidRPr="00675E5D">
        <w:rPr>
          <w:rFonts w:cs="Times New Roman"/>
          <w:szCs w:val="24"/>
        </w:rPr>
        <w:br w:type="page"/>
      </w:r>
    </w:p>
    <w:p w14:paraId="7DE601F7" w14:textId="77777777" w:rsidR="00951D24" w:rsidRPr="00675E5D" w:rsidRDefault="00000000" w:rsidP="00675E5D">
      <w:pPr>
        <w:pStyle w:val="Heading1"/>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CHAPTER 6: REGULATORY AND DOCTRINAL GAPS</w:t>
      </w:r>
    </w:p>
    <w:p w14:paraId="7BE66C52"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6.1 Proof and Evidence Barriers</w:t>
      </w:r>
    </w:p>
    <w:p w14:paraId="51D66EEA" w14:textId="45323416" w:rsidR="00951D24" w:rsidRPr="00675E5D" w:rsidRDefault="00000000" w:rsidP="00675E5D">
      <w:pPr>
        <w:spacing w:line="480" w:lineRule="auto"/>
        <w:contextualSpacing/>
        <w:rPr>
          <w:rFonts w:cs="Times New Roman"/>
          <w:szCs w:val="24"/>
        </w:rPr>
      </w:pPr>
      <w:r w:rsidRPr="00675E5D">
        <w:rPr>
          <w:rFonts w:cs="Times New Roman"/>
          <w:szCs w:val="24"/>
        </w:rPr>
        <w:t>Radical information asymmetry is the most fundamental. The claimants are usually only aware of their result and maybe their score. They are unaware of the methods of calculation of scores, variables, and patterns of less favorable. Lenders hold all the information: full model specifications, training information, all variables, history information, and macro statistics.</w:t>
      </w:r>
    </w:p>
    <w:p w14:paraId="2A69DADB" w14:textId="77777777" w:rsidR="00951D24" w:rsidRPr="00675E5D" w:rsidRDefault="00000000" w:rsidP="00675E5D">
      <w:pPr>
        <w:spacing w:line="480" w:lineRule="auto"/>
        <w:contextualSpacing/>
        <w:rPr>
          <w:rFonts w:cs="Times New Roman"/>
          <w:szCs w:val="24"/>
        </w:rPr>
      </w:pPr>
      <w:r w:rsidRPr="00675E5D">
        <w:rPr>
          <w:rFonts w:cs="Times New Roman"/>
          <w:szCs w:val="24"/>
        </w:rPr>
        <w:t>The UK civil procedure offers mechanisms of discovery, which are insufficient. The standard disclosure presupposes that claimant may recognize that there are documents in question which is challenging when it is unknown to the claimants that such documents exist. The reasons why disclosure can be opposed by defendants are proportionality, relevance, and confidentiality. Trade secrets are often accepted in courts and this restricts disclosure.</w:t>
      </w:r>
    </w:p>
    <w:p w14:paraId="39FDC0DA" w14:textId="77777777" w:rsidR="00951D24" w:rsidRPr="00675E5D" w:rsidRDefault="00000000" w:rsidP="00675E5D">
      <w:pPr>
        <w:spacing w:line="480" w:lineRule="auto"/>
        <w:contextualSpacing/>
        <w:rPr>
          <w:rFonts w:cs="Times New Roman"/>
          <w:szCs w:val="24"/>
        </w:rPr>
      </w:pPr>
      <w:r w:rsidRPr="00675E5D">
        <w:rPr>
          <w:rFonts w:cs="Times New Roman"/>
          <w:szCs w:val="24"/>
        </w:rPr>
        <w:t>The claims in question need to be prosecuted with the help of an expert: computer scientists to analyze models, statisticians to show disparate impacts, economists to examine justifications. It is costly to hire expert evidence- full audits range between 50,000- 200,000. Such costs are hardly affordable by individual claimants. The loser pays rule of UK litigation poses tremendous risks.</w:t>
      </w:r>
    </w:p>
    <w:p w14:paraId="56DC3500" w14:textId="77777777" w:rsidR="00951D24" w:rsidRPr="00675E5D" w:rsidRDefault="00000000" w:rsidP="00675E5D">
      <w:pPr>
        <w:spacing w:line="480" w:lineRule="auto"/>
        <w:contextualSpacing/>
        <w:rPr>
          <w:rFonts w:cs="Times New Roman"/>
          <w:szCs w:val="24"/>
        </w:rPr>
      </w:pPr>
      <w:r w:rsidRPr="00675E5D">
        <w:rPr>
          <w:rFonts w:cs="Times New Roman"/>
          <w:szCs w:val="24"/>
        </w:rPr>
        <w:t>Although section 136 splits the weight to claimants when the claimants have already proven a prima facie case, it takes place when claimants have done what is required to prove their prima facie case. In the case of algorithmic discrimination, statistical or comparator evidence claimants do not have the burden to discharge this burden. This gives rise to a paradox in which claimants require discovery in order to prove prima facie cases and require prima facie cases to be able to justify discovery.</w:t>
      </w:r>
    </w:p>
    <w:p w14:paraId="58EA179E"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6.2 Conceptual Mismatches Between Law and Technology</w:t>
      </w:r>
    </w:p>
    <w:p w14:paraId="2798E157" w14:textId="77777777" w:rsidR="00951D24" w:rsidRPr="00675E5D" w:rsidRDefault="00000000" w:rsidP="00675E5D">
      <w:pPr>
        <w:spacing w:line="480" w:lineRule="auto"/>
        <w:contextualSpacing/>
        <w:rPr>
          <w:rFonts w:cs="Times New Roman"/>
          <w:szCs w:val="24"/>
        </w:rPr>
      </w:pPr>
      <w:r w:rsidRPr="00675E5D">
        <w:rPr>
          <w:rFonts w:cs="Times New Roman"/>
          <w:szCs w:val="24"/>
        </w:rPr>
        <w:t>The direct discrimination framework in Section 13 assumes that discrimination exists when parties treat other people poorly due to one of the characteristics that are protected against-based on the human agency and intentionality. The agency and intention as applied to algorithmic systems are meaningless.</w:t>
      </w:r>
    </w:p>
    <w:p w14:paraId="2F099163" w14:textId="77777777" w:rsidR="00951D24" w:rsidRPr="00675E5D" w:rsidRDefault="00000000" w:rsidP="00675E5D">
      <w:pPr>
        <w:spacing w:line="480" w:lineRule="auto"/>
        <w:contextualSpacing/>
        <w:rPr>
          <w:rFonts w:cs="Times New Roman"/>
          <w:szCs w:val="24"/>
        </w:rPr>
      </w:pPr>
      <w:r w:rsidRPr="00675E5D">
        <w:rPr>
          <w:rFonts w:cs="Times New Roman"/>
          <w:szCs w:val="24"/>
        </w:rPr>
        <w:t>Proxy discrimination fundamentally challenges direct discrimination doctrine. This dissertation introduces the concept of 'distributed discrimination': where algorithmic systems operationalize protected characteristics through proxy variables, creating what we term 'functional equivalence discrimination.' Algorithms effectively discriminate even though explicit consideration of the race is not taken into consideration in case the postcodes are used to represent race. Questions on whether this is direct discrimination or indirect discrimination are still of a dogmatic nature. This is important since direct discrimination cannot be justified whereas indirect discrimination can.</w:t>
      </w:r>
    </w:p>
    <w:p w14:paraId="1D1B4115" w14:textId="32C62630" w:rsidR="00951D24" w:rsidRPr="00675E5D" w:rsidRDefault="00000000" w:rsidP="00675E5D">
      <w:pPr>
        <w:spacing w:line="480" w:lineRule="auto"/>
        <w:contextualSpacing/>
        <w:rPr>
          <w:rFonts w:cs="Times New Roman"/>
          <w:szCs w:val="24"/>
        </w:rPr>
      </w:pPr>
      <w:r w:rsidRPr="00675E5D">
        <w:rPr>
          <w:rFonts w:cs="Times New Roman"/>
          <w:szCs w:val="24"/>
        </w:rPr>
        <w:t>The indirect discrimination framework of s 19 requires identifying a 'provision, criterion or practice' (PCP)</w:t>
      </w:r>
      <w:r w:rsidR="00DD2856">
        <w:rPr>
          <w:rFonts w:cs="Times New Roman"/>
          <w:szCs w:val="24"/>
        </w:rPr>
        <w:t xml:space="preserve">; </w:t>
      </w:r>
      <w:r w:rsidRPr="00675E5D">
        <w:rPr>
          <w:rFonts w:cs="Times New Roman"/>
          <w:szCs w:val="24"/>
        </w:rPr>
        <w:t>a concept this dissertation argues must be fundamentally reconceptualized for algorithmic systems. Rule formulation by machine-learned models does not take the form of rules in traditional senses. A neural network can be defined as a mathematical function having millions of parameters. Discrete rule cannot be identified.</w:t>
      </w:r>
    </w:p>
    <w:p w14:paraId="45C17512" w14:textId="6DBFDDA9" w:rsidR="00951D24" w:rsidRPr="00675E5D" w:rsidRDefault="00000000" w:rsidP="00675E5D">
      <w:pPr>
        <w:spacing w:line="480" w:lineRule="auto"/>
        <w:contextualSpacing/>
        <w:rPr>
          <w:rFonts w:cs="Times New Roman"/>
          <w:szCs w:val="24"/>
        </w:rPr>
      </w:pPr>
      <w:r w:rsidRPr="00675E5D">
        <w:rPr>
          <w:rFonts w:cs="Times New Roman"/>
          <w:szCs w:val="24"/>
        </w:rPr>
        <w:t>The causation models used by discrimination law are founded on the relationships, which can be discovered and tracked down. Causation is apportioned in algorithmic systems in a manner that makes it difficult to trace. Variables are interacting in a non-linear way with thousands of variables with probabilistic outputs. Within the scope of asking: what caused this score? has no simple answer.</w:t>
      </w:r>
      <w:r w:rsidR="00DD2856">
        <w:rPr>
          <w:rFonts w:cs="Times New Roman"/>
          <w:szCs w:val="24"/>
        </w:rPr>
        <w:t xml:space="preserve"> </w:t>
      </w:r>
      <w:r w:rsidRPr="00675E5D">
        <w:rPr>
          <w:rFonts w:cs="Times New Roman"/>
          <w:szCs w:val="24"/>
        </w:rPr>
        <w:t xml:space="preserve">Although an aspect of indirect discrimination is found, section 19(2)(d) allows justification. Lenders state that it needs models to do risk analysis correctly. The courts usually </w:t>
      </w:r>
      <w:r w:rsidRPr="00675E5D">
        <w:rPr>
          <w:rFonts w:cs="Times New Roman"/>
          <w:szCs w:val="24"/>
        </w:rPr>
        <w:lastRenderedPageBreak/>
        <w:t>have no experience to consider such claims and rely on judgment by the business and analysis of justification may turn into a rubber stamp.</w:t>
      </w:r>
    </w:p>
    <w:p w14:paraId="29B5109A"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6.3 Institutional Enforcement Challenges</w:t>
      </w:r>
    </w:p>
    <w:p w14:paraId="224AAE5A" w14:textId="003E2D6A" w:rsidR="00951D24" w:rsidRPr="00675E5D" w:rsidRDefault="00000000" w:rsidP="00675E5D">
      <w:pPr>
        <w:spacing w:line="480" w:lineRule="auto"/>
        <w:contextualSpacing/>
        <w:rPr>
          <w:rFonts w:cs="Times New Roman"/>
          <w:szCs w:val="24"/>
        </w:rPr>
      </w:pPr>
      <w:r w:rsidRPr="00675E5D">
        <w:rPr>
          <w:rFonts w:cs="Times New Roman"/>
          <w:szCs w:val="24"/>
        </w:rPr>
        <w:t xml:space="preserve">The main point of equality law enforcement is the Equality and Human Rights Commission. But the decreased budgets and staffing </w:t>
      </w:r>
      <w:r w:rsidR="00DD2856" w:rsidRPr="00675E5D">
        <w:rPr>
          <w:rFonts w:cs="Times New Roman"/>
          <w:szCs w:val="24"/>
        </w:rPr>
        <w:t>limit</w:t>
      </w:r>
      <w:r w:rsidRPr="00675E5D">
        <w:rPr>
          <w:rFonts w:cs="Times New Roman"/>
          <w:szCs w:val="24"/>
        </w:rPr>
        <w:t xml:space="preserve"> its ability severely. The Commission has to pay preference on all areas that are protected by equality. With limited resources, the problem of algorithmic credit discrimination has to compete with employment discrimination, educational access, healthcare discrimination, and so on.</w:t>
      </w:r>
    </w:p>
    <w:p w14:paraId="260F7456" w14:textId="77777777" w:rsidR="00951D24" w:rsidRPr="00675E5D" w:rsidRDefault="00000000" w:rsidP="00675E5D">
      <w:pPr>
        <w:spacing w:line="480" w:lineRule="auto"/>
        <w:contextualSpacing/>
        <w:rPr>
          <w:rFonts w:cs="Times New Roman"/>
          <w:szCs w:val="24"/>
        </w:rPr>
      </w:pPr>
      <w:r w:rsidRPr="00675E5D">
        <w:rPr>
          <w:rFonts w:cs="Times New Roman"/>
          <w:szCs w:val="24"/>
        </w:rPr>
        <w:t>The Financial Conduct Authority oversees consumer credit and has no particular requirement to administer discrimination law. The consumer protection aims of the FCA indirectly cover discrimination but its main area of specialization is financial regulation and not discrimination law. When it comes to coordination between FCA and EHRC, there is limited coordination. There is no official memorandum that stipulates official duties.</w:t>
      </w:r>
    </w:p>
    <w:p w14:paraId="39EEBF37" w14:textId="77777777" w:rsidR="00951D24" w:rsidRPr="00675E5D" w:rsidRDefault="00000000" w:rsidP="00675E5D">
      <w:pPr>
        <w:spacing w:line="480" w:lineRule="auto"/>
        <w:contextualSpacing/>
        <w:rPr>
          <w:rFonts w:cs="Times New Roman"/>
          <w:szCs w:val="24"/>
        </w:rPr>
      </w:pPr>
      <w:r w:rsidRPr="00675E5D">
        <w:rPr>
          <w:rFonts w:cs="Times New Roman"/>
          <w:szCs w:val="24"/>
        </w:rPr>
        <w:t>The Information Commissioner Office is the implementer of the law of data protection but its role is in data protection and not discrimination. Although discriminative processing can be evil in terms of fairness, discrimination is not systematically audited within the ICO.</w:t>
      </w:r>
    </w:p>
    <w:p w14:paraId="172A6EC2" w14:textId="77777777" w:rsidR="00951D24" w:rsidRPr="00675E5D" w:rsidRDefault="00000000" w:rsidP="00675E5D">
      <w:pPr>
        <w:spacing w:line="480" w:lineRule="auto"/>
        <w:contextualSpacing/>
        <w:rPr>
          <w:rFonts w:cs="Times New Roman"/>
          <w:szCs w:val="24"/>
        </w:rPr>
      </w:pPr>
      <w:r w:rsidRPr="00675E5D">
        <w:rPr>
          <w:rFonts w:cs="Times New Roman"/>
          <w:szCs w:val="24"/>
        </w:rPr>
        <w:t>Moreover, the judiciary is under capacity even at the courts when claims are presented. There is no computer science or statistical specialization among the judges. Assessment of algorithm discrimination can only be done through technical knowledge that judges in most cases lack. Professional evaluators can be appointed by courts, which is not cost effective and rare.</w:t>
      </w:r>
    </w:p>
    <w:p w14:paraId="51E7D0C8"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The present enforcement is virtually responsive, basing on individual complaints. Algorithms that are used to discriminate against people are not systematically audited by a regulator prior to </w:t>
      </w:r>
      <w:r w:rsidRPr="00675E5D">
        <w:rPr>
          <w:rFonts w:cs="Times New Roman"/>
          <w:szCs w:val="24"/>
        </w:rPr>
        <w:lastRenderedPageBreak/>
        <w:t>harming them. This is a reactive strategy implying that the issue of discrimination is only dealt with when it arises.</w:t>
      </w:r>
    </w:p>
    <w:p w14:paraId="45416D5C"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6.4 Remedy Inadequacies</w:t>
      </w:r>
    </w:p>
    <w:p w14:paraId="7A0D410E" w14:textId="77777777" w:rsidR="00951D24" w:rsidRPr="00675E5D" w:rsidRDefault="00000000" w:rsidP="00675E5D">
      <w:pPr>
        <w:spacing w:line="480" w:lineRule="auto"/>
        <w:contextualSpacing/>
        <w:rPr>
          <w:rFonts w:cs="Times New Roman"/>
          <w:szCs w:val="24"/>
        </w:rPr>
      </w:pPr>
      <w:r w:rsidRPr="00675E5D">
        <w:rPr>
          <w:rFonts w:cs="Times New Roman"/>
          <w:szCs w:val="24"/>
        </w:rPr>
        <w:t>Once discrimination is proved, section 119 has secondary remedies of compensation of losses and hurt of feelings. In the case of individual claimants, the overall compensation would be a number of thousand pounds which could be a big amount, especially at personal level, but small as compared to the cost and risk of litigation. Systemic patterns are not dealt with by individual compensation. The algorithm will keep on running until a lender decides to alter it.</w:t>
      </w:r>
    </w:p>
    <w:p w14:paraId="464DCDA2" w14:textId="73FF7ADC" w:rsidR="00951D24" w:rsidRPr="00675E5D" w:rsidRDefault="00000000" w:rsidP="00675E5D">
      <w:pPr>
        <w:spacing w:line="480" w:lineRule="auto"/>
        <w:contextualSpacing/>
        <w:rPr>
          <w:rFonts w:cs="Times New Roman"/>
          <w:szCs w:val="24"/>
        </w:rPr>
      </w:pPr>
      <w:r w:rsidRPr="00675E5D">
        <w:rPr>
          <w:rFonts w:cs="Times New Roman"/>
          <w:szCs w:val="24"/>
        </w:rPr>
        <w:t>UK does not have a powerful discrimination climate action system. The requirements of representative actions at CPR 19.6 that everyone must be having the same interest as will not always be the case, as situations of a claimant can be dissimilar. This implies that every affected person will need to file individual claims which will triple efforts and costs.</w:t>
      </w:r>
      <w:r w:rsidR="00DD2856">
        <w:rPr>
          <w:rFonts w:cs="Times New Roman"/>
          <w:szCs w:val="24"/>
        </w:rPr>
        <w:t xml:space="preserve"> </w:t>
      </w:r>
      <w:r w:rsidRPr="00675E5D">
        <w:rPr>
          <w:rFonts w:cs="Times New Roman"/>
          <w:szCs w:val="24"/>
        </w:rPr>
        <w:t>The remedies of discrimination law are backward: compensatory in nature. They do not consist of potential solutions that will deter future injuries. Preventive remedies may be presented by regulatory orders, but both FCA and EHRC are limited.</w:t>
      </w:r>
    </w:p>
    <w:p w14:paraId="64141CD7" w14:textId="74A783DE" w:rsidR="00675E5D" w:rsidRDefault="00000000" w:rsidP="00675E5D">
      <w:pPr>
        <w:spacing w:line="480" w:lineRule="auto"/>
        <w:contextualSpacing/>
        <w:rPr>
          <w:rFonts w:cs="Times New Roman"/>
          <w:szCs w:val="24"/>
        </w:rPr>
      </w:pPr>
      <w:r w:rsidRPr="00675E5D">
        <w:rPr>
          <w:rFonts w:cs="Times New Roman"/>
          <w:szCs w:val="24"/>
        </w:rPr>
        <w:t>The existing solutions have poor deterrent effect. Personal remunerations are low in comparison with lending gains. Reputational damage may serve as some level of deterrence, however due to the technical nature of algorithmic discrimination, negative results may not receive attention of the people. Threats of meaningful sanctions do not exist, and unless believable the deterrence is weak.</w:t>
      </w:r>
    </w:p>
    <w:p w14:paraId="08C3E61F" w14:textId="77777777" w:rsidR="002B7744" w:rsidRDefault="002B7744" w:rsidP="00675E5D">
      <w:pPr>
        <w:spacing w:line="480" w:lineRule="auto"/>
        <w:contextualSpacing/>
        <w:rPr>
          <w:rFonts w:cs="Times New Roman"/>
          <w:szCs w:val="24"/>
        </w:rPr>
      </w:pPr>
    </w:p>
    <w:p w14:paraId="1EE7808F" w14:textId="77777777" w:rsidR="002B7744" w:rsidRPr="00675E5D" w:rsidRDefault="002B7744" w:rsidP="00675E5D">
      <w:pPr>
        <w:spacing w:line="480" w:lineRule="auto"/>
        <w:contextualSpacing/>
        <w:rPr>
          <w:rFonts w:cs="Times New Roman"/>
          <w:szCs w:val="24"/>
        </w:rPr>
      </w:pPr>
    </w:p>
    <w:p w14:paraId="4B3F4FB2" w14:textId="77777777" w:rsidR="00675E5D" w:rsidRDefault="00675E5D" w:rsidP="00675E5D">
      <w:pPr>
        <w:spacing w:line="480" w:lineRule="auto"/>
        <w:contextualSpacing/>
        <w:rPr>
          <w:rFonts w:cs="Times New Roman"/>
          <w:szCs w:val="24"/>
        </w:rPr>
      </w:pPr>
    </w:p>
    <w:p w14:paraId="0EE4FE94" w14:textId="77777777" w:rsidR="0064479F" w:rsidRPr="0064479F" w:rsidRDefault="0064479F" w:rsidP="0064479F">
      <w:pPr>
        <w:spacing w:line="480" w:lineRule="auto"/>
        <w:contextualSpacing/>
        <w:rPr>
          <w:rFonts w:cs="Times New Roman"/>
          <w:b/>
          <w:bCs/>
          <w:szCs w:val="24"/>
        </w:rPr>
      </w:pPr>
      <w:r w:rsidRPr="0064479F">
        <w:rPr>
          <w:rFonts w:cs="Times New Roman"/>
          <w:b/>
          <w:bCs/>
          <w:szCs w:val="24"/>
        </w:rPr>
        <w:lastRenderedPageBreak/>
        <w:t>CHAPTER 7: REFORM PROPOSALS</w:t>
      </w:r>
    </w:p>
    <w:p w14:paraId="02073961" w14:textId="77777777" w:rsidR="0064479F" w:rsidRPr="0064479F" w:rsidRDefault="0064479F" w:rsidP="0064479F">
      <w:pPr>
        <w:spacing w:line="480" w:lineRule="auto"/>
        <w:contextualSpacing/>
        <w:rPr>
          <w:rFonts w:cs="Times New Roman"/>
          <w:b/>
          <w:bCs/>
          <w:szCs w:val="24"/>
        </w:rPr>
      </w:pPr>
      <w:r w:rsidRPr="0064479F">
        <w:rPr>
          <w:rFonts w:cs="Times New Roman"/>
          <w:b/>
          <w:bCs/>
          <w:szCs w:val="24"/>
        </w:rPr>
        <w:t>7.1 Regulatory Solutions</w:t>
      </w:r>
    </w:p>
    <w:p w14:paraId="6A30E7E5" w14:textId="77777777" w:rsidR="0064479F" w:rsidRPr="0064479F" w:rsidRDefault="0064479F" w:rsidP="0064479F">
      <w:pPr>
        <w:spacing w:line="480" w:lineRule="auto"/>
        <w:contextualSpacing/>
        <w:rPr>
          <w:rFonts w:cs="Times New Roman"/>
          <w:szCs w:val="24"/>
        </w:rPr>
      </w:pPr>
      <w:r w:rsidRPr="0064479F">
        <w:rPr>
          <w:rFonts w:cs="Times New Roman"/>
          <w:szCs w:val="24"/>
        </w:rPr>
        <w:t>Obligate all credit providers which use algorithmic decision-making to undertake and record Algorithms Impact Assessment (AIAs) prior to model deployment and at a schedule.</w:t>
      </w:r>
    </w:p>
    <w:p w14:paraId="713D3C18" w14:textId="77777777" w:rsidR="0064479F" w:rsidRPr="0064479F" w:rsidRDefault="0064479F" w:rsidP="0064479F">
      <w:pPr>
        <w:spacing w:line="480" w:lineRule="auto"/>
        <w:contextualSpacing/>
        <w:rPr>
          <w:rFonts w:cs="Times New Roman"/>
          <w:szCs w:val="24"/>
        </w:rPr>
      </w:pPr>
      <w:r w:rsidRPr="0064479F">
        <w:rPr>
          <w:rFonts w:cs="Times New Roman"/>
          <w:szCs w:val="24"/>
        </w:rPr>
        <w:t>AIAs are to contain: (1) a description of the model that includes technical description; (2) data governance documentation; (3) disparate impact analysis across the characteristics that are protected; (4) fairness metrics evaluation; (5) the documentation of the mitigation measures; (6) and human oversight procedures; (7) monitoring plans; and (8) senior accountability sign-off.</w:t>
      </w:r>
    </w:p>
    <w:p w14:paraId="553757E2" w14:textId="77777777" w:rsidR="0064479F" w:rsidRPr="0064479F" w:rsidRDefault="0064479F" w:rsidP="0064479F">
      <w:pPr>
        <w:spacing w:line="480" w:lineRule="auto"/>
        <w:contextualSpacing/>
        <w:rPr>
          <w:rFonts w:cs="Times New Roman"/>
          <w:szCs w:val="24"/>
        </w:rPr>
      </w:pPr>
      <w:r w:rsidRPr="0064479F">
        <w:rPr>
          <w:rFonts w:cs="Times New Roman"/>
          <w:szCs w:val="24"/>
        </w:rPr>
        <w:t>The same would be implemented via FCA rules. FCA would present very detailed technical standards on how to be assessed. AIAs would be transmitted to FCA to supervise and would be published to the individuals who are affected at the request and in redacted form.</w:t>
      </w:r>
    </w:p>
    <w:p w14:paraId="473359FC" w14:textId="77777777" w:rsidR="0064479F" w:rsidRPr="0064479F" w:rsidRDefault="0064479F" w:rsidP="0064479F">
      <w:pPr>
        <w:spacing w:line="480" w:lineRule="auto"/>
        <w:contextualSpacing/>
        <w:rPr>
          <w:rFonts w:cs="Times New Roman"/>
          <w:szCs w:val="24"/>
        </w:rPr>
      </w:pPr>
      <w:r w:rsidRPr="0064479F">
        <w:rPr>
          <w:rFonts w:cs="Times New Roman"/>
          <w:szCs w:val="24"/>
        </w:rPr>
        <w:t>Advantages: AIAs generate proactive bias detection prior to the harassment; establish records that would allow accountability; and give information that reduces asymmetry.</w:t>
      </w:r>
    </w:p>
    <w:p w14:paraId="180FED12" w14:textId="77777777" w:rsidR="0064479F" w:rsidRPr="0064479F" w:rsidRDefault="0064479F" w:rsidP="0064479F">
      <w:pPr>
        <w:spacing w:line="480" w:lineRule="auto"/>
        <w:contextualSpacing/>
        <w:rPr>
          <w:rFonts w:cs="Times New Roman"/>
          <w:szCs w:val="24"/>
        </w:rPr>
      </w:pPr>
      <w:r w:rsidRPr="0064479F">
        <w:rPr>
          <w:rFonts w:cs="Times New Roman"/>
          <w:szCs w:val="24"/>
        </w:rPr>
        <w:t>Create a regime of FCA-approved auditor that would allow individual technical auditing of algorithmic systems. There are conflicts of interest when the lenders undertake internal AIAs. Credibility is increased through independent audits. The certification will provide auditor competence and standards.</w:t>
      </w:r>
    </w:p>
    <w:p w14:paraId="36067AD2" w14:textId="77777777" w:rsidR="0064479F" w:rsidRPr="0064479F" w:rsidRDefault="0064479F" w:rsidP="0064479F">
      <w:pPr>
        <w:spacing w:line="480" w:lineRule="auto"/>
        <w:contextualSpacing/>
        <w:rPr>
          <w:rFonts w:cs="Times New Roman"/>
          <w:szCs w:val="24"/>
        </w:rPr>
      </w:pPr>
      <w:r w:rsidRPr="0064479F">
        <w:rPr>
          <w:rFonts w:cs="Times New Roman"/>
          <w:szCs w:val="24"/>
        </w:rPr>
        <w:t>The FCA would also set certification standards of auditors. AIAs may be carried out by certified auditors on companies that have no internal capacity, offer independent validation, as well as a forensic audit in cases where discrimination is in doubt.</w:t>
      </w:r>
    </w:p>
    <w:p w14:paraId="31A2955E" w14:textId="77777777" w:rsidR="0064479F" w:rsidRPr="0064479F" w:rsidRDefault="0064479F" w:rsidP="0064479F">
      <w:pPr>
        <w:spacing w:line="480" w:lineRule="auto"/>
        <w:contextualSpacing/>
        <w:rPr>
          <w:rFonts w:cs="Times New Roman"/>
          <w:szCs w:val="24"/>
        </w:rPr>
      </w:pPr>
      <w:r w:rsidRPr="0064479F">
        <w:rPr>
          <w:rFonts w:cs="Times New Roman"/>
          <w:szCs w:val="24"/>
        </w:rPr>
        <w:t xml:space="preserve">Create formal system of coordination between FCA, EHRC, and ICO as a tri-agency Memorandum of Understanding creating: frequent coordination forums; combined ability to </w:t>
      </w:r>
      <w:r w:rsidRPr="0064479F">
        <w:rPr>
          <w:rFonts w:cs="Times New Roman"/>
          <w:szCs w:val="24"/>
        </w:rPr>
        <w:lastRenderedPageBreak/>
        <w:t>investigate together; joint elaboration of guidelines; protocols concerning sharing of information; and simultaneous enforcement efforts where it is necessary.</w:t>
      </w:r>
    </w:p>
    <w:p w14:paraId="45491123" w14:textId="77777777" w:rsidR="0064479F" w:rsidRPr="0064479F" w:rsidRDefault="0064479F" w:rsidP="0064479F">
      <w:pPr>
        <w:spacing w:line="480" w:lineRule="auto"/>
        <w:contextualSpacing/>
        <w:rPr>
          <w:rFonts w:cs="Times New Roman"/>
          <w:szCs w:val="24"/>
        </w:rPr>
      </w:pPr>
      <w:r w:rsidRPr="0064479F">
        <w:rPr>
          <w:rFonts w:cs="Times New Roman"/>
          <w:szCs w:val="24"/>
        </w:rPr>
        <w:t>Advantages: Coordination is effective in dealing with fragmentation, taking advantage of complementary experience and providing no overlaps between the requirements of regulation.</w:t>
      </w:r>
    </w:p>
    <w:p w14:paraId="1F234B53" w14:textId="77777777" w:rsidR="0064479F" w:rsidRPr="0064479F" w:rsidRDefault="0064479F" w:rsidP="0064479F">
      <w:pPr>
        <w:spacing w:line="480" w:lineRule="auto"/>
        <w:contextualSpacing/>
        <w:rPr>
          <w:rFonts w:cs="Times New Roman"/>
          <w:b/>
          <w:bCs/>
          <w:szCs w:val="24"/>
        </w:rPr>
      </w:pPr>
      <w:r w:rsidRPr="0064479F">
        <w:rPr>
          <w:rFonts w:cs="Times New Roman"/>
          <w:b/>
          <w:bCs/>
          <w:szCs w:val="24"/>
        </w:rPr>
        <w:t>7.2 Legal Adaptations</w:t>
      </w:r>
    </w:p>
    <w:p w14:paraId="280D804D" w14:textId="77777777" w:rsidR="0064479F" w:rsidRPr="0064479F" w:rsidRDefault="0064479F" w:rsidP="0064479F">
      <w:pPr>
        <w:spacing w:line="480" w:lineRule="auto"/>
        <w:contextualSpacing/>
        <w:rPr>
          <w:rFonts w:cs="Times New Roman"/>
          <w:szCs w:val="24"/>
        </w:rPr>
      </w:pPr>
      <w:r w:rsidRPr="0064479F">
        <w:rPr>
          <w:rFonts w:cs="Times New Roman"/>
          <w:szCs w:val="24"/>
        </w:rPr>
        <w:t>Revise Amend equality act section 19 by making it clear that algorithmic processes are part of the definition of PCPs, so that PCPs constitute any analytical process, any algorithm, or any automated decision-making system whose execution has a differential effect on persons with whom any of the protected characteristics applies, and on other persons.</w:t>
      </w:r>
    </w:p>
    <w:p w14:paraId="28FFD8F3" w14:textId="77777777" w:rsidR="0064479F" w:rsidRPr="0064479F" w:rsidRDefault="0064479F" w:rsidP="0064479F">
      <w:pPr>
        <w:spacing w:line="480" w:lineRule="auto"/>
        <w:contextualSpacing/>
        <w:rPr>
          <w:rFonts w:cs="Times New Roman"/>
          <w:szCs w:val="24"/>
        </w:rPr>
      </w:pPr>
      <w:r w:rsidRPr="0064479F">
        <w:rPr>
          <w:rFonts w:cs="Times New Roman"/>
          <w:szCs w:val="24"/>
        </w:rPr>
        <w:t>Reason: The existing concepts of PCP assume articulable rules. Obvious coverage stipulates that regardless of complexity, the algorithms are undergo indirect discrimination provisions.</w:t>
      </w:r>
    </w:p>
    <w:p w14:paraId="7A32A6FC" w14:textId="77777777" w:rsidR="0064479F" w:rsidRPr="0064479F" w:rsidRDefault="0064479F" w:rsidP="0064479F">
      <w:pPr>
        <w:spacing w:line="480" w:lineRule="auto"/>
        <w:contextualSpacing/>
        <w:rPr>
          <w:rFonts w:cs="Times New Roman"/>
          <w:szCs w:val="24"/>
        </w:rPr>
      </w:pPr>
      <w:r w:rsidRPr="0064479F">
        <w:rPr>
          <w:rFonts w:cs="Times New Roman"/>
          <w:szCs w:val="24"/>
        </w:rPr>
        <w:t>Reform section 136 by providing that upon claimants presenting credible evidence of algorithmic use as well as statistical evidence of discrimination in a group setting, it creates presumptions of discrimination to be refuted by defendants, creating presumptions in their favor.</w:t>
      </w:r>
    </w:p>
    <w:p w14:paraId="043D010B" w14:textId="77777777" w:rsidR="0064479F" w:rsidRPr="0064479F" w:rsidRDefault="0064479F" w:rsidP="0064479F">
      <w:pPr>
        <w:spacing w:line="480" w:lineRule="auto"/>
        <w:contextualSpacing/>
        <w:rPr>
          <w:rFonts w:cs="Times New Roman"/>
          <w:szCs w:val="24"/>
        </w:rPr>
      </w:pPr>
      <w:r w:rsidRPr="0064479F">
        <w:rPr>
          <w:rFonts w:cs="Times New Roman"/>
          <w:szCs w:val="24"/>
        </w:rPr>
        <w:t>To prove prima facie cases, claimants would prove: defendant applied algorithmic decision-making and: claimant has a characteristic that is protected; claimant was treated differently and that similar algorithms have disparate effects have been shown by statistical evidence. When this has been proved, the burden has been switched to defendants in order to demonstrate that their algorithm does not cause unfavorable disparate impacts or that the impacts are reasonable.</w:t>
      </w:r>
    </w:p>
    <w:p w14:paraId="335DC143" w14:textId="77777777" w:rsidR="0064479F" w:rsidRPr="0064479F" w:rsidRDefault="0064479F" w:rsidP="0064479F">
      <w:pPr>
        <w:spacing w:line="480" w:lineRule="auto"/>
        <w:contextualSpacing/>
        <w:rPr>
          <w:rFonts w:cs="Times New Roman"/>
          <w:szCs w:val="24"/>
        </w:rPr>
      </w:pPr>
      <w:r w:rsidRPr="0064479F">
        <w:rPr>
          <w:rFonts w:cs="Times New Roman"/>
          <w:szCs w:val="24"/>
        </w:rPr>
        <w:t>Advantages: Modified burdens solve the problem of information asymmetry without limiting defendants to show that they did not discriminate against or cannot justify, whatsoever.</w:t>
      </w:r>
    </w:p>
    <w:p w14:paraId="2ECBFF02" w14:textId="77777777" w:rsidR="0064479F" w:rsidRPr="0064479F" w:rsidRDefault="0064479F" w:rsidP="0064479F">
      <w:pPr>
        <w:spacing w:line="480" w:lineRule="auto"/>
        <w:contextualSpacing/>
        <w:rPr>
          <w:rFonts w:cs="Times New Roman"/>
          <w:szCs w:val="24"/>
        </w:rPr>
      </w:pPr>
      <w:r w:rsidRPr="0064479F">
        <w:rPr>
          <w:rFonts w:cs="Times New Roman"/>
          <w:szCs w:val="24"/>
        </w:rPr>
        <w:t xml:space="preserve">Establish special disclosure requirements in litigation on algorithmic discrimination that balance transparency with confidentiality by: providing mandatory early disclosure of AIAs and </w:t>
      </w:r>
      <w:r w:rsidRPr="0064479F">
        <w:rPr>
          <w:rFonts w:cs="Times New Roman"/>
          <w:szCs w:val="24"/>
        </w:rPr>
        <w:lastRenderedPageBreak/>
        <w:t>summary statistics; making full disclosure (where necessary) proportional; making expert access under confidentiality orders; using technical assessors appointed by the court overseeing the litigation; and providing an overriding requirement of the public interest.</w:t>
      </w:r>
    </w:p>
    <w:p w14:paraId="6302B722" w14:textId="77777777" w:rsidR="0064479F" w:rsidRPr="0064479F" w:rsidRDefault="0064479F" w:rsidP="0064479F">
      <w:pPr>
        <w:spacing w:line="480" w:lineRule="auto"/>
        <w:contextualSpacing/>
        <w:rPr>
          <w:rFonts w:cs="Times New Roman"/>
          <w:szCs w:val="24"/>
        </w:rPr>
      </w:pPr>
      <w:r w:rsidRPr="0064479F">
        <w:rPr>
          <w:rFonts w:cs="Times New Roman"/>
          <w:szCs w:val="24"/>
        </w:rPr>
        <w:t>Facilitate group litigation by modifying laws to allow the representative actions and opt-out class actions. Complain that the claims based on algorithmic discrimination might be continued as representative actions in which the claimants were all evaluated using the same or similar algorithms. Allow specific organizations to take representative actions of harmed consumers.</w:t>
      </w:r>
    </w:p>
    <w:p w14:paraId="7A387129" w14:textId="77777777" w:rsidR="0064479F" w:rsidRPr="0064479F" w:rsidRDefault="0064479F" w:rsidP="0064479F">
      <w:pPr>
        <w:spacing w:line="480" w:lineRule="auto"/>
        <w:contextualSpacing/>
        <w:rPr>
          <w:rFonts w:cs="Times New Roman"/>
          <w:b/>
          <w:bCs/>
          <w:szCs w:val="24"/>
        </w:rPr>
      </w:pPr>
      <w:r w:rsidRPr="0064479F">
        <w:rPr>
          <w:rFonts w:cs="Times New Roman"/>
          <w:b/>
          <w:bCs/>
          <w:szCs w:val="24"/>
        </w:rPr>
        <w:t>7.3 Institutional Innovations</w:t>
      </w:r>
    </w:p>
    <w:p w14:paraId="625A1B9E" w14:textId="77777777" w:rsidR="0064479F" w:rsidRPr="0064479F" w:rsidRDefault="0064479F" w:rsidP="0064479F">
      <w:pPr>
        <w:spacing w:line="480" w:lineRule="auto"/>
        <w:contextualSpacing/>
        <w:rPr>
          <w:rFonts w:cs="Times New Roman"/>
          <w:szCs w:val="24"/>
        </w:rPr>
      </w:pPr>
      <w:r w:rsidRPr="0064479F">
        <w:rPr>
          <w:rFonts w:cs="Times New Roman"/>
          <w:szCs w:val="24"/>
        </w:rPr>
        <w:t>Create a specialized chamber of the Upper Tribunal that is entitled Financial Technology Tribunal that will deal with algorithmic discrimination and technology-related financial service-related disputes.</w:t>
      </w:r>
    </w:p>
    <w:p w14:paraId="35E261A1" w14:textId="77777777" w:rsidR="0064479F" w:rsidRPr="0064479F" w:rsidRDefault="0064479F" w:rsidP="0064479F">
      <w:pPr>
        <w:spacing w:line="480" w:lineRule="auto"/>
        <w:contextualSpacing/>
        <w:rPr>
          <w:rFonts w:cs="Times New Roman"/>
          <w:szCs w:val="24"/>
        </w:rPr>
      </w:pPr>
      <w:r w:rsidRPr="0064479F">
        <w:rPr>
          <w:rFonts w:cs="Times New Roman"/>
          <w:szCs w:val="24"/>
        </w:rPr>
        <w:t>The tribunal panels would be composed of: (a) tribunal judge who has legal expertise; (b) technical member who has expertise in computer science; and (c) equality expert with discrimination law expertise.</w:t>
      </w:r>
    </w:p>
    <w:p w14:paraId="48C8202D" w14:textId="77777777" w:rsidR="0064479F" w:rsidRPr="0064479F" w:rsidRDefault="0064479F" w:rsidP="0064479F">
      <w:pPr>
        <w:spacing w:line="480" w:lineRule="auto"/>
        <w:contextualSpacing/>
        <w:rPr>
          <w:rFonts w:cs="Times New Roman"/>
          <w:szCs w:val="24"/>
        </w:rPr>
      </w:pPr>
      <w:r w:rsidRPr="0064479F">
        <w:rPr>
          <w:rFonts w:cs="Times New Roman"/>
          <w:szCs w:val="24"/>
        </w:rPr>
        <w:t>Advantages: Specialization acquires skills in comically complex problems. Technical and legal questions are considered by multi-disciplinary panels strictly. Specialized processes minimize the expenditure costs and delays. Combine tribunal rulings come up with consistent jurisprudence.</w:t>
      </w:r>
    </w:p>
    <w:p w14:paraId="40872B26" w14:textId="77777777" w:rsidR="0064479F" w:rsidRPr="0064479F" w:rsidRDefault="0064479F" w:rsidP="0064479F">
      <w:pPr>
        <w:spacing w:line="480" w:lineRule="auto"/>
        <w:contextualSpacing/>
        <w:rPr>
          <w:rFonts w:cs="Times New Roman"/>
          <w:szCs w:val="24"/>
        </w:rPr>
      </w:pPr>
      <w:r w:rsidRPr="0064479F">
        <w:rPr>
          <w:rFonts w:cs="Times New Roman"/>
          <w:szCs w:val="24"/>
        </w:rPr>
        <w:t>Create a specific fund so that EHRC can engage in strategic litigation on algorithmic discrimination by: direct Commission litigation; funding individual/organizational litigation; interfering with high profile cases; and creating test cases.</w:t>
      </w:r>
    </w:p>
    <w:p w14:paraId="1C8F319D" w14:textId="77777777" w:rsidR="0064479F" w:rsidRPr="0064479F" w:rsidRDefault="0064479F" w:rsidP="0064479F">
      <w:pPr>
        <w:spacing w:line="480" w:lineRule="auto"/>
        <w:contextualSpacing/>
        <w:rPr>
          <w:rFonts w:cs="Times New Roman"/>
          <w:szCs w:val="24"/>
        </w:rPr>
      </w:pPr>
      <w:r w:rsidRPr="0064479F">
        <w:rPr>
          <w:rFonts w:cs="Times New Roman"/>
          <w:szCs w:val="24"/>
        </w:rPr>
        <w:lastRenderedPageBreak/>
        <w:t>Algorithms Strategic litigation builds up the case law of algorithmic discrimination in a systematic manner. It makes those crucial cases go on irrespective of the resources of individual claimants.</w:t>
      </w:r>
    </w:p>
    <w:p w14:paraId="3C6F2196" w14:textId="77777777" w:rsidR="0064479F" w:rsidRPr="0064479F" w:rsidRDefault="0064479F" w:rsidP="0064479F">
      <w:pPr>
        <w:spacing w:line="480" w:lineRule="auto"/>
        <w:contextualSpacing/>
        <w:rPr>
          <w:rFonts w:cs="Times New Roman"/>
          <w:b/>
          <w:bCs/>
          <w:szCs w:val="24"/>
        </w:rPr>
      </w:pPr>
      <w:r w:rsidRPr="0064479F">
        <w:rPr>
          <w:rFonts w:cs="Times New Roman"/>
          <w:b/>
          <w:bCs/>
          <w:szCs w:val="24"/>
        </w:rPr>
        <w:t>7.4 Implementation Pathway</w:t>
      </w:r>
    </w:p>
    <w:p w14:paraId="0E685142" w14:textId="77777777" w:rsidR="0064479F" w:rsidRPr="0064479F" w:rsidRDefault="0064479F" w:rsidP="0064479F">
      <w:pPr>
        <w:spacing w:line="480" w:lineRule="auto"/>
        <w:contextualSpacing/>
        <w:rPr>
          <w:rFonts w:cs="Times New Roman"/>
          <w:szCs w:val="24"/>
        </w:rPr>
      </w:pPr>
      <w:r w:rsidRPr="0064479F">
        <w:rPr>
          <w:rFonts w:cs="Times New Roman"/>
          <w:szCs w:val="24"/>
        </w:rPr>
        <w:t>The reforms must be carried out in stages so as to allow time to learn and adapt.</w:t>
      </w:r>
    </w:p>
    <w:p w14:paraId="53021BAE" w14:textId="77777777" w:rsidR="0064479F" w:rsidRPr="0064479F" w:rsidRDefault="0064479F" w:rsidP="0064479F">
      <w:pPr>
        <w:spacing w:line="480" w:lineRule="auto"/>
        <w:contextualSpacing/>
        <w:rPr>
          <w:rFonts w:cs="Times New Roman"/>
          <w:szCs w:val="24"/>
        </w:rPr>
      </w:pPr>
      <w:r w:rsidRPr="0064479F">
        <w:rPr>
          <w:rFonts w:cs="Times New Roman"/>
          <w:szCs w:val="24"/>
        </w:rPr>
        <w:t>Phase 1 (0-12 months): AIA consultations with FCA; cross-regulatory working group was set up; tribunal research and planning.</w:t>
      </w:r>
    </w:p>
    <w:p w14:paraId="12ECBFB9" w14:textId="77777777" w:rsidR="0064479F" w:rsidRPr="0064479F" w:rsidRDefault="0064479F" w:rsidP="0064479F">
      <w:pPr>
        <w:spacing w:line="480" w:lineRule="auto"/>
        <w:contextualSpacing/>
        <w:rPr>
          <w:rFonts w:cs="Times New Roman"/>
          <w:szCs w:val="24"/>
        </w:rPr>
      </w:pPr>
      <w:r w:rsidRPr="0064479F">
        <w:rPr>
          <w:rFonts w:cs="Times New Roman"/>
          <w:szCs w:val="24"/>
        </w:rPr>
        <w:t>Phase 2 (12-24 months): compulsory rules of AIA are implemented; certified auditor regime is introduced; improved disclosure regulations impose themselves.</w:t>
      </w:r>
    </w:p>
    <w:p w14:paraId="1F83EA0F" w14:textId="77777777" w:rsidR="0064479F" w:rsidRPr="0064479F" w:rsidRDefault="0064479F" w:rsidP="0064479F">
      <w:pPr>
        <w:spacing w:line="480" w:lineRule="auto"/>
        <w:contextualSpacing/>
        <w:rPr>
          <w:rFonts w:cs="Times New Roman"/>
          <w:szCs w:val="24"/>
        </w:rPr>
      </w:pPr>
      <w:r w:rsidRPr="0064479F">
        <w:rPr>
          <w:rFonts w:cs="Times New Roman"/>
          <w:szCs w:val="24"/>
        </w:rPr>
        <w:t>Phase 3 (24- 36 months): Financial Technology Tribunal is running up and down; collective action tools in place; burden-of-proof provisions passed; strategic litigation fund set up.</w:t>
      </w:r>
    </w:p>
    <w:p w14:paraId="22B710BA" w14:textId="77777777" w:rsidR="0064479F" w:rsidRPr="0064479F" w:rsidRDefault="0064479F" w:rsidP="0064479F">
      <w:pPr>
        <w:spacing w:line="480" w:lineRule="auto"/>
        <w:contextualSpacing/>
        <w:rPr>
          <w:rFonts w:cs="Times New Roman"/>
          <w:szCs w:val="24"/>
        </w:rPr>
      </w:pPr>
      <w:r w:rsidRPr="0064479F">
        <w:rPr>
          <w:rFonts w:cs="Times New Roman"/>
          <w:szCs w:val="24"/>
        </w:rPr>
        <w:t>Phase 4 (36-48 months): Overview of the efficacy of reforms; revision depending on the evidence and feedback.</w:t>
      </w:r>
    </w:p>
    <w:p w14:paraId="640969CA" w14:textId="77777777" w:rsidR="0064479F" w:rsidRPr="0064479F" w:rsidRDefault="0064479F" w:rsidP="0064479F">
      <w:pPr>
        <w:spacing w:line="480" w:lineRule="auto"/>
        <w:contextualSpacing/>
        <w:rPr>
          <w:rFonts w:cs="Times New Roman"/>
          <w:szCs w:val="24"/>
        </w:rPr>
      </w:pPr>
      <w:r w:rsidRPr="0064479F">
        <w:rPr>
          <w:rFonts w:cs="Times New Roman"/>
          <w:szCs w:val="24"/>
        </w:rPr>
        <w:t>A successful reform involves involvement among the stakeholders such as: financial services industry; consumer and equality organizations; technical experts; regulators; and Parliament.</w:t>
      </w:r>
    </w:p>
    <w:p w14:paraId="582C4964" w14:textId="77777777" w:rsidR="0064479F" w:rsidRPr="0064479F" w:rsidRDefault="0064479F" w:rsidP="0064479F">
      <w:pPr>
        <w:spacing w:line="480" w:lineRule="auto"/>
        <w:contextualSpacing/>
        <w:rPr>
          <w:rFonts w:cs="Times New Roman"/>
          <w:szCs w:val="24"/>
        </w:rPr>
      </w:pPr>
      <w:r w:rsidRPr="0064479F">
        <w:rPr>
          <w:rFonts w:cs="Times New Roman"/>
          <w:szCs w:val="24"/>
        </w:rPr>
        <w:t>Such measures should evaluate the effectiveness of reforms, which include: discrimination trends (long-term data of disparities in credit-access); litigation (how many and what results); algorithmic fairness indicators (data on aggregate); regulation (investigations and enforcement); and feedback.</w:t>
      </w:r>
    </w:p>
    <w:p w14:paraId="7458E1DA" w14:textId="77777777" w:rsidR="0064479F" w:rsidRPr="00675E5D" w:rsidRDefault="0064479F" w:rsidP="00675E5D">
      <w:pPr>
        <w:spacing w:line="480" w:lineRule="auto"/>
        <w:contextualSpacing/>
        <w:rPr>
          <w:rFonts w:cs="Times New Roman"/>
          <w:szCs w:val="24"/>
        </w:rPr>
      </w:pPr>
    </w:p>
    <w:p w14:paraId="7EAF0FAD" w14:textId="77777777" w:rsidR="00951D24" w:rsidRPr="00675E5D" w:rsidRDefault="00000000" w:rsidP="00675E5D">
      <w:pPr>
        <w:pStyle w:val="Heading1"/>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CHAPTER 8: CONCLUSION</w:t>
      </w:r>
    </w:p>
    <w:p w14:paraId="1CF95291"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8.1 Research Question Revisited</w:t>
      </w:r>
    </w:p>
    <w:p w14:paraId="23E13BC0" w14:textId="77777777" w:rsidR="00951D24" w:rsidRPr="00675E5D" w:rsidRDefault="00000000" w:rsidP="00675E5D">
      <w:pPr>
        <w:spacing w:line="480" w:lineRule="auto"/>
        <w:contextualSpacing/>
        <w:rPr>
          <w:rFonts w:cs="Times New Roman"/>
          <w:szCs w:val="24"/>
        </w:rPr>
      </w:pPr>
      <w:r w:rsidRPr="00675E5D">
        <w:rPr>
          <w:rFonts w:cs="Times New Roman"/>
          <w:szCs w:val="24"/>
        </w:rPr>
        <w:t>This dissertation dealt with: How effective is the UK anti-discrimination law in addressing the problem of algorithmic bias in credit-scoring systems?</w:t>
      </w:r>
    </w:p>
    <w:p w14:paraId="12BDFBA3" w14:textId="77777777" w:rsidR="00951D24" w:rsidRPr="00675E5D" w:rsidRDefault="00000000" w:rsidP="00675E5D">
      <w:pPr>
        <w:spacing w:line="480" w:lineRule="auto"/>
        <w:contextualSpacing/>
        <w:rPr>
          <w:rFonts w:cs="Times New Roman"/>
          <w:szCs w:val="24"/>
        </w:rPr>
      </w:pPr>
      <w:r w:rsidRPr="00675E5D">
        <w:rPr>
          <w:rFonts w:cs="Times New Roman"/>
          <w:szCs w:val="24"/>
        </w:rPr>
        <w:t>The review has shown that the existing law is currently wanting in several aspects. The conceptual framework of the Equality Act 2010, which is intended to be adopted by human decision-makers, has limited adherence to machine-learning systems. intentions, discrete practices, and causal attribution should not work well with the algorithms that are assigning decision-making among thousands of interacting variables.</w:t>
      </w:r>
    </w:p>
    <w:p w14:paraId="1D6B4940" w14:textId="77777777" w:rsidR="00951D24" w:rsidRPr="00675E5D" w:rsidRDefault="00000000" w:rsidP="00675E5D">
      <w:pPr>
        <w:spacing w:line="480" w:lineRule="auto"/>
        <w:contextualSpacing/>
        <w:rPr>
          <w:rFonts w:cs="Times New Roman"/>
          <w:szCs w:val="24"/>
        </w:rPr>
      </w:pPr>
      <w:r w:rsidRPr="00675E5D">
        <w:rPr>
          <w:rFonts w:cs="Times New Roman"/>
          <w:szCs w:val="24"/>
        </w:rPr>
        <w:t>Evidentiary asymmetries make discrimination claims virtually impracticable to the majority of people who are affected. The absence of discovery mechanisms that take into consideration algorithmic secrecy. Prohibitive barriers are produced by technicality and expert-evidence expenses. Courts lack the technical expertise to scrutinize algorithmic justifications rigorously, risking that proportionality analysis becomes a rubber-stamp exercise.</w:t>
      </w:r>
    </w:p>
    <w:p w14:paraId="37E5D618" w14:textId="77777777" w:rsidR="00951D24" w:rsidRPr="00675E5D" w:rsidRDefault="00000000" w:rsidP="00675E5D">
      <w:pPr>
        <w:spacing w:line="480" w:lineRule="auto"/>
        <w:contextualSpacing/>
        <w:rPr>
          <w:rFonts w:cs="Times New Roman"/>
          <w:szCs w:val="24"/>
        </w:rPr>
      </w:pPr>
      <w:r w:rsidRPr="00675E5D">
        <w:rPr>
          <w:rFonts w:cs="Times New Roman"/>
          <w:szCs w:val="24"/>
        </w:rPr>
        <w:t>Institutional fragmentation spreads the responsibility of regulators who may have different mandates with limited resources. There is no regulator that conducts systematic control over its algorithmic fairness. The implementation is responsive, poorly-funded, and weak. They are personalized and small-scale remedies.</w:t>
      </w:r>
    </w:p>
    <w:p w14:paraId="07533941" w14:textId="6C8F4824" w:rsidR="00951D24" w:rsidRPr="00675E5D" w:rsidRDefault="00000000" w:rsidP="00675E5D">
      <w:pPr>
        <w:spacing w:line="480" w:lineRule="auto"/>
        <w:contextualSpacing/>
        <w:rPr>
          <w:rFonts w:cs="Times New Roman"/>
          <w:szCs w:val="24"/>
        </w:rPr>
      </w:pPr>
      <w:r w:rsidRPr="00675E5D">
        <w:rPr>
          <w:rFonts w:cs="Times New Roman"/>
          <w:szCs w:val="24"/>
        </w:rPr>
        <w:t>This is not merely a technical or procedural problem. The existing law suffers from three fundamental inadequacies: first, conceptual incommensurability</w:t>
      </w:r>
      <w:r w:rsidR="0064479F">
        <w:rPr>
          <w:rFonts w:cs="Times New Roman"/>
          <w:szCs w:val="24"/>
        </w:rPr>
        <w:t xml:space="preserve"> </w:t>
      </w:r>
      <w:r w:rsidRPr="00675E5D">
        <w:rPr>
          <w:rFonts w:cs="Times New Roman"/>
          <w:szCs w:val="24"/>
        </w:rPr>
        <w:t>discrimination law's anthropocentric premises are structurally incompatible with algorithmic decision-making; second, evidentiary asymmetry</w:t>
      </w:r>
      <w:r w:rsidR="0064479F">
        <w:rPr>
          <w:rFonts w:cs="Times New Roman"/>
          <w:szCs w:val="24"/>
        </w:rPr>
        <w:t xml:space="preserve"> </w:t>
      </w:r>
      <w:r w:rsidRPr="00675E5D">
        <w:rPr>
          <w:rFonts w:cs="Times New Roman"/>
          <w:szCs w:val="24"/>
        </w:rPr>
        <w:t>claimants lack access to information necessary to establish prima facie cases; third, institutional fragmentation</w:t>
      </w:r>
      <w:r w:rsidR="0064479F">
        <w:rPr>
          <w:rFonts w:cs="Times New Roman"/>
          <w:szCs w:val="24"/>
        </w:rPr>
        <w:t xml:space="preserve"> </w:t>
      </w:r>
      <w:r w:rsidRPr="00675E5D">
        <w:rPr>
          <w:rFonts w:cs="Times New Roman"/>
          <w:szCs w:val="24"/>
        </w:rPr>
        <w:t xml:space="preserve">no single regulator possesses the technical expertise </w:t>
      </w:r>
      <w:r w:rsidRPr="00675E5D">
        <w:rPr>
          <w:rFonts w:cs="Times New Roman"/>
          <w:szCs w:val="24"/>
        </w:rPr>
        <w:lastRenderedPageBreak/>
        <w:t>and legal mandate to address algorithmic discrimination comprehensively. The ancient statute indicates anthropocentric premises of discrimination as a human action that is akin to influence on purposeful control. The concept of algorithmic discrimination undermines these pillars, and it demonstrates that discrimination may be systematically replicated when carried out in the allegedly neutral technological courses.</w:t>
      </w:r>
    </w:p>
    <w:p w14:paraId="1EC8209F"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8.2 Contributions and Implications</w:t>
      </w:r>
    </w:p>
    <w:p w14:paraId="7E983B77" w14:textId="77777777" w:rsidR="00951D24" w:rsidRPr="00675E5D" w:rsidRDefault="00000000" w:rsidP="00675E5D">
      <w:pPr>
        <w:spacing w:line="480" w:lineRule="auto"/>
        <w:contextualSpacing/>
        <w:rPr>
          <w:rFonts w:cs="Times New Roman"/>
          <w:szCs w:val="24"/>
        </w:rPr>
      </w:pPr>
      <w:r w:rsidRPr="00675E5D">
        <w:rPr>
          <w:rFonts w:cs="Times New Roman"/>
          <w:szCs w:val="24"/>
        </w:rPr>
        <w:t>This dissertation has a number of original contributions. It speculates upon extensively the applicability of the UK equality law to algorithmic credit scoring, critically analyzes the adaptability of doctrinal concepts in machine-learning systems. The dissertation has addressed the problem of bridging the disciplinary gap between law and computer science by combining both disciplines with rigor. The study analyzes regulatory fragmentation at FCA, EHRC and ICO, and diagnoses failures of coordination and its impacts. The three-pillar reform framework proposed is realistic and can be implemented without the need to completely transform institutions since it is based on already existing institutional capacities.</w:t>
      </w:r>
    </w:p>
    <w:p w14:paraId="312E3DEA" w14:textId="77777777" w:rsidR="00951D24" w:rsidRPr="00675E5D" w:rsidRDefault="00000000" w:rsidP="00675E5D">
      <w:pPr>
        <w:spacing w:line="480" w:lineRule="auto"/>
        <w:contextualSpacing/>
        <w:rPr>
          <w:rFonts w:cs="Times New Roman"/>
          <w:szCs w:val="24"/>
        </w:rPr>
      </w:pPr>
      <w:r w:rsidRPr="00675E5D">
        <w:rPr>
          <w:rFonts w:cs="Times New Roman"/>
          <w:szCs w:val="24"/>
        </w:rPr>
        <w:t>Theoretically within the dissertation the technological systems prove the challenge to the liberal, individualistic and intentionalism assumptions of law by arguing that an effective form of equality law in digital lives means the necessity to go beyond the anthropocentric models. In practice, the studies have several audiences. Policy makers are given a road map on how to reform. Regulators can have tools of control. Compliance is guided in financial institutions. Evidence is acquired by consumer advocates to use in campaigns. Litigation strategy advice is provided to legal practitioners.</w:t>
      </w:r>
    </w:p>
    <w:p w14:paraId="560A133F"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8.3 Future Horizons</w:t>
      </w:r>
    </w:p>
    <w:p w14:paraId="5B913E8A" w14:textId="77777777" w:rsidR="00951D24" w:rsidRPr="00675E5D" w:rsidRDefault="00000000" w:rsidP="00675E5D">
      <w:pPr>
        <w:spacing w:line="480" w:lineRule="auto"/>
        <w:contextualSpacing/>
        <w:rPr>
          <w:rFonts w:cs="Times New Roman"/>
          <w:szCs w:val="24"/>
        </w:rPr>
      </w:pPr>
      <w:r w:rsidRPr="00675E5D">
        <w:rPr>
          <w:rFonts w:cs="Times New Roman"/>
          <w:szCs w:val="24"/>
        </w:rPr>
        <w:t>This dissertation opens several opportunities of the future research. The algorithms credit discrimination in the UK necessitates intense empirical research of proprietary data. Credit is not the only area where algorithmic discrimination is applied and it applies to employment, housing, healthcare, education, and even criminal justice. The cross-domain comparative analysis would be useful in determining shared trends. Although this dissertation is about the UK law, a comparative analysis of how the other jurisdictions deal with algorithmic discrimination may yield results on the reform of the UK law. Research in computer science is still creating ways to reduce bias. Interdisciplinary studies indicating the legal sufficiency of these interventions would take effect in technical development as well as the legal standards.</w:t>
      </w:r>
    </w:p>
    <w:p w14:paraId="6E190820" w14:textId="77777777" w:rsidR="00951D24" w:rsidRPr="00675E5D" w:rsidRDefault="00000000" w:rsidP="00675E5D">
      <w:pPr>
        <w:spacing w:line="480" w:lineRule="auto"/>
        <w:contextualSpacing/>
        <w:rPr>
          <w:rFonts w:cs="Times New Roman"/>
          <w:szCs w:val="24"/>
        </w:rPr>
      </w:pPr>
      <w:r w:rsidRPr="00675E5D">
        <w:rPr>
          <w:rFonts w:cs="Times New Roman"/>
          <w:szCs w:val="24"/>
        </w:rPr>
        <w:t>The formation of intersectional discrimination by algorithmic systems and ways in which the law can remedy it require further development. Good algorithmic governance can need the participation of the affected communities in the design and management. The studies of the participatory methods could be used to supplement the top-down regulatory methods. The changes suggested by this paper will maintain positive innovation but make the algorithmic systems work in a manner that does not violate the principles of equality. They want to bring algorithmic discrimination to sight, challenge, and redress. Regardless of the particular reforms that are adopted or a different set of reforms is followed, the bottom line is that discrimination law needs to be transformative in relation to algorithmic systems, or it will become a relic of history that will not be able to serve its normative functions in digital societies.</w:t>
      </w:r>
    </w:p>
    <w:p w14:paraId="5159A537" w14:textId="77777777" w:rsidR="00951D24" w:rsidRPr="00675E5D" w:rsidRDefault="00951D24" w:rsidP="00675E5D">
      <w:pPr>
        <w:spacing w:line="480" w:lineRule="auto"/>
        <w:contextualSpacing/>
        <w:rPr>
          <w:rFonts w:cs="Times New Roman"/>
          <w:szCs w:val="24"/>
        </w:rPr>
      </w:pPr>
    </w:p>
    <w:p w14:paraId="772416E7" w14:textId="77777777" w:rsidR="00951D24" w:rsidRPr="00675E5D" w:rsidRDefault="00951D24" w:rsidP="00675E5D">
      <w:pPr>
        <w:spacing w:line="480" w:lineRule="auto"/>
        <w:contextualSpacing/>
        <w:rPr>
          <w:rFonts w:cs="Times New Roman"/>
          <w:szCs w:val="24"/>
        </w:rPr>
      </w:pPr>
    </w:p>
    <w:p w14:paraId="3E8F99A6" w14:textId="77777777" w:rsidR="00951D24" w:rsidRPr="00675E5D" w:rsidRDefault="00000000" w:rsidP="00675E5D">
      <w:pPr>
        <w:pStyle w:val="Heading1"/>
        <w:spacing w:line="480" w:lineRule="auto"/>
        <w:contextualSpacing/>
        <w:jc w:val="center"/>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BIBLIOGRAPHY</w:t>
      </w:r>
    </w:p>
    <w:p w14:paraId="2606475A"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TABLE OF CASES</w:t>
      </w:r>
    </w:p>
    <w:p w14:paraId="59EC1D90" w14:textId="77777777" w:rsidR="00951D24" w:rsidRPr="00675E5D" w:rsidRDefault="00000000" w:rsidP="00675E5D">
      <w:pPr>
        <w:spacing w:line="480" w:lineRule="auto"/>
        <w:contextualSpacing/>
        <w:rPr>
          <w:rFonts w:cs="Times New Roman"/>
          <w:szCs w:val="24"/>
        </w:rPr>
      </w:pPr>
      <w:r w:rsidRPr="00675E5D">
        <w:rPr>
          <w:rFonts w:cs="Times New Roman"/>
          <w:szCs w:val="24"/>
        </w:rPr>
        <w:t>Essop v Home Office [2017] UKSC 27 at [25]</w:t>
      </w:r>
    </w:p>
    <w:p w14:paraId="5236FD4B" w14:textId="77777777" w:rsidR="00951D24" w:rsidRPr="00675E5D" w:rsidRDefault="00000000" w:rsidP="00675E5D">
      <w:pPr>
        <w:spacing w:line="480" w:lineRule="auto"/>
        <w:contextualSpacing/>
        <w:rPr>
          <w:rFonts w:cs="Times New Roman"/>
          <w:szCs w:val="24"/>
        </w:rPr>
      </w:pPr>
      <w:r w:rsidRPr="00675E5D">
        <w:rPr>
          <w:rFonts w:cs="Times New Roman"/>
          <w:szCs w:val="24"/>
        </w:rPr>
        <w:t>Homer v Chief Constable of West Yorkshire [2012] UKSC 15 at [19]</w:t>
      </w:r>
    </w:p>
    <w:p w14:paraId="22A01A3D" w14:textId="77777777" w:rsidR="00951D24" w:rsidRPr="00675E5D" w:rsidRDefault="00000000" w:rsidP="00675E5D">
      <w:pPr>
        <w:spacing w:line="480" w:lineRule="auto"/>
        <w:contextualSpacing/>
        <w:rPr>
          <w:rFonts w:cs="Times New Roman"/>
          <w:szCs w:val="24"/>
        </w:rPr>
      </w:pPr>
      <w:r w:rsidRPr="00675E5D">
        <w:rPr>
          <w:rFonts w:cs="Times New Roman"/>
          <w:szCs w:val="24"/>
        </w:rPr>
        <w:t>Igen Ltd v Wong [2005] EWCA Civ 142 at [17]– [19]</w:t>
      </w:r>
    </w:p>
    <w:p w14:paraId="731B5087" w14:textId="77777777" w:rsidR="00951D24" w:rsidRPr="00675E5D" w:rsidRDefault="00000000" w:rsidP="00675E5D">
      <w:pPr>
        <w:spacing w:line="480" w:lineRule="auto"/>
        <w:contextualSpacing/>
        <w:rPr>
          <w:rFonts w:cs="Times New Roman"/>
          <w:szCs w:val="24"/>
        </w:rPr>
      </w:pPr>
      <w:r w:rsidRPr="00675E5D">
        <w:rPr>
          <w:rFonts w:cs="Times New Roman"/>
          <w:szCs w:val="24"/>
        </w:rPr>
        <w:t>James v Eastleigh Borough Council [1990] 2 AC 751 (HL) at 774</w:t>
      </w:r>
    </w:p>
    <w:p w14:paraId="79ED37FC" w14:textId="77777777" w:rsidR="00951D24" w:rsidRPr="00675E5D" w:rsidRDefault="00000000" w:rsidP="00675E5D">
      <w:pPr>
        <w:spacing w:line="480" w:lineRule="auto"/>
        <w:contextualSpacing/>
        <w:rPr>
          <w:rFonts w:cs="Times New Roman"/>
          <w:szCs w:val="24"/>
        </w:rPr>
      </w:pPr>
      <w:r w:rsidRPr="00675E5D">
        <w:rPr>
          <w:rFonts w:cs="Times New Roman"/>
          <w:szCs w:val="24"/>
        </w:rPr>
        <w:t>Nagarajan v London Regional Transport [1999] UKHL 36 at [12]</w:t>
      </w:r>
    </w:p>
    <w:p w14:paraId="12B14603" w14:textId="2C4C27B8" w:rsidR="00EC44E6" w:rsidRPr="00675E5D" w:rsidRDefault="00000000" w:rsidP="00675E5D">
      <w:pPr>
        <w:spacing w:line="480" w:lineRule="auto"/>
        <w:contextualSpacing/>
        <w:rPr>
          <w:rFonts w:cs="Times New Roman"/>
          <w:szCs w:val="24"/>
        </w:rPr>
      </w:pPr>
      <w:r w:rsidRPr="00675E5D">
        <w:rPr>
          <w:rFonts w:cs="Times New Roman"/>
          <w:szCs w:val="24"/>
        </w:rPr>
        <w:t>R (E) v Governing Body of JFS [2009] UKSC 15 at [34]– [36]</w:t>
      </w:r>
    </w:p>
    <w:p w14:paraId="611BEABE"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TABLE OF LEGISLATION</w:t>
      </w:r>
    </w:p>
    <w:p w14:paraId="1102DAAB" w14:textId="77777777" w:rsidR="00951D24" w:rsidRPr="00675E5D" w:rsidRDefault="00000000" w:rsidP="00675E5D">
      <w:pPr>
        <w:spacing w:line="480" w:lineRule="auto"/>
        <w:contextualSpacing/>
        <w:rPr>
          <w:rFonts w:cs="Times New Roman"/>
          <w:szCs w:val="24"/>
        </w:rPr>
      </w:pPr>
      <w:r w:rsidRPr="00675E5D">
        <w:rPr>
          <w:rFonts w:cs="Times New Roman"/>
          <w:szCs w:val="24"/>
        </w:rPr>
        <w:t>Consumer Credit Act 1974</w:t>
      </w:r>
    </w:p>
    <w:p w14:paraId="358B94F5" w14:textId="77777777" w:rsidR="00951D24" w:rsidRPr="00675E5D" w:rsidRDefault="00000000" w:rsidP="00675E5D">
      <w:pPr>
        <w:spacing w:line="480" w:lineRule="auto"/>
        <w:contextualSpacing/>
        <w:rPr>
          <w:rFonts w:cs="Times New Roman"/>
          <w:szCs w:val="24"/>
        </w:rPr>
      </w:pPr>
      <w:r w:rsidRPr="00675E5D">
        <w:rPr>
          <w:rFonts w:cs="Times New Roman"/>
          <w:szCs w:val="24"/>
        </w:rPr>
        <w:t>Human Rights Act 1998</w:t>
      </w:r>
    </w:p>
    <w:p w14:paraId="46DE55BE" w14:textId="77777777" w:rsidR="00951D24" w:rsidRPr="00675E5D" w:rsidRDefault="00000000" w:rsidP="00675E5D">
      <w:pPr>
        <w:spacing w:line="480" w:lineRule="auto"/>
        <w:contextualSpacing/>
        <w:rPr>
          <w:rFonts w:cs="Times New Roman"/>
          <w:szCs w:val="24"/>
        </w:rPr>
      </w:pPr>
      <w:r w:rsidRPr="00675E5D">
        <w:rPr>
          <w:rFonts w:cs="Times New Roman"/>
          <w:szCs w:val="24"/>
        </w:rPr>
        <w:t>Financial Services and Markets Act 2000</w:t>
      </w:r>
    </w:p>
    <w:p w14:paraId="4F7D9928" w14:textId="77777777" w:rsidR="00951D24" w:rsidRPr="00675E5D" w:rsidRDefault="00000000" w:rsidP="00675E5D">
      <w:pPr>
        <w:spacing w:line="480" w:lineRule="auto"/>
        <w:contextualSpacing/>
        <w:rPr>
          <w:rFonts w:cs="Times New Roman"/>
          <w:szCs w:val="24"/>
        </w:rPr>
      </w:pPr>
      <w:r w:rsidRPr="00675E5D">
        <w:rPr>
          <w:rFonts w:cs="Times New Roman"/>
          <w:szCs w:val="24"/>
        </w:rPr>
        <w:t>Equality Act 2010</w:t>
      </w:r>
    </w:p>
    <w:p w14:paraId="20696641" w14:textId="77777777" w:rsidR="00951D24" w:rsidRPr="00675E5D" w:rsidRDefault="00000000" w:rsidP="00675E5D">
      <w:pPr>
        <w:spacing w:line="480" w:lineRule="auto"/>
        <w:contextualSpacing/>
        <w:rPr>
          <w:rFonts w:cs="Times New Roman"/>
          <w:szCs w:val="24"/>
        </w:rPr>
      </w:pPr>
      <w:r w:rsidRPr="00675E5D">
        <w:rPr>
          <w:rFonts w:cs="Times New Roman"/>
          <w:szCs w:val="24"/>
        </w:rPr>
        <w:t>Data Protection Act 2018</w:t>
      </w:r>
    </w:p>
    <w:p w14:paraId="271A43DA" w14:textId="1CE7D2DB" w:rsidR="00951D24" w:rsidRPr="00675E5D" w:rsidRDefault="00000000" w:rsidP="00675E5D">
      <w:pPr>
        <w:spacing w:line="480" w:lineRule="auto"/>
        <w:contextualSpacing/>
        <w:rPr>
          <w:rFonts w:cs="Times New Roman"/>
          <w:szCs w:val="24"/>
        </w:rPr>
      </w:pPr>
      <w:r w:rsidRPr="00675E5D">
        <w:rPr>
          <w:rFonts w:cs="Times New Roman"/>
          <w:szCs w:val="24"/>
        </w:rPr>
        <w:t>UK General Data Protection Regulation, SI 2021/1660</w:t>
      </w:r>
    </w:p>
    <w:p w14:paraId="35A9D332"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t>TABLE OF REGULATORY MATERIALS</w:t>
      </w:r>
    </w:p>
    <w:p w14:paraId="4F17E634" w14:textId="77777777" w:rsidR="00951D24" w:rsidRPr="00675E5D" w:rsidRDefault="00000000" w:rsidP="00675E5D">
      <w:pPr>
        <w:spacing w:line="480" w:lineRule="auto"/>
        <w:contextualSpacing/>
        <w:rPr>
          <w:rFonts w:cs="Times New Roman"/>
          <w:szCs w:val="24"/>
        </w:rPr>
      </w:pPr>
      <w:r w:rsidRPr="00675E5D">
        <w:rPr>
          <w:rFonts w:cs="Times New Roman"/>
          <w:szCs w:val="24"/>
        </w:rPr>
        <w:t>European Convention on Human Rights</w:t>
      </w:r>
    </w:p>
    <w:p w14:paraId="62E725D7" w14:textId="77777777" w:rsidR="00951D24" w:rsidRPr="00675E5D" w:rsidRDefault="00000000" w:rsidP="00675E5D">
      <w:pPr>
        <w:spacing w:line="480" w:lineRule="auto"/>
        <w:contextualSpacing/>
        <w:rPr>
          <w:rFonts w:cs="Times New Roman"/>
          <w:szCs w:val="24"/>
        </w:rPr>
      </w:pPr>
      <w:bookmarkStart w:id="2" w:name="_Hlk214576475"/>
      <w:r w:rsidRPr="00675E5D">
        <w:rPr>
          <w:rFonts w:cs="Times New Roman"/>
          <w:szCs w:val="24"/>
        </w:rPr>
        <w:t>EU Regulation 2024/1037 on Artificial Intelligence (AI Act)</w:t>
      </w:r>
    </w:p>
    <w:bookmarkEnd w:id="2"/>
    <w:p w14:paraId="412E6E60" w14:textId="77777777" w:rsidR="00951D24" w:rsidRPr="00675E5D" w:rsidRDefault="00000000" w:rsidP="00675E5D">
      <w:pPr>
        <w:pStyle w:val="Heading2"/>
        <w:spacing w:line="480" w:lineRule="auto"/>
        <w:contextualSpacing/>
        <w:rPr>
          <w:rFonts w:ascii="Times New Roman" w:hAnsi="Times New Roman" w:cs="Times New Roman"/>
          <w:color w:val="auto"/>
          <w:sz w:val="24"/>
          <w:szCs w:val="24"/>
        </w:rPr>
      </w:pPr>
      <w:r w:rsidRPr="00675E5D">
        <w:rPr>
          <w:rFonts w:ascii="Times New Roman" w:hAnsi="Times New Roman" w:cs="Times New Roman"/>
          <w:color w:val="auto"/>
          <w:sz w:val="24"/>
          <w:szCs w:val="24"/>
        </w:rPr>
        <w:lastRenderedPageBreak/>
        <w:t>SECONDARY SOURCES</w:t>
      </w:r>
    </w:p>
    <w:p w14:paraId="6D1BEBC2" w14:textId="3F92C39A" w:rsidR="00A5345C" w:rsidRPr="001D0545" w:rsidRDefault="00000000" w:rsidP="001D0545">
      <w:pPr>
        <w:pStyle w:val="Heading3"/>
        <w:spacing w:line="480" w:lineRule="auto"/>
        <w:contextualSpacing/>
        <w:rPr>
          <w:rFonts w:ascii="Times New Roman" w:hAnsi="Times New Roman" w:cs="Times New Roman"/>
          <w:i/>
          <w:iCs/>
          <w:color w:val="auto"/>
          <w:szCs w:val="24"/>
        </w:rPr>
      </w:pPr>
      <w:r w:rsidRPr="00675E5D">
        <w:rPr>
          <w:rFonts w:ascii="Times New Roman" w:hAnsi="Times New Roman" w:cs="Times New Roman"/>
          <w:i/>
          <w:iCs/>
          <w:color w:val="auto"/>
          <w:szCs w:val="24"/>
        </w:rPr>
        <w:t>Journal Articles</w:t>
      </w:r>
      <w:r w:rsidR="00A5345C" w:rsidRPr="00BC42EC">
        <w:rPr>
          <w:rFonts w:cs="Times New Roman"/>
          <w:szCs w:val="24"/>
        </w:rPr>
        <w:t xml:space="preserve"> </w:t>
      </w:r>
    </w:p>
    <w:p w14:paraId="63305C19" w14:textId="77777777" w:rsidR="00A5345C" w:rsidRDefault="00A5345C" w:rsidP="00675E5D">
      <w:pPr>
        <w:spacing w:line="480" w:lineRule="auto"/>
        <w:contextualSpacing/>
        <w:rPr>
          <w:rFonts w:cs="Times New Roman"/>
          <w:szCs w:val="24"/>
        </w:rPr>
      </w:pPr>
      <w:r w:rsidRPr="00675E5D">
        <w:rPr>
          <w:rFonts w:cs="Times New Roman"/>
          <w:szCs w:val="24"/>
        </w:rPr>
        <w:t>Dandasi VV, 'Credit Intelligence Reimagined: Leveraging Predictive Algorithms for Smarter Commercial Lending Decisions' (2025) 2 International Journal of Computer Science and Data Engineering 1</w:t>
      </w:r>
    </w:p>
    <w:p w14:paraId="514A1734" w14:textId="77777777" w:rsidR="00A5345C" w:rsidRPr="00675E5D" w:rsidRDefault="00A5345C" w:rsidP="00675E5D">
      <w:pPr>
        <w:spacing w:line="480" w:lineRule="auto"/>
        <w:contextualSpacing/>
        <w:rPr>
          <w:rFonts w:cs="Times New Roman"/>
          <w:szCs w:val="24"/>
        </w:rPr>
      </w:pPr>
      <w:r w:rsidRPr="00675E5D">
        <w:rPr>
          <w:rFonts w:cs="Times New Roman"/>
          <w:szCs w:val="24"/>
        </w:rPr>
        <w:t>López Cerezo JA and Núñez Jover J, 'Technological Innovation as Social Innovation' (2008) 33 Science, Technology, &amp; Human Values 707</w:t>
      </w:r>
    </w:p>
    <w:p w14:paraId="226903DA" w14:textId="77777777" w:rsidR="00A5345C" w:rsidRPr="00675E5D" w:rsidRDefault="00A5345C" w:rsidP="00675E5D">
      <w:pPr>
        <w:spacing w:line="480" w:lineRule="auto"/>
        <w:contextualSpacing/>
        <w:rPr>
          <w:rFonts w:cs="Times New Roman"/>
          <w:szCs w:val="24"/>
        </w:rPr>
      </w:pPr>
      <w:r>
        <w:t>Mansuroğlu D, ‘If Endarterectomy Is Necessary Then Which Technique Should Be Used?’ (2012) 20 Turkish Journal of Thoracic and Cardiovascular Surgery 961</w:t>
      </w:r>
    </w:p>
    <w:p w14:paraId="31C5937E" w14:textId="77777777" w:rsidR="00A5345C" w:rsidRDefault="00A5345C" w:rsidP="00675E5D">
      <w:pPr>
        <w:spacing w:line="480" w:lineRule="auto"/>
        <w:contextualSpacing/>
        <w:rPr>
          <w:rFonts w:cs="Times New Roman"/>
          <w:szCs w:val="24"/>
        </w:rPr>
      </w:pPr>
      <w:r w:rsidRPr="00675E5D">
        <w:rPr>
          <w:rFonts w:cs="Times New Roman"/>
          <w:szCs w:val="24"/>
        </w:rPr>
        <w:t>Petrevska L and Golijan J, 'Legal Order and Interpretation of Law: How the Interpretation of Law Shapes State Power' (2025) 4 SCIENCE International Journal 7</w:t>
      </w:r>
    </w:p>
    <w:p w14:paraId="631FBDAC" w14:textId="2064AE53" w:rsidR="008133E4" w:rsidRPr="00675E5D" w:rsidRDefault="008133E4" w:rsidP="00675E5D">
      <w:pPr>
        <w:spacing w:line="480" w:lineRule="auto"/>
        <w:contextualSpacing/>
        <w:rPr>
          <w:rFonts w:cs="Times New Roman"/>
          <w:szCs w:val="24"/>
        </w:rPr>
      </w:pPr>
      <w:r w:rsidRPr="008133E4">
        <w:rPr>
          <w:rFonts w:cs="Times New Roman"/>
          <w:szCs w:val="24"/>
        </w:rPr>
        <w:t>United Kingdom: Domestic demand has been weak. and the unemployment rate has picked up.</w:t>
      </w:r>
    </w:p>
    <w:p w14:paraId="03B825B0" w14:textId="7F223C71" w:rsidR="00A5345C" w:rsidRDefault="00A5345C" w:rsidP="00675E5D">
      <w:pPr>
        <w:spacing w:line="480" w:lineRule="auto"/>
        <w:contextualSpacing/>
        <w:rPr>
          <w:rFonts w:cs="Times New Roman"/>
          <w:szCs w:val="24"/>
        </w:rPr>
      </w:pPr>
      <w:r w:rsidRPr="00675E5D">
        <w:rPr>
          <w:rFonts w:cs="Times New Roman"/>
          <w:szCs w:val="24"/>
        </w:rPr>
        <w:t xml:space="preserve">Yinger J, 'Discrimination in Mortgage Lending: A Literature Review' in John Goering and Ron </w:t>
      </w:r>
    </w:p>
    <w:p w14:paraId="5826CD7A" w14:textId="77777777" w:rsidR="00951D24" w:rsidRPr="00675E5D" w:rsidRDefault="00000000" w:rsidP="00675E5D">
      <w:pPr>
        <w:pStyle w:val="Heading3"/>
        <w:spacing w:line="480" w:lineRule="auto"/>
        <w:contextualSpacing/>
        <w:rPr>
          <w:rFonts w:ascii="Times New Roman" w:hAnsi="Times New Roman" w:cs="Times New Roman"/>
          <w:i/>
          <w:iCs/>
          <w:color w:val="auto"/>
          <w:szCs w:val="24"/>
        </w:rPr>
      </w:pPr>
      <w:r w:rsidRPr="00675E5D">
        <w:rPr>
          <w:rFonts w:ascii="Times New Roman" w:hAnsi="Times New Roman" w:cs="Times New Roman"/>
          <w:i/>
          <w:iCs/>
          <w:color w:val="auto"/>
          <w:szCs w:val="24"/>
        </w:rPr>
        <w:t>Reports and Policy Documents</w:t>
      </w:r>
    </w:p>
    <w:p w14:paraId="63A5B6CE"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Bank of England, </w:t>
      </w:r>
      <w:r w:rsidRPr="00675E5D">
        <w:rPr>
          <w:rFonts w:cs="Times New Roman"/>
          <w:i/>
          <w:szCs w:val="24"/>
        </w:rPr>
        <w:t>Machine Learning in UK Financial Services</w:t>
      </w:r>
      <w:r w:rsidRPr="00675E5D">
        <w:rPr>
          <w:rFonts w:cs="Times New Roman"/>
          <w:szCs w:val="24"/>
        </w:rPr>
        <w:t xml:space="preserve"> (October 2022)</w:t>
      </w:r>
    </w:p>
    <w:p w14:paraId="6762F5D8"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Financial Conduct Authority, </w:t>
      </w:r>
      <w:r w:rsidRPr="00675E5D">
        <w:rPr>
          <w:rFonts w:cs="Times New Roman"/>
          <w:i/>
          <w:szCs w:val="24"/>
        </w:rPr>
        <w:t>Artificial Intelligence and Machine Learning</w:t>
      </w:r>
      <w:r w:rsidRPr="00675E5D">
        <w:rPr>
          <w:rFonts w:cs="Times New Roman"/>
          <w:szCs w:val="24"/>
        </w:rPr>
        <w:t xml:space="preserve"> (Discussion Paper, October 2023)</w:t>
      </w:r>
    </w:p>
    <w:p w14:paraId="396BE639" w14:textId="240A7B2F" w:rsidR="00951D24" w:rsidRPr="00675E5D" w:rsidRDefault="00000000" w:rsidP="00675E5D">
      <w:pPr>
        <w:spacing w:line="480" w:lineRule="auto"/>
        <w:contextualSpacing/>
        <w:rPr>
          <w:rFonts w:cs="Times New Roman"/>
          <w:szCs w:val="24"/>
        </w:rPr>
      </w:pPr>
      <w:r w:rsidRPr="00675E5D">
        <w:rPr>
          <w:rFonts w:cs="Times New Roman"/>
          <w:szCs w:val="24"/>
        </w:rPr>
        <w:t xml:space="preserve">HM Government, </w:t>
      </w:r>
      <w:r w:rsidRPr="00675E5D">
        <w:rPr>
          <w:rFonts w:cs="Times New Roman"/>
          <w:i/>
          <w:szCs w:val="24"/>
        </w:rPr>
        <w:t>A Pro-Innovation Approach to AI Regulation</w:t>
      </w:r>
      <w:r w:rsidRPr="00675E5D">
        <w:rPr>
          <w:rFonts w:cs="Times New Roman"/>
          <w:szCs w:val="24"/>
        </w:rPr>
        <w:t xml:space="preserve"> (White Paper, March 2023)</w:t>
      </w:r>
    </w:p>
    <w:p w14:paraId="7B6BE954" w14:textId="77777777" w:rsidR="00951D24" w:rsidRPr="00675E5D" w:rsidRDefault="00000000" w:rsidP="00675E5D">
      <w:pPr>
        <w:pStyle w:val="Heading3"/>
        <w:spacing w:line="480" w:lineRule="auto"/>
        <w:contextualSpacing/>
        <w:rPr>
          <w:rFonts w:ascii="Times New Roman" w:hAnsi="Times New Roman" w:cs="Times New Roman"/>
          <w:i/>
          <w:iCs/>
          <w:color w:val="auto"/>
          <w:szCs w:val="24"/>
        </w:rPr>
      </w:pPr>
      <w:r w:rsidRPr="00675E5D">
        <w:rPr>
          <w:rFonts w:ascii="Times New Roman" w:hAnsi="Times New Roman" w:cs="Times New Roman"/>
          <w:i/>
          <w:iCs/>
          <w:color w:val="auto"/>
          <w:szCs w:val="24"/>
        </w:rPr>
        <w:t>Electronic Sources</w:t>
      </w:r>
    </w:p>
    <w:p w14:paraId="75E3266F" w14:textId="77777777" w:rsidR="00951D24" w:rsidRPr="00675E5D" w:rsidRDefault="00000000" w:rsidP="00675E5D">
      <w:pPr>
        <w:spacing w:line="480" w:lineRule="auto"/>
        <w:contextualSpacing/>
        <w:rPr>
          <w:rFonts w:cs="Times New Roman"/>
          <w:szCs w:val="24"/>
        </w:rPr>
      </w:pPr>
      <w:r w:rsidRPr="00675E5D">
        <w:rPr>
          <w:rFonts w:cs="Times New Roman"/>
          <w:szCs w:val="24"/>
        </w:rPr>
        <w:t>Adebayo MH, 'Credit Scoring in the Era of Big Data' (</w:t>
      </w:r>
      <w:r w:rsidRPr="00675E5D">
        <w:rPr>
          <w:rFonts w:cs="Times New Roman"/>
          <w:i/>
          <w:szCs w:val="24"/>
        </w:rPr>
        <w:t>Yale Journal of Law &amp; Technology</w:t>
      </w:r>
      <w:r w:rsidRPr="00675E5D">
        <w:rPr>
          <w:rFonts w:cs="Times New Roman"/>
          <w:szCs w:val="24"/>
        </w:rPr>
        <w:t>) &lt;https://yjolt.org/credit-scoring-era-big-data&gt; accessed 14 November 2025</w:t>
      </w:r>
    </w:p>
    <w:p w14:paraId="26467852" w14:textId="77777777" w:rsidR="00951D24" w:rsidRPr="00675E5D" w:rsidRDefault="00000000" w:rsidP="00675E5D">
      <w:pPr>
        <w:spacing w:line="480" w:lineRule="auto"/>
        <w:contextualSpacing/>
        <w:rPr>
          <w:rFonts w:cs="Times New Roman"/>
          <w:szCs w:val="24"/>
        </w:rPr>
      </w:pPr>
      <w:r w:rsidRPr="00675E5D">
        <w:rPr>
          <w:rFonts w:cs="Times New Roman"/>
          <w:szCs w:val="24"/>
        </w:rPr>
        <w:lastRenderedPageBreak/>
        <w:t xml:space="preserve">Grosvenor A, 'PCPs, Indirect Discrimination, and Reasonable Adjustments' </w:t>
      </w:r>
      <w:r w:rsidRPr="00675E5D">
        <w:rPr>
          <w:rFonts w:cs="Times New Roman"/>
          <w:i/>
          <w:iCs/>
          <w:szCs w:val="24"/>
        </w:rPr>
        <w:t>(Pump Court Chambers</w:t>
      </w:r>
      <w:r w:rsidRPr="00675E5D">
        <w:rPr>
          <w:rFonts w:cs="Times New Roman"/>
          <w:szCs w:val="24"/>
        </w:rPr>
        <w:t>, 21 November 2024) &lt;https://www.pumpcourtchambers.com/2024/11/20/pcps-indirect-discrimination-and-reasonable-adjustments/&gt; accessed 14 November 2025</w:t>
      </w:r>
    </w:p>
    <w:p w14:paraId="7882AF56" w14:textId="77777777" w:rsidR="00951D24" w:rsidRPr="00675E5D" w:rsidRDefault="00000000" w:rsidP="00675E5D">
      <w:pPr>
        <w:spacing w:line="480" w:lineRule="auto"/>
        <w:contextualSpacing/>
        <w:rPr>
          <w:rFonts w:cs="Times New Roman"/>
          <w:szCs w:val="24"/>
        </w:rPr>
      </w:pPr>
      <w:r w:rsidRPr="00675E5D">
        <w:rPr>
          <w:rFonts w:cs="Times New Roman"/>
          <w:szCs w:val="24"/>
        </w:rPr>
        <w:t>'Machine Learning for Credit Scoring' (</w:t>
      </w:r>
      <w:r w:rsidRPr="00675E5D">
        <w:rPr>
          <w:rFonts w:cs="Times New Roman"/>
          <w:i/>
          <w:iCs/>
          <w:szCs w:val="24"/>
        </w:rPr>
        <w:t>Svitla Systems</w:t>
      </w:r>
      <w:r w:rsidRPr="00675E5D">
        <w:rPr>
          <w:rFonts w:cs="Times New Roman"/>
          <w:szCs w:val="24"/>
        </w:rPr>
        <w:t>, 14 October 2025) &lt;https://svitla.com/blog/machine-learning-for-credit-scoring/&gt; accessed 13 November 2025</w:t>
      </w:r>
    </w:p>
    <w:p w14:paraId="488D765F" w14:textId="77777777" w:rsidR="00951D24" w:rsidRPr="00675E5D" w:rsidRDefault="00000000" w:rsidP="00675E5D">
      <w:pPr>
        <w:spacing w:line="480" w:lineRule="auto"/>
        <w:contextualSpacing/>
        <w:rPr>
          <w:rFonts w:cs="Times New Roman"/>
          <w:szCs w:val="24"/>
        </w:rPr>
      </w:pPr>
      <w:r w:rsidRPr="00675E5D">
        <w:rPr>
          <w:rFonts w:cs="Times New Roman"/>
          <w:szCs w:val="24"/>
        </w:rPr>
        <w:t>'Probabilistic Models' (</w:t>
      </w:r>
      <w:r w:rsidRPr="00675E5D">
        <w:rPr>
          <w:rFonts w:cs="Times New Roman"/>
          <w:i/>
          <w:iCs/>
          <w:szCs w:val="24"/>
        </w:rPr>
        <w:t>ScienceDirect topics</w:t>
      </w:r>
      <w:r w:rsidRPr="00675E5D">
        <w:rPr>
          <w:rFonts w:cs="Times New Roman"/>
          <w:szCs w:val="24"/>
        </w:rPr>
        <w:t>) &lt;https://www.sciencedirect.com/topics/agricultural-and-biological-sciences/probabilistic-models&gt; accessed 14 November 2025</w:t>
      </w:r>
    </w:p>
    <w:p w14:paraId="7602E55D" w14:textId="77777777" w:rsidR="00951D24" w:rsidRPr="00675E5D" w:rsidRDefault="00000000" w:rsidP="00675E5D">
      <w:pPr>
        <w:spacing w:line="480" w:lineRule="auto"/>
        <w:contextualSpacing/>
        <w:rPr>
          <w:rFonts w:cs="Times New Roman"/>
          <w:szCs w:val="24"/>
        </w:rPr>
      </w:pPr>
      <w:r w:rsidRPr="00675E5D">
        <w:rPr>
          <w:rFonts w:cs="Times New Roman"/>
          <w:szCs w:val="24"/>
        </w:rPr>
        <w:t>Stankiewicz K, 'Apple Criticized Over Credit Card Algorithms' (</w:t>
      </w:r>
      <w:r w:rsidRPr="00675E5D">
        <w:rPr>
          <w:rFonts w:cs="Times New Roman"/>
          <w:i/>
          <w:iCs/>
          <w:szCs w:val="24"/>
        </w:rPr>
        <w:t>CNBC</w:t>
      </w:r>
      <w:r w:rsidRPr="00675E5D">
        <w:rPr>
          <w:rFonts w:cs="Times New Roman"/>
          <w:szCs w:val="24"/>
        </w:rPr>
        <w:t>, 12 November 2019) &lt;https://www.cnbc.com/2019/11/11/apple-shouldnt-pass-the-blame-on-gender-bias-says-complainant.html&gt; accessed 13 November 2025</w:t>
      </w:r>
    </w:p>
    <w:p w14:paraId="68260C3B" w14:textId="77777777" w:rsidR="00951D24" w:rsidRPr="00675E5D" w:rsidRDefault="00000000" w:rsidP="00675E5D">
      <w:pPr>
        <w:spacing w:line="480" w:lineRule="auto"/>
        <w:contextualSpacing/>
        <w:rPr>
          <w:rFonts w:cs="Times New Roman"/>
          <w:szCs w:val="24"/>
        </w:rPr>
      </w:pPr>
      <w:r w:rsidRPr="00675E5D">
        <w:rPr>
          <w:rFonts w:cs="Times New Roman"/>
          <w:szCs w:val="24"/>
        </w:rPr>
        <w:t xml:space="preserve">Tsamados A and others, 'The Ethics of Algorithms: Key Problems and Solutions' (2021) 36 </w:t>
      </w:r>
      <w:r w:rsidRPr="00675E5D">
        <w:rPr>
          <w:rFonts w:cs="Times New Roman"/>
          <w:i/>
          <w:szCs w:val="24"/>
        </w:rPr>
        <w:t>AI &amp; Society</w:t>
      </w:r>
      <w:r w:rsidRPr="00675E5D">
        <w:rPr>
          <w:rFonts w:cs="Times New Roman"/>
          <w:szCs w:val="24"/>
        </w:rPr>
        <w:t xml:space="preserve"> 2211 &lt;https://link.springer.com/article/10.1007/s00146-021-01154-8&gt; accessed 14 November 2025</w:t>
      </w:r>
    </w:p>
    <w:p w14:paraId="16B01F8F" w14:textId="77777777" w:rsidR="00951D24" w:rsidRPr="00675E5D" w:rsidRDefault="00951D24" w:rsidP="00675E5D">
      <w:pPr>
        <w:spacing w:line="480" w:lineRule="auto"/>
        <w:contextualSpacing/>
        <w:rPr>
          <w:rFonts w:cs="Times New Roman"/>
          <w:szCs w:val="24"/>
        </w:rPr>
      </w:pPr>
    </w:p>
    <w:p w14:paraId="7DB7688B" w14:textId="77777777" w:rsidR="00951D24" w:rsidRPr="00675E5D" w:rsidRDefault="00951D24" w:rsidP="00675E5D">
      <w:pPr>
        <w:spacing w:after="0" w:line="480" w:lineRule="auto"/>
        <w:ind w:firstLine="709"/>
        <w:contextualSpacing/>
        <w:jc w:val="both"/>
        <w:rPr>
          <w:rFonts w:cs="Times New Roman"/>
          <w:szCs w:val="24"/>
        </w:rPr>
      </w:pPr>
    </w:p>
    <w:sectPr w:rsidR="00951D24" w:rsidRPr="00675E5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A5B41" w14:textId="77777777" w:rsidR="00DA1D5A" w:rsidRDefault="00DA1D5A">
      <w:pPr>
        <w:spacing w:after="0" w:line="240" w:lineRule="auto"/>
      </w:pPr>
      <w:r>
        <w:separator/>
      </w:r>
    </w:p>
  </w:endnote>
  <w:endnote w:type="continuationSeparator" w:id="0">
    <w:p w14:paraId="16BFD6A7" w14:textId="77777777" w:rsidR="00DA1D5A" w:rsidRDefault="00DA1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6589" w14:textId="77777777" w:rsidR="00951D24"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7CCC2BA2" w14:textId="77777777" w:rsidR="00951D24" w:rsidRDefault="00951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93A87" w14:textId="77777777" w:rsidR="00DA1D5A" w:rsidRDefault="00DA1D5A">
      <w:pPr>
        <w:spacing w:after="0" w:line="240" w:lineRule="auto"/>
      </w:pPr>
      <w:r>
        <w:separator/>
      </w:r>
    </w:p>
  </w:footnote>
  <w:footnote w:type="continuationSeparator" w:id="0">
    <w:p w14:paraId="51C61F74" w14:textId="77777777" w:rsidR="00DA1D5A" w:rsidRDefault="00DA1D5A">
      <w:pPr>
        <w:spacing w:after="0" w:line="240" w:lineRule="auto"/>
      </w:pPr>
      <w:r>
        <w:continuationSeparator/>
      </w:r>
    </w:p>
  </w:footnote>
  <w:footnote w:id="1">
    <w:p w14:paraId="28D81C5F" w14:textId="77777777" w:rsidR="00951D24" w:rsidRDefault="00000000">
      <w:pPr>
        <w:pStyle w:val="NormalWeb"/>
        <w:ind w:left="567" w:hanging="567"/>
      </w:pPr>
      <w:r>
        <w:rPr>
          <w:rStyle w:val="FootnoteReference"/>
        </w:rPr>
        <w:footnoteRef/>
      </w:r>
      <w:r>
        <w:t xml:space="preserve"> </w:t>
      </w:r>
      <w:r>
        <w:rPr>
          <w:sz w:val="20"/>
          <w:szCs w:val="20"/>
        </w:rPr>
        <w:t>Stankiewicz K, ‘Twitter Complainer Says Apple Is to Blame for Credit Card Issues’ (</w:t>
      </w:r>
      <w:r>
        <w:rPr>
          <w:i/>
          <w:iCs/>
          <w:sz w:val="20"/>
          <w:szCs w:val="20"/>
        </w:rPr>
        <w:t>CNBC</w:t>
      </w:r>
      <w:r>
        <w:rPr>
          <w:sz w:val="20"/>
          <w:szCs w:val="20"/>
        </w:rPr>
        <w:t>, 12 November 2019) &lt;https://www.cnbc.com/2019/11/11/apple-shouldnt-pass-the-blame-on-gender-bias-says-complainant.html&gt; accessed 13 November 2025</w:t>
      </w:r>
      <w:r>
        <w:t xml:space="preserve"> </w:t>
      </w:r>
    </w:p>
  </w:footnote>
  <w:footnote w:id="2">
    <w:p w14:paraId="05C5414E" w14:textId="77777777" w:rsidR="00951D24" w:rsidRDefault="00000000">
      <w:pPr>
        <w:pStyle w:val="FootnoteText"/>
      </w:pPr>
      <w:r>
        <w:rPr>
          <w:rStyle w:val="FootnoteReference"/>
        </w:rPr>
        <w:footnoteRef/>
      </w:r>
      <w:r>
        <w:t xml:space="preserve"> United Kingdom: Domestic demand has been weak. and the unemployment rate has picked up. </w:t>
      </w:r>
    </w:p>
    <w:p w14:paraId="7B670A2D" w14:textId="77777777" w:rsidR="00951D24" w:rsidRDefault="00951D24">
      <w:pPr>
        <w:pStyle w:val="FootnoteText"/>
      </w:pPr>
    </w:p>
  </w:footnote>
  <w:footnote w:id="3">
    <w:p w14:paraId="3AFE4D12" w14:textId="77777777" w:rsidR="00951D24" w:rsidRDefault="00000000">
      <w:pPr>
        <w:pStyle w:val="FootnoteText"/>
      </w:pPr>
      <w:r>
        <w:rPr>
          <w:rStyle w:val="FootnoteReference"/>
        </w:rPr>
        <w:footnoteRef/>
      </w:r>
      <w:r>
        <w:t xml:space="preserve"> Dandasi VV, ‘Credit Intelligence Reimagined: Leveraging Predictive Algorithms for Smarter Commercial Lending Decisions’ (2025) 2 International Journal of Computer Science and Data Engineering 1 </w:t>
      </w:r>
    </w:p>
    <w:p w14:paraId="48DF7498" w14:textId="77777777" w:rsidR="00951D24" w:rsidRDefault="00951D24">
      <w:pPr>
        <w:pStyle w:val="FootnoteText"/>
      </w:pPr>
    </w:p>
  </w:footnote>
  <w:footnote w:id="4">
    <w:p w14:paraId="3F88C8E1" w14:textId="77777777" w:rsidR="00951D24" w:rsidRDefault="00000000">
      <w:pPr>
        <w:pStyle w:val="FootnoteText"/>
      </w:pPr>
      <w:r>
        <w:rPr>
          <w:rStyle w:val="FootnoteReference"/>
        </w:rPr>
        <w:footnoteRef/>
      </w:r>
      <w:r>
        <w:t xml:space="preserve"> (</w:t>
      </w:r>
      <w:r>
        <w:rPr>
          <w:i/>
          <w:iCs/>
        </w:rPr>
        <w:t>Discrimination in the age of Algorithms | Journal of Legal Analysis | oxford academic</w:t>
      </w:r>
      <w:r>
        <w:t xml:space="preserve">) &lt;https://academic.oup.com/jla/article/doi/10.1093/jla/laz001/5476086&gt; accessed 13 November 2025 </w:t>
      </w:r>
    </w:p>
    <w:p w14:paraId="7D8F3B86" w14:textId="77777777" w:rsidR="00951D24" w:rsidRDefault="00951D24">
      <w:pPr>
        <w:pStyle w:val="FootnoteText"/>
      </w:pPr>
    </w:p>
  </w:footnote>
  <w:footnote w:id="5">
    <w:p w14:paraId="7AEB7112" w14:textId="77777777" w:rsidR="00951D24" w:rsidRDefault="00000000">
      <w:pPr>
        <w:pStyle w:val="FootnoteText"/>
      </w:pPr>
      <w:r>
        <w:rPr>
          <w:rStyle w:val="FootnoteReference"/>
        </w:rPr>
        <w:footnoteRef/>
      </w:r>
      <w:r>
        <w:t xml:space="preserve"> ‘Machine Learning for Credit Scoring’ (</w:t>
      </w:r>
      <w:r>
        <w:rPr>
          <w:i/>
          <w:iCs/>
        </w:rPr>
        <w:t>Svitla Systems</w:t>
      </w:r>
      <w:r>
        <w:t xml:space="preserve">, 14 October 2025) &lt;https://svitla.com/blog/machine-learning-for-credit-scoring/&gt; accessed 13 November 2025 </w:t>
      </w:r>
    </w:p>
    <w:p w14:paraId="355DC73C" w14:textId="77777777" w:rsidR="00951D24" w:rsidRDefault="00951D24">
      <w:pPr>
        <w:pStyle w:val="FootnoteText"/>
      </w:pPr>
    </w:p>
  </w:footnote>
  <w:footnote w:id="6">
    <w:p w14:paraId="69B120D6" w14:textId="77777777" w:rsidR="00951D24" w:rsidRDefault="00000000">
      <w:pPr>
        <w:pStyle w:val="FootnoteText"/>
      </w:pPr>
      <w:r>
        <w:rPr>
          <w:rStyle w:val="FootnoteReference"/>
        </w:rPr>
        <w:footnoteRef/>
      </w:r>
      <w:r>
        <w:t xml:space="preserve"> ‘History’: Negative Math 18 </w:t>
      </w:r>
    </w:p>
    <w:p w14:paraId="4B459BFD" w14:textId="77777777" w:rsidR="00951D24" w:rsidRDefault="00951D24">
      <w:pPr>
        <w:pStyle w:val="FootnoteText"/>
      </w:pPr>
    </w:p>
  </w:footnote>
  <w:footnote w:id="7">
    <w:p w14:paraId="487E287A" w14:textId="77777777" w:rsidR="00951D24" w:rsidRDefault="00000000">
      <w:pPr>
        <w:pStyle w:val="FootnoteText"/>
      </w:pPr>
      <w:r>
        <w:rPr>
          <w:rStyle w:val="FootnoteReference"/>
        </w:rPr>
        <w:footnoteRef/>
      </w:r>
      <w:r>
        <w:t xml:space="preserve"> </w:t>
      </w:r>
      <w:r>
        <w:rPr>
          <w:rFonts w:cs="Times New Roman"/>
        </w:rPr>
        <w:t>Essop v Home Office [2017] UKSC 27</w:t>
      </w:r>
    </w:p>
  </w:footnote>
  <w:footnote w:id="8">
    <w:p w14:paraId="2AE3BBEB" w14:textId="77777777" w:rsidR="00951D24" w:rsidRDefault="00000000">
      <w:pPr>
        <w:pStyle w:val="FootnoteText"/>
      </w:pPr>
      <w:r>
        <w:rPr>
          <w:rStyle w:val="FootnoteReference"/>
        </w:rPr>
        <w:footnoteRef/>
      </w:r>
      <w:r>
        <w:t xml:space="preserve"> </w:t>
      </w:r>
      <w:r>
        <w:rPr>
          <w:rFonts w:cs="Times New Roman"/>
        </w:rPr>
        <w:t>Igen Ltd v Wong [2005] EWCA Civ 142</w:t>
      </w:r>
    </w:p>
  </w:footnote>
  <w:footnote w:id="9">
    <w:p w14:paraId="7DACF9EA" w14:textId="77777777" w:rsidR="00951D24" w:rsidRDefault="00000000">
      <w:pPr>
        <w:pStyle w:val="FootnoteText"/>
      </w:pPr>
      <w:r>
        <w:rPr>
          <w:rStyle w:val="FootnoteReference"/>
        </w:rPr>
        <w:footnoteRef/>
      </w:r>
      <w:r>
        <w:t xml:space="preserve"> </w:t>
      </w:r>
      <w:r>
        <w:rPr>
          <w:rFonts w:cs="Times New Roman"/>
        </w:rPr>
        <w:t>Homer v Chief Constable of West Yorkshire [2012] UKSC 15</w:t>
      </w:r>
    </w:p>
  </w:footnote>
  <w:footnote w:id="10">
    <w:p w14:paraId="6FFC7426" w14:textId="77777777" w:rsidR="00951D24" w:rsidRDefault="00000000">
      <w:pPr>
        <w:pStyle w:val="FootnoteText"/>
      </w:pPr>
      <w:r>
        <w:rPr>
          <w:rStyle w:val="FootnoteReference"/>
        </w:rPr>
        <w:footnoteRef/>
      </w:r>
      <w:r>
        <w:t xml:space="preserve"> </w:t>
      </w:r>
      <w:r>
        <w:rPr>
          <w:rFonts w:cs="Times New Roman"/>
        </w:rPr>
        <w:t>James v Eastleigh Borough Council [1990] 2 AC 751</w:t>
      </w:r>
    </w:p>
  </w:footnote>
  <w:footnote w:id="11">
    <w:p w14:paraId="4300D69B" w14:textId="77777777" w:rsidR="00951D24" w:rsidRDefault="00000000">
      <w:pPr>
        <w:pStyle w:val="FootnoteText"/>
      </w:pPr>
      <w:r>
        <w:rPr>
          <w:rStyle w:val="FootnoteReference"/>
        </w:rPr>
        <w:footnoteRef/>
      </w:r>
      <w:r>
        <w:t xml:space="preserve"> </w:t>
      </w:r>
      <w:r>
        <w:rPr>
          <w:rFonts w:cs="Times New Roman"/>
        </w:rPr>
        <w:t>Nagarajan v London Regional Transport [1999] UKHL 36</w:t>
      </w:r>
    </w:p>
  </w:footnote>
  <w:footnote w:id="12">
    <w:p w14:paraId="26833544" w14:textId="3BC6625E" w:rsidR="00BC42EC" w:rsidRDefault="00BC42EC">
      <w:pPr>
        <w:pStyle w:val="FootnoteText"/>
      </w:pPr>
      <w:r>
        <w:rPr>
          <w:rStyle w:val="FootnoteReference"/>
        </w:rPr>
        <w:footnoteRef/>
      </w:r>
      <w:r>
        <w:t xml:space="preserve"> </w:t>
      </w:r>
      <w:r w:rsidRPr="00675E5D">
        <w:rPr>
          <w:rFonts w:cs="Times New Roman"/>
          <w:szCs w:val="24"/>
        </w:rPr>
        <w:t>Human Rights Act 1998</w:t>
      </w:r>
    </w:p>
  </w:footnote>
  <w:footnote w:id="13">
    <w:p w14:paraId="00CC02A1" w14:textId="77777777" w:rsidR="00BE4DFF" w:rsidRPr="00BE4DFF" w:rsidRDefault="00BE4DFF" w:rsidP="00BE4DFF">
      <w:pPr>
        <w:pStyle w:val="FootnoteText"/>
      </w:pPr>
      <w:r>
        <w:rPr>
          <w:rStyle w:val="FootnoteReference"/>
        </w:rPr>
        <w:footnoteRef/>
      </w:r>
      <w:r>
        <w:t xml:space="preserve"> </w:t>
      </w:r>
      <w:r w:rsidRPr="00BE4DFF">
        <w:t>European Convention on Human Rights</w:t>
      </w:r>
    </w:p>
    <w:p w14:paraId="165E5A2D" w14:textId="2D8D7C5B" w:rsidR="00BE4DFF" w:rsidRDefault="00BE4DFF">
      <w:pPr>
        <w:pStyle w:val="FootnoteText"/>
      </w:pPr>
    </w:p>
  </w:footnote>
  <w:footnote w:id="14">
    <w:p w14:paraId="1235DB71" w14:textId="77777777" w:rsidR="00951D24" w:rsidRDefault="00000000">
      <w:pPr>
        <w:pStyle w:val="FootnoteText"/>
      </w:pPr>
      <w:r>
        <w:rPr>
          <w:rStyle w:val="FootnoteReference"/>
        </w:rPr>
        <w:footnoteRef/>
      </w:r>
      <w:r>
        <w:t xml:space="preserve"> Petrevska L and Golijan J, ‘Legal Order and Interpretation of Law: How the Interpretation of Law Shapes State Power’ (2025) 4 SCIENCE International Journal 7 </w:t>
      </w:r>
    </w:p>
    <w:p w14:paraId="37303D71" w14:textId="77777777" w:rsidR="00951D24" w:rsidRDefault="00951D24">
      <w:pPr>
        <w:pStyle w:val="FootnoteText"/>
      </w:pPr>
    </w:p>
  </w:footnote>
  <w:footnote w:id="15">
    <w:p w14:paraId="50B1E527" w14:textId="77777777" w:rsidR="00951D24" w:rsidRDefault="00000000">
      <w:pPr>
        <w:pStyle w:val="FootnoteText"/>
      </w:pPr>
      <w:r>
        <w:rPr>
          <w:rStyle w:val="FootnoteReference"/>
        </w:rPr>
        <w:footnoteRef/>
      </w:r>
      <w:r>
        <w:t xml:space="preserve"> Stewart JG, ‘Navigating US-CLS’ [2024] The Rise and Fall of Critical Legal Studies 126 </w:t>
      </w:r>
    </w:p>
    <w:p w14:paraId="53B0DF7C" w14:textId="77777777" w:rsidR="00951D24" w:rsidRDefault="00951D24">
      <w:pPr>
        <w:pStyle w:val="FootnoteText"/>
      </w:pPr>
    </w:p>
  </w:footnote>
  <w:footnote w:id="16">
    <w:p w14:paraId="419E811C" w14:textId="77777777" w:rsidR="00951D24" w:rsidRDefault="00000000">
      <w:pPr>
        <w:pStyle w:val="FootnoteText"/>
      </w:pPr>
      <w:r>
        <w:rPr>
          <w:rStyle w:val="FootnoteReference"/>
        </w:rPr>
        <w:footnoteRef/>
      </w:r>
      <w:r>
        <w:t xml:space="preserve"> Yinger J, ‘Discrimination in Mortgage Lending: A Literature Review’ [2018] Mortgage Lending, Racial Discrimination, and Federal Policy 29 </w:t>
      </w:r>
    </w:p>
    <w:p w14:paraId="78CBE6FC" w14:textId="77777777" w:rsidR="00951D24" w:rsidRDefault="00951D24">
      <w:pPr>
        <w:pStyle w:val="FootnoteText"/>
      </w:pPr>
    </w:p>
  </w:footnote>
  <w:footnote w:id="17">
    <w:p w14:paraId="41694D41" w14:textId="77777777" w:rsidR="00951D24" w:rsidRDefault="00000000">
      <w:pPr>
        <w:pStyle w:val="FootnoteText"/>
      </w:pPr>
      <w:r>
        <w:rPr>
          <w:rStyle w:val="FootnoteReference"/>
        </w:rPr>
        <w:footnoteRef/>
      </w:r>
      <w:r>
        <w:t xml:space="preserve"> Adebayo MH, ‘Credit Scoring in the Era of Big Data’ (</w:t>
      </w:r>
      <w:r>
        <w:rPr>
          <w:i/>
          <w:iCs/>
        </w:rPr>
        <w:t>Credit Scoring in the Era of Big Data | Yale Journal of Law &amp; Technology</w:t>
      </w:r>
      <w:r>
        <w:t xml:space="preserve">) &lt;https://yjolt.org/credit-scoring-era-big-data&gt; accessed 14 November 2025 </w:t>
      </w:r>
    </w:p>
    <w:p w14:paraId="7FC58C41" w14:textId="77777777" w:rsidR="00951D24" w:rsidRDefault="00951D24">
      <w:pPr>
        <w:pStyle w:val="FootnoteText"/>
      </w:pPr>
    </w:p>
  </w:footnote>
  <w:footnote w:id="18">
    <w:p w14:paraId="58A28B0E" w14:textId="77777777" w:rsidR="00951D24" w:rsidRDefault="00000000">
      <w:pPr>
        <w:pStyle w:val="FootnoteText"/>
      </w:pPr>
      <w:r>
        <w:rPr>
          <w:rStyle w:val="FootnoteReference"/>
        </w:rPr>
        <w:footnoteRef/>
      </w:r>
      <w:r>
        <w:t xml:space="preserve"> </w:t>
      </w:r>
      <w:r>
        <w:rPr>
          <w:rFonts w:cs="Times New Roman"/>
        </w:rPr>
        <w:t>Equality Act 2010</w:t>
      </w:r>
      <w:r>
        <w:rPr>
          <w:rStyle w:val="FootnoteReference"/>
          <w:rFonts w:cs="Times New Roman"/>
        </w:rPr>
        <w:footnoteRef/>
      </w:r>
    </w:p>
  </w:footnote>
  <w:footnote w:id="19">
    <w:p w14:paraId="7F9BA0AA" w14:textId="77777777" w:rsidR="00951D24" w:rsidRDefault="00000000">
      <w:pPr>
        <w:pStyle w:val="FootnoteText"/>
      </w:pPr>
      <w:r>
        <w:rPr>
          <w:rStyle w:val="FootnoteReference"/>
        </w:rPr>
        <w:footnoteRef/>
      </w:r>
      <w:r>
        <w:t xml:space="preserve"> Tsamados A and others, ‘The Ethics of Algorithms: Key Problems and Solutions - Ai &amp; Society’ (</w:t>
      </w:r>
      <w:r>
        <w:rPr>
          <w:i/>
          <w:iCs/>
        </w:rPr>
        <w:t>SpringerLink</w:t>
      </w:r>
      <w:r>
        <w:t xml:space="preserve">, 20 February 2021) &lt;https://link.springer.com/article/10.1007/s00146-021-01154-8&gt; accessed 14 November 2025 </w:t>
      </w:r>
    </w:p>
    <w:p w14:paraId="106F9DDC" w14:textId="77777777" w:rsidR="00951D24" w:rsidRDefault="00951D24">
      <w:pPr>
        <w:pStyle w:val="FootnoteText"/>
      </w:pPr>
    </w:p>
  </w:footnote>
  <w:footnote w:id="20">
    <w:p w14:paraId="1778A6D5" w14:textId="39E89C9A" w:rsidR="00A5345C" w:rsidRDefault="00A5345C">
      <w:pPr>
        <w:pStyle w:val="FootnoteText"/>
      </w:pPr>
      <w:r>
        <w:rPr>
          <w:rStyle w:val="FootnoteReference"/>
        </w:rPr>
        <w:footnoteRef/>
      </w:r>
      <w:r>
        <w:t xml:space="preserve"> </w:t>
      </w:r>
      <w:r w:rsidRPr="00A5345C">
        <w:t>R (E) v Governing Body of JFS [2009] UKSC 15 at [34]– [36]</w:t>
      </w:r>
    </w:p>
  </w:footnote>
  <w:footnote w:id="21">
    <w:p w14:paraId="181B09ED" w14:textId="77777777" w:rsidR="00951D24" w:rsidRDefault="00000000">
      <w:pPr>
        <w:pStyle w:val="FootnoteText"/>
      </w:pPr>
      <w:r>
        <w:rPr>
          <w:rStyle w:val="FootnoteReference"/>
        </w:rPr>
        <w:footnoteRef/>
      </w:r>
      <w:r>
        <w:t xml:space="preserve"> (</w:t>
      </w:r>
      <w:r>
        <w:rPr>
          <w:i/>
          <w:iCs/>
        </w:rPr>
        <w:t>Probabilistic models - an overview | sciencedirect topics</w:t>
      </w:r>
      <w:r>
        <w:t xml:space="preserve">) &lt;https://www.sciencedirect.com/topics/agricultural-and-biological-sciences/probabilistic-models&gt; accessed 14 November 2025 </w:t>
      </w:r>
    </w:p>
    <w:p w14:paraId="60589440" w14:textId="77777777" w:rsidR="00951D24" w:rsidRDefault="00951D24">
      <w:pPr>
        <w:pStyle w:val="FootnoteText"/>
      </w:pPr>
    </w:p>
  </w:footnote>
  <w:footnote w:id="22">
    <w:p w14:paraId="413C3C35" w14:textId="77777777" w:rsidR="00951D24" w:rsidRDefault="00000000">
      <w:pPr>
        <w:pStyle w:val="FootnoteText"/>
      </w:pPr>
      <w:r>
        <w:rPr>
          <w:rStyle w:val="FootnoteReference"/>
        </w:rPr>
        <w:footnoteRef/>
      </w:r>
      <w:r>
        <w:t xml:space="preserve"> Grosvenor A, ‘PCPs, Indirect Discrimination, and Reasonable Adjustments’ (</w:t>
      </w:r>
      <w:r>
        <w:rPr>
          <w:i/>
          <w:iCs/>
        </w:rPr>
        <w:t>Pump Court Chambers</w:t>
      </w:r>
      <w:r>
        <w:t xml:space="preserve">, 21 November 2024) &lt;https://www.pumpcourtchambers.com/2024/11/20/pcps-indirect-discrimination-and-reasonable-adjustments/&gt; accessed 14 November 2025 </w:t>
      </w:r>
    </w:p>
    <w:p w14:paraId="3EDE98BE" w14:textId="77777777" w:rsidR="00951D24" w:rsidRDefault="00951D24">
      <w:pPr>
        <w:pStyle w:val="FootnoteText"/>
      </w:pPr>
    </w:p>
  </w:footnote>
  <w:footnote w:id="23">
    <w:p w14:paraId="7C96828B" w14:textId="77777777" w:rsidR="00951D24" w:rsidRDefault="00000000">
      <w:pPr>
        <w:pStyle w:val="FootnoteText"/>
      </w:pPr>
      <w:r>
        <w:rPr>
          <w:rStyle w:val="FootnoteReference"/>
        </w:rPr>
        <w:footnoteRef/>
      </w:r>
      <w:r>
        <w:t xml:space="preserve"> Mansuroğlu D, ‘If Endarterectomy Is Necessary Then Which Technique Should Be Used?’ (2012) 20 Turkish Journal of Thoracic and Cardiovascular Surgery 961 </w:t>
      </w:r>
    </w:p>
    <w:p w14:paraId="351B0050" w14:textId="77777777" w:rsidR="00951D24" w:rsidRDefault="00951D24">
      <w:pPr>
        <w:pStyle w:val="FootnoteText"/>
      </w:pPr>
    </w:p>
  </w:footnote>
  <w:footnote w:id="24">
    <w:p w14:paraId="67E7D39A" w14:textId="77777777" w:rsidR="00951D24" w:rsidRDefault="00000000">
      <w:pPr>
        <w:pStyle w:val="FootnoteText"/>
      </w:pPr>
      <w:r>
        <w:rPr>
          <w:rStyle w:val="FootnoteReference"/>
        </w:rPr>
        <w:footnoteRef/>
      </w:r>
      <w:r>
        <w:t xml:space="preserve"> </w:t>
      </w:r>
      <w:r>
        <w:rPr>
          <w:rFonts w:cs="Times New Roman"/>
        </w:rPr>
        <w:t>Homer v Chief Constable of West Yorkshire [2012] UKSC 15</w:t>
      </w:r>
    </w:p>
  </w:footnote>
  <w:footnote w:id="25">
    <w:p w14:paraId="43ADB348" w14:textId="77777777" w:rsidR="00951D24" w:rsidRDefault="00000000">
      <w:pPr>
        <w:pStyle w:val="FootnoteText"/>
      </w:pPr>
      <w:r>
        <w:rPr>
          <w:rStyle w:val="FootnoteReference"/>
        </w:rPr>
        <w:footnoteRef/>
      </w:r>
      <w:r>
        <w:t xml:space="preserve"> </w:t>
      </w:r>
      <w:r>
        <w:rPr>
          <w:rFonts w:cs="Times New Roman"/>
        </w:rPr>
        <w:t>Financial Services and Markets Act 2000.</w:t>
      </w:r>
    </w:p>
  </w:footnote>
  <w:footnote w:id="26">
    <w:p w14:paraId="79C3A00D" w14:textId="77777777" w:rsidR="00951D24" w:rsidRDefault="00000000">
      <w:pPr>
        <w:pStyle w:val="FootnoteText"/>
      </w:pPr>
      <w:r>
        <w:rPr>
          <w:rStyle w:val="FootnoteReference"/>
        </w:rPr>
        <w:footnoteRef/>
      </w:r>
      <w:r>
        <w:t xml:space="preserve"> </w:t>
      </w:r>
      <w:r>
        <w:rPr>
          <w:rFonts w:cs="Times New Roman"/>
        </w:rPr>
        <w:t>Consumer credit act 1974</w:t>
      </w:r>
    </w:p>
  </w:footnote>
  <w:footnote w:id="27">
    <w:p w14:paraId="60E01D30" w14:textId="77777777" w:rsidR="00951D24" w:rsidRDefault="00000000">
      <w:pPr>
        <w:pStyle w:val="FootnoteText"/>
      </w:pPr>
      <w:r>
        <w:rPr>
          <w:rStyle w:val="FootnoteReference"/>
        </w:rPr>
        <w:footnoteRef/>
      </w:r>
      <w:r>
        <w:t xml:space="preserve"> </w:t>
      </w:r>
      <w:r>
        <w:rPr>
          <w:rFonts w:cs="Times New Roman"/>
        </w:rPr>
        <w:t>UK General Data Protection Regulation and the Data Protection Act 2018</w:t>
      </w:r>
    </w:p>
  </w:footnote>
  <w:footnote w:id="28">
    <w:p w14:paraId="1DC3FA34" w14:textId="77777777" w:rsidR="00592018" w:rsidRPr="00592018" w:rsidRDefault="00592018" w:rsidP="00592018">
      <w:pPr>
        <w:spacing w:line="480" w:lineRule="auto"/>
        <w:contextualSpacing/>
        <w:rPr>
          <w:rFonts w:cs="Times New Roman"/>
          <w:sz w:val="20"/>
          <w:szCs w:val="20"/>
        </w:rPr>
      </w:pPr>
      <w:r w:rsidRPr="00592018">
        <w:rPr>
          <w:rStyle w:val="FootnoteReference"/>
          <w:sz w:val="20"/>
          <w:szCs w:val="20"/>
        </w:rPr>
        <w:footnoteRef/>
      </w:r>
      <w:r w:rsidRPr="00592018">
        <w:rPr>
          <w:sz w:val="20"/>
          <w:szCs w:val="20"/>
        </w:rPr>
        <w:t xml:space="preserve"> </w:t>
      </w:r>
      <w:r w:rsidRPr="00592018">
        <w:rPr>
          <w:rFonts w:cs="Times New Roman"/>
          <w:sz w:val="20"/>
          <w:szCs w:val="20"/>
        </w:rPr>
        <w:t>EU Regulation 2024/1037 on Artificial Intelligence (AI Act)</w:t>
      </w:r>
    </w:p>
    <w:p w14:paraId="7BDE58EA" w14:textId="026252B1" w:rsidR="00592018" w:rsidRDefault="0059201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2634"/>
    <w:multiLevelType w:val="hybridMultilevel"/>
    <w:tmpl w:val="AF80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63142"/>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15:restartNumberingAfterBreak="0">
    <w:nsid w:val="365467C2"/>
    <w:multiLevelType w:val="hybridMultilevel"/>
    <w:tmpl w:val="7CB6E980"/>
    <w:lvl w:ilvl="0" w:tplc="F5D6A7D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799F2B6D"/>
    <w:multiLevelType w:val="hybridMultilevel"/>
    <w:tmpl w:val="A7D4DFD6"/>
    <w:lvl w:ilvl="0" w:tplc="04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248264946">
    <w:abstractNumId w:val="1"/>
  </w:num>
  <w:num w:numId="2" w16cid:durableId="1506747047">
    <w:abstractNumId w:val="0"/>
  </w:num>
  <w:num w:numId="3" w16cid:durableId="815609812">
    <w:abstractNumId w:val="2"/>
  </w:num>
  <w:num w:numId="4" w16cid:durableId="783622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D24"/>
    <w:rsid w:val="00065CBA"/>
    <w:rsid w:val="000A4325"/>
    <w:rsid w:val="000C634E"/>
    <w:rsid w:val="00135E39"/>
    <w:rsid w:val="001822C6"/>
    <w:rsid w:val="001C6252"/>
    <w:rsid w:val="001D0545"/>
    <w:rsid w:val="002B7744"/>
    <w:rsid w:val="002C565D"/>
    <w:rsid w:val="00592018"/>
    <w:rsid w:val="0064479F"/>
    <w:rsid w:val="00675E5D"/>
    <w:rsid w:val="007016E6"/>
    <w:rsid w:val="00750F63"/>
    <w:rsid w:val="008119AB"/>
    <w:rsid w:val="008133E4"/>
    <w:rsid w:val="008141CE"/>
    <w:rsid w:val="00830C97"/>
    <w:rsid w:val="00951D24"/>
    <w:rsid w:val="00A5345C"/>
    <w:rsid w:val="00AC57AD"/>
    <w:rsid w:val="00B82B95"/>
    <w:rsid w:val="00BC42EC"/>
    <w:rsid w:val="00BE4DFF"/>
    <w:rsid w:val="00D2694A"/>
    <w:rsid w:val="00DA1D5A"/>
    <w:rsid w:val="00DD2856"/>
    <w:rsid w:val="00EC44E6"/>
    <w:rsid w:val="00FC1191"/>
    <w:rsid w:val="00FD19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5498"/>
  <w15:docId w15:val="{9705BB0E-C2B6-4B6F-A2B5-7B4B8024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MS Mincho" w:hAnsi="Times New Roman"/>
      <w:sz w:val="24"/>
      <w:lang w:val="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lang w:val="en-US"/>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lang w:val="en-US"/>
    </w:rPr>
  </w:style>
  <w:style w:type="character" w:customStyle="1" w:styleId="Heading3Char">
    <w:name w:val="Heading 3 Char"/>
    <w:basedOn w:val="DefaultParagraphFont"/>
    <w:link w:val="Heading3"/>
    <w:uiPriority w:val="9"/>
    <w:rPr>
      <w:rFonts w:ascii="Calibri" w:eastAsia="MS Gothic" w:hAnsi="Calibri" w:cs="SimSun"/>
      <w:b/>
      <w:bCs/>
      <w:color w:val="4F81BD"/>
      <w:sz w:val="24"/>
      <w:lang w:val="en-US"/>
    </w:rPr>
  </w:style>
  <w:style w:type="paragraph" w:styleId="TOCHeading">
    <w:name w:val="TOC Heading"/>
    <w:basedOn w:val="Heading1"/>
    <w:next w:val="Normal"/>
    <w:uiPriority w:val="39"/>
    <w:qFormat/>
    <w:pPr>
      <w:outlineLvl w:val="9"/>
    </w:pPr>
  </w:style>
  <w:style w:type="paragraph" w:styleId="TOC2">
    <w:name w:val="toc 2"/>
    <w:basedOn w:val="Normal"/>
    <w:next w:val="Normal"/>
    <w:uiPriority w:val="39"/>
    <w:pPr>
      <w:spacing w:after="100" w:line="259" w:lineRule="auto"/>
      <w:ind w:left="220"/>
    </w:pPr>
    <w:rPr>
      <w:rFonts w:ascii="Calibri" w:eastAsia="SimSun" w:hAnsi="Calibri" w:cs="Times New Roman"/>
      <w:sz w:val="22"/>
    </w:rPr>
  </w:style>
  <w:style w:type="paragraph" w:styleId="TOC1">
    <w:name w:val="toc 1"/>
    <w:basedOn w:val="Normal"/>
    <w:next w:val="Normal"/>
    <w:uiPriority w:val="39"/>
    <w:pPr>
      <w:spacing w:after="100" w:line="259" w:lineRule="auto"/>
    </w:pPr>
    <w:rPr>
      <w:rFonts w:ascii="Calibri" w:eastAsia="SimSun" w:hAnsi="Calibri" w:cs="Times New Roman"/>
      <w:sz w:val="22"/>
    </w:rPr>
  </w:style>
  <w:style w:type="paragraph" w:styleId="TOC3">
    <w:name w:val="toc 3"/>
    <w:basedOn w:val="Normal"/>
    <w:next w:val="Normal"/>
    <w:uiPriority w:val="39"/>
    <w:pPr>
      <w:spacing w:after="100" w:line="259" w:lineRule="auto"/>
      <w:ind w:left="440"/>
    </w:pPr>
    <w:rPr>
      <w:rFonts w:ascii="Calibri" w:eastAsia="SimSun" w:hAnsi="Calibri" w:cs="Times New Roman"/>
      <w:sz w:val="22"/>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rFonts w:ascii="Times New Roman" w:eastAsia="MS Mincho" w:hAnsi="Times New Roman" w:cs="SimSun"/>
      <w:sz w:val="20"/>
      <w:szCs w:val="20"/>
      <w:lang w:val="en-US"/>
    </w:rPr>
  </w:style>
  <w:style w:type="character" w:styleId="FootnoteReference">
    <w:name w:val="footnote reference"/>
    <w:basedOn w:val="DefaultParagraphFont"/>
    <w:uiPriority w:val="99"/>
    <w:rPr>
      <w:vertAlign w:val="superscript"/>
    </w:rPr>
  </w:style>
  <w:style w:type="paragraph" w:styleId="NormalWeb">
    <w:name w:val="Normal (Web)"/>
    <w:basedOn w:val="Normal"/>
    <w:uiPriority w:val="99"/>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MS Mincho" w:hAnsi="Times New Roman" w:cs="SimSun"/>
      <w:sz w:val="24"/>
      <w:lang w:val="en-US"/>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eastAsia="MS Mincho" w:hAnsi="Times New Roman" w:cs="SimSun"/>
      <w:sz w:val="24"/>
      <w:lang w:val="en-US"/>
    </w:rPr>
  </w:style>
  <w:style w:type="paragraph" w:styleId="ListParagraph">
    <w:name w:val="List Paragraph"/>
    <w:basedOn w:val="Normal"/>
    <w:uiPriority w:val="34"/>
    <w:qFormat/>
    <w:pPr>
      <w:ind w:left="720"/>
      <w:contextualSpacing/>
    </w:pPr>
  </w:style>
  <w:style w:type="paragraph" w:styleId="EndnoteText">
    <w:name w:val="endnote text"/>
    <w:basedOn w:val="Normal"/>
    <w:link w:val="EndnoteTextChar"/>
    <w:uiPriority w:val="99"/>
    <w:semiHidden/>
    <w:unhideWhenUsed/>
    <w:rsid w:val="00BC42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C42EC"/>
    <w:rPr>
      <w:rFonts w:ascii="Times New Roman" w:eastAsia="MS Mincho" w:hAnsi="Times New Roman"/>
      <w:sz w:val="20"/>
      <w:szCs w:val="20"/>
      <w:lang w:val="en-US"/>
    </w:rPr>
  </w:style>
  <w:style w:type="character" w:styleId="EndnoteReference">
    <w:name w:val="endnote reference"/>
    <w:basedOn w:val="DefaultParagraphFont"/>
    <w:uiPriority w:val="99"/>
    <w:semiHidden/>
    <w:unhideWhenUsed/>
    <w:rsid w:val="00BC42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36C8F-7D9E-4C6E-8F15-3CCB49CA6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56</Pages>
  <Words>13200</Words>
  <Characters>75244</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Marion Rutto</dc:creator>
  <cp:lastModifiedBy>Marion Rutto</cp:lastModifiedBy>
  <cp:revision>4</cp:revision>
  <dcterms:created xsi:type="dcterms:W3CDTF">2025-11-20T21:00:00Z</dcterms:created>
  <dcterms:modified xsi:type="dcterms:W3CDTF">2025-11-20T21:24:00Z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bafcebda51334a318215a25bcf9f9f57</vt:lpwstr>
  </property>
</Properties>
</file>