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BugBrief Project Description</w:t>
      </w:r>
    </w:p>
    <w:p>
      <w:pPr>
        <w:pStyle w:val="Subtitle"/>
      </w:pPr>
      <w:r>
        <w:t>Fine tuning an LLM to turn customer reports into developer tickets</w:t>
      </w:r>
    </w:p>
    <w:p>
      <w:r>
        <w:t>Version 1.0  |  13 October 2026  |  Planned prototype build time 1 to 2 days</w:t>
      </w:r>
    </w:p>
    <w:p>
      <w:pPr>
        <w:pStyle w:val="Heading1"/>
      </w:pPr>
      <w:r>
        <w:t>Project overview</w:t>
      </w:r>
    </w:p>
    <w:p>
      <w:r>
        <w:t>BugBrief converts informal customer bug reports into structured tickets that support staff can review before handing them to developers. The model extracts reported facts, suggests a product area, identifies missing information, and asks targeted follow-up questions. A user edits and approves the output before exporting it.</w:t>
      </w:r>
    </w:p>
    <w:p>
      <w:r>
        <w:t>We will fine-tune a small instruction model for one fictional software product and compare it with a prompted version of the same base model. The prototype includes a training dataset, a saved adapter, an evaluation report, and a simple deployed interface. Its purpose is to test whether fine-tuning improves company-specific ticket preparation within a small, measurable scope.</w:t>
      </w:r>
    </w:p>
    <w:p>
      <w:pPr>
        <w:pStyle w:val="Heading1"/>
      </w:pPr>
      <w:r>
        <w:t>Problem and intended value</w:t>
      </w:r>
    </w:p>
    <w:p>
      <w:r>
        <w:t>Customer reports often describe symptoms without a clear title, environment, expected behavior, or reproduction details. Support staff must translate the report into a developer ticket and ask for missing information. Inconsistent terminology and unsupported assumptions can make the handoff harder to investigate.</w:t>
      </w:r>
    </w:p>
    <w:p>
      <w:r>
        <w:t>BugBrief aims to reduce the editing needed to produce a usable ticket while preserving uncertainty. Any reduction in preparation time or improvement in quality must be measured; these are intended benefits rather than established results.</w:t>
      </w:r>
    </w:p>
    <w:p>
      <w:pPr>
        <w:pStyle w:val="Heading1"/>
      </w:pPr>
      <w:r>
        <w:t>Users and pilot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shd w:fill="E7EDF3"/>
            <w:tcMar>
              <w:top w:w="95" w:type="dxa"/>
              <w:left w:w="95" w:type="dxa"/>
              <w:bottom w:w="95" w:type="dxa"/>
              <w:right w:w="95" w:type="dxa"/>
            </w:tcMar>
          </w:tcPr>
          <w:p>
            <w:pPr>
              <w:spacing w:after="40" w:line="240" w:lineRule="auto"/>
            </w:pPr>
            <w:r>
              <w:rPr>
                <w:b/>
                <w:sz w:val="21"/>
              </w:rPr>
              <w:t>User</w:t>
            </w:r>
          </w:p>
        </w:tc>
        <w:tc>
          <w:tcPr>
            <w:tcW w:type="dxa" w:w="7992"/>
            <w:vAlign w:val="center"/>
            <w:shd w:fill="E7EDF3"/>
            <w:tcMar>
              <w:top w:w="95" w:type="dxa"/>
              <w:left w:w="95" w:type="dxa"/>
              <w:bottom w:w="95" w:type="dxa"/>
              <w:right w:w="95" w:type="dxa"/>
            </w:tcMar>
          </w:tcPr>
          <w:p>
            <w:pPr>
              <w:spacing w:after="40" w:line="240" w:lineRule="auto"/>
            </w:pPr>
            <w:r>
              <w:rPr>
                <w:b/>
                <w:sz w:val="21"/>
              </w:rPr>
              <w:t>Role</w:t>
            </w:r>
          </w:p>
        </w:tc>
      </w:tr>
      <w:tr>
        <w:trPr>
          <w:cantSplit/>
        </w:trPr>
        <w:tc>
          <w:tcPr>
            <w:tcW w:type="dxa" w:w="1944"/>
            <w:vAlign w:val="center"/>
            <w:shd w:fill="FFFFFF"/>
            <w:tcMar>
              <w:top w:w="95" w:type="dxa"/>
              <w:left w:w="95" w:type="dxa"/>
              <w:bottom w:w="95" w:type="dxa"/>
              <w:right w:w="95" w:type="dxa"/>
            </w:tcMar>
          </w:tcPr>
          <w:p>
            <w:pPr>
              <w:spacing w:after="40" w:line="240" w:lineRule="auto"/>
            </w:pPr>
            <w:r>
              <w:rPr>
                <w:b w:val="0"/>
                <w:sz w:val="21"/>
              </w:rPr>
              <w:t>Support staff</w:t>
            </w:r>
          </w:p>
        </w:tc>
        <w:tc>
          <w:tcPr>
            <w:tcW w:type="dxa" w:w="7992"/>
            <w:vAlign w:val="center"/>
            <w:shd w:fill="FFFFFF"/>
            <w:tcMar>
              <w:top w:w="95" w:type="dxa"/>
              <w:left w:w="95" w:type="dxa"/>
              <w:bottom w:w="95" w:type="dxa"/>
              <w:right w:w="95" w:type="dxa"/>
            </w:tcMar>
          </w:tcPr>
          <w:p>
            <w:pPr>
              <w:spacing w:after="40" w:line="240" w:lineRule="auto"/>
            </w:pPr>
            <w:r>
              <w:rPr>
                <w:b w:val="0"/>
                <w:sz w:val="21"/>
              </w:rPr>
              <w:t>Paste a customer report, inspect extracted facts, edit the ticket, and export it.</w:t>
            </w:r>
          </w:p>
        </w:tc>
      </w:tr>
      <w:tr>
        <w:trPr>
          <w:cantSplit/>
        </w:trPr>
        <w:tc>
          <w:tcPr>
            <w:tcW w:type="dxa" w:w="1944"/>
            <w:vAlign w:val="center"/>
            <w:shd w:fill="F5F7F9"/>
            <w:tcMar>
              <w:top w:w="95" w:type="dxa"/>
              <w:left w:w="95" w:type="dxa"/>
              <w:bottom w:w="95" w:type="dxa"/>
              <w:right w:w="95" w:type="dxa"/>
            </w:tcMar>
          </w:tcPr>
          <w:p>
            <w:pPr>
              <w:spacing w:after="40" w:line="240" w:lineRule="auto"/>
            </w:pPr>
            <w:r>
              <w:rPr>
                <w:b w:val="0"/>
                <w:sz w:val="21"/>
              </w:rPr>
              <w:t>QA or developer</w:t>
            </w:r>
          </w:p>
        </w:tc>
        <w:tc>
          <w:tcPr>
            <w:tcW w:type="dxa" w:w="7992"/>
            <w:vAlign w:val="center"/>
            <w:shd w:fill="F5F7F9"/>
            <w:tcMar>
              <w:top w:w="95" w:type="dxa"/>
              <w:left w:w="95" w:type="dxa"/>
              <w:bottom w:w="95" w:type="dxa"/>
              <w:right w:w="95" w:type="dxa"/>
            </w:tcMar>
          </w:tcPr>
          <w:p>
            <w:pPr>
              <w:spacing w:after="40" w:line="240" w:lineRule="auto"/>
            </w:pPr>
            <w:r>
              <w:rPr>
                <w:b w:val="0"/>
                <w:sz w:val="21"/>
              </w:rPr>
              <w:t>Check that the ticket contains usable information and appropriate follow-up questions.</w:t>
            </w:r>
          </w:p>
        </w:tc>
      </w:tr>
      <w:tr>
        <w:trPr>
          <w:cantSplit/>
        </w:trPr>
        <w:tc>
          <w:tcPr>
            <w:tcW w:type="dxa" w:w="1944"/>
            <w:vAlign w:val="center"/>
            <w:shd w:fill="FFFFFF"/>
            <w:tcMar>
              <w:top w:w="95" w:type="dxa"/>
              <w:left w:w="95" w:type="dxa"/>
              <w:bottom w:w="95" w:type="dxa"/>
              <w:right w:w="95" w:type="dxa"/>
            </w:tcMar>
          </w:tcPr>
          <w:p>
            <w:pPr>
              <w:spacing w:after="40" w:line="240" w:lineRule="auto"/>
            </w:pPr>
            <w:r>
              <w:rPr>
                <w:b w:val="0"/>
                <w:sz w:val="21"/>
              </w:rPr>
              <w:t>Project developer</w:t>
            </w:r>
          </w:p>
        </w:tc>
        <w:tc>
          <w:tcPr>
            <w:tcW w:type="dxa" w:w="7992"/>
            <w:vAlign w:val="center"/>
            <w:shd w:fill="FFFFFF"/>
            <w:tcMar>
              <w:top w:w="95" w:type="dxa"/>
              <w:left w:w="95" w:type="dxa"/>
              <w:bottom w:w="95" w:type="dxa"/>
              <w:right w:w="95" w:type="dxa"/>
            </w:tcMar>
          </w:tcPr>
          <w:p>
            <w:pPr>
              <w:spacing w:after="40" w:line="240" w:lineRule="auto"/>
            </w:pPr>
            <w:r>
              <w:rPr>
                <w:b w:val="0"/>
                <w:sz w:val="21"/>
              </w:rPr>
              <w:t>Prepare the dataset, train and evaluate the model, and maintain the demo.</w:t>
            </w:r>
          </w:p>
        </w:tc>
      </w:tr>
    </w:tbl>
    <w:p>
      <w:pPr>
        <w:spacing w:before="120"/>
      </w:pPr>
      <w:r>
        <w:t>The pilot uses LedgerFlow, a fictional SaaS product with Authentication, Billing, Dashboard, and Integrations areas. Reports that cannot be classified from the available evidence use Unknown. All demo data is synthetic and describes short text reports in English.</w:t>
      </w:r>
    </w:p>
    <w:p>
      <w:pPr>
        <w:pStyle w:val="Heading1"/>
      </w:pPr>
      <w:r>
        <w:t>Example behavior</w:t>
      </w:r>
    </w:p>
    <w:p>
      <w:r>
        <w:t>Input: “Since yesterday, exporting invoices gives me an empty file. It happens when I select several invoices, but exporting one works. I am using Chrome.”</w:t>
      </w:r>
    </w:p>
    <w:p>
      <w:r>
        <w:t>Output: A ticket titled “Bulk invoice export produces an empty file,” classified under Billing. It records the multiple-invoice symptom and Chrome as the reported browser. It asks for the export format, browser version, and affected invoice count. It does not claim a root cause or invent a complete sequence of steps.</w:t>
      </w:r>
    </w:p>
    <w:p>
      <w:pPr>
        <w:pStyle w:val="Heading1"/>
        <w:pageBreakBefore/>
      </w:pPr>
      <w:r>
        <w:t>MVP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E7EDF3"/>
            <w:tcMar>
              <w:top w:w="95" w:type="dxa"/>
              <w:left w:w="95" w:type="dxa"/>
              <w:bottom w:w="95" w:type="dxa"/>
              <w:right w:w="95" w:type="dxa"/>
            </w:tcMar>
          </w:tcPr>
          <w:p>
            <w:pPr>
              <w:spacing w:after="40" w:line="240" w:lineRule="auto"/>
            </w:pPr>
            <w:r>
              <w:rPr>
                <w:b/>
                <w:sz w:val="21"/>
              </w:rPr>
              <w:t>Feature</w:t>
            </w:r>
          </w:p>
        </w:tc>
        <w:tc>
          <w:tcPr>
            <w:tcW w:type="dxa" w:w="7848"/>
            <w:vAlign w:val="center"/>
            <w:shd w:fill="E7EDF3"/>
            <w:tcMar>
              <w:top w:w="95" w:type="dxa"/>
              <w:left w:w="95" w:type="dxa"/>
              <w:bottom w:w="95" w:type="dxa"/>
              <w:right w:w="95" w:type="dxa"/>
            </w:tcMar>
          </w:tcPr>
          <w:p>
            <w:pPr>
              <w:spacing w:after="40" w:line="240" w:lineRule="auto"/>
            </w:pPr>
            <w:r>
              <w:rPr>
                <w:b/>
                <w:sz w:val="21"/>
              </w:rPr>
              <w:t>Behavior</w:t>
            </w:r>
          </w:p>
        </w:tc>
      </w:tr>
      <w:tr>
        <w:trPr>
          <w:cantSplit/>
        </w:trPr>
        <w:tc>
          <w:tcPr>
            <w:tcW w:type="dxa" w:w="2088"/>
            <w:vAlign w:val="center"/>
            <w:shd w:fill="FFFFFF"/>
            <w:tcMar>
              <w:top w:w="95" w:type="dxa"/>
              <w:left w:w="95" w:type="dxa"/>
              <w:bottom w:w="95" w:type="dxa"/>
              <w:right w:w="95" w:type="dxa"/>
            </w:tcMar>
          </w:tcPr>
          <w:p>
            <w:pPr>
              <w:spacing w:after="40" w:line="240" w:lineRule="auto"/>
            </w:pPr>
            <w:r>
              <w:rPr>
                <w:b w:val="0"/>
                <w:sz w:val="21"/>
              </w:rPr>
              <w:t>Report input</w:t>
            </w:r>
          </w:p>
        </w:tc>
        <w:tc>
          <w:tcPr>
            <w:tcW w:type="dxa" w:w="7848"/>
            <w:vAlign w:val="center"/>
            <w:shd w:fill="FFFFFF"/>
            <w:tcMar>
              <w:top w:w="95" w:type="dxa"/>
              <w:left w:w="95" w:type="dxa"/>
              <w:bottom w:w="95" w:type="dxa"/>
              <w:right w:w="95" w:type="dxa"/>
            </w:tcMar>
          </w:tcPr>
          <w:p>
            <w:pPr>
              <w:spacing w:after="40" w:line="240" w:lineRule="auto"/>
            </w:pPr>
            <w:r>
              <w:rPr>
                <w:b w:val="0"/>
                <w:sz w:val="21"/>
              </w:rPr>
              <w:t>A text box accepts one short report at a time. A few synthetic examples help demonstrate the workflow.</w:t>
            </w:r>
          </w:p>
        </w:tc>
      </w:tr>
      <w:tr>
        <w:trPr>
          <w:cantSplit/>
        </w:trPr>
        <w:tc>
          <w:tcPr>
            <w:tcW w:type="dxa" w:w="2088"/>
            <w:vAlign w:val="center"/>
            <w:shd w:fill="F5F7F9"/>
            <w:tcMar>
              <w:top w:w="95" w:type="dxa"/>
              <w:left w:w="95" w:type="dxa"/>
              <w:bottom w:w="95" w:type="dxa"/>
              <w:right w:w="95" w:type="dxa"/>
            </w:tcMar>
          </w:tcPr>
          <w:p>
            <w:pPr>
              <w:spacing w:after="40" w:line="240" w:lineRule="auto"/>
            </w:pPr>
            <w:r>
              <w:rPr>
                <w:b w:val="0"/>
                <w:sz w:val="21"/>
              </w:rPr>
              <w:t>Ticket drafting</w:t>
            </w:r>
          </w:p>
        </w:tc>
        <w:tc>
          <w:tcPr>
            <w:tcW w:type="dxa" w:w="7848"/>
            <w:vAlign w:val="center"/>
            <w:shd w:fill="F5F7F9"/>
            <w:tcMar>
              <w:top w:w="95" w:type="dxa"/>
              <w:left w:w="95" w:type="dxa"/>
              <w:bottom w:w="95" w:type="dxa"/>
              <w:right w:w="95" w:type="dxa"/>
            </w:tcMar>
          </w:tcPr>
          <w:p>
            <w:pPr>
              <w:spacing w:after="40" w:line="240" w:lineRule="auto"/>
            </w:pPr>
            <w:r>
              <w:rPr>
                <w:b w:val="0"/>
                <w:sz w:val="21"/>
              </w:rPr>
              <w:t>Return a concise title, suggested product area, actual behavior, expected behavior, and reported environment.</w:t>
            </w:r>
          </w:p>
        </w:tc>
      </w:tr>
      <w:tr>
        <w:trPr>
          <w:cantSplit/>
        </w:trPr>
        <w:tc>
          <w:tcPr>
            <w:tcW w:type="dxa" w:w="2088"/>
            <w:vAlign w:val="center"/>
            <w:shd w:fill="FFFFFF"/>
            <w:tcMar>
              <w:top w:w="95" w:type="dxa"/>
              <w:left w:w="95" w:type="dxa"/>
              <w:bottom w:w="95" w:type="dxa"/>
              <w:right w:w="95" w:type="dxa"/>
            </w:tcMar>
          </w:tcPr>
          <w:p>
            <w:pPr>
              <w:spacing w:after="40" w:line="240" w:lineRule="auto"/>
            </w:pPr>
            <w:r>
              <w:rPr>
                <w:b w:val="0"/>
                <w:sz w:val="21"/>
              </w:rPr>
              <w:t>Missing information</w:t>
            </w:r>
          </w:p>
        </w:tc>
        <w:tc>
          <w:tcPr>
            <w:tcW w:type="dxa" w:w="7848"/>
            <w:vAlign w:val="center"/>
            <w:shd w:fill="FFFFFF"/>
            <w:tcMar>
              <w:top w:w="95" w:type="dxa"/>
              <w:left w:w="95" w:type="dxa"/>
              <w:bottom w:w="95" w:type="dxa"/>
              <w:right w:w="95" w:type="dxa"/>
            </w:tcMar>
          </w:tcPr>
          <w:p>
            <w:pPr>
              <w:spacing w:after="40" w:line="240" w:lineRule="auto"/>
            </w:pPr>
            <w:r>
              <w:rPr>
                <w:b w:val="0"/>
                <w:sz w:val="21"/>
              </w:rPr>
              <w:t>List details that would help investigation and ask up to three focused clarification questions.</w:t>
            </w:r>
          </w:p>
        </w:tc>
      </w:tr>
      <w:tr>
        <w:trPr>
          <w:cantSplit/>
        </w:trPr>
        <w:tc>
          <w:tcPr>
            <w:tcW w:type="dxa" w:w="2088"/>
            <w:vAlign w:val="center"/>
            <w:shd w:fill="F5F7F9"/>
            <w:tcMar>
              <w:top w:w="95" w:type="dxa"/>
              <w:left w:w="95" w:type="dxa"/>
              <w:bottom w:w="95" w:type="dxa"/>
              <w:right w:w="95" w:type="dxa"/>
            </w:tcMar>
          </w:tcPr>
          <w:p>
            <w:pPr>
              <w:spacing w:after="40" w:line="240" w:lineRule="auto"/>
            </w:pPr>
            <w:r>
              <w:rPr>
                <w:b w:val="0"/>
                <w:sz w:val="21"/>
              </w:rPr>
              <w:t>Human review</w:t>
            </w:r>
          </w:p>
        </w:tc>
        <w:tc>
          <w:tcPr>
            <w:tcW w:type="dxa" w:w="7848"/>
            <w:vAlign w:val="center"/>
            <w:shd w:fill="F5F7F9"/>
            <w:tcMar>
              <w:top w:w="95" w:type="dxa"/>
              <w:left w:w="95" w:type="dxa"/>
              <w:bottom w:w="95" w:type="dxa"/>
              <w:right w:w="95" w:type="dxa"/>
            </w:tcMar>
          </w:tcPr>
          <w:p>
            <w:pPr>
              <w:spacing w:after="40" w:line="240" w:lineRule="auto"/>
            </w:pPr>
            <w:r>
              <w:rPr>
                <w:b w:val="0"/>
                <w:sz w:val="21"/>
              </w:rPr>
              <w:t>Show an editable ticket preview. Clearly distinguish reported facts, interpretations, and unknown values.</w:t>
            </w:r>
          </w:p>
        </w:tc>
      </w:tr>
      <w:tr>
        <w:trPr>
          <w:cantSplit/>
        </w:trPr>
        <w:tc>
          <w:tcPr>
            <w:tcW w:type="dxa" w:w="2088"/>
            <w:vAlign w:val="center"/>
            <w:shd w:fill="FFFFFF"/>
            <w:tcMar>
              <w:top w:w="95" w:type="dxa"/>
              <w:left w:w="95" w:type="dxa"/>
              <w:bottom w:w="95" w:type="dxa"/>
              <w:right w:w="95" w:type="dxa"/>
            </w:tcMar>
          </w:tcPr>
          <w:p>
            <w:pPr>
              <w:spacing w:after="40" w:line="240" w:lineRule="auto"/>
            </w:pPr>
            <w:r>
              <w:rPr>
                <w:b w:val="0"/>
                <w:sz w:val="21"/>
              </w:rPr>
              <w:t>Export</w:t>
            </w:r>
          </w:p>
        </w:tc>
        <w:tc>
          <w:tcPr>
            <w:tcW w:type="dxa" w:w="7848"/>
            <w:vAlign w:val="center"/>
            <w:shd w:fill="FFFFFF"/>
            <w:tcMar>
              <w:top w:w="95" w:type="dxa"/>
              <w:left w:w="95" w:type="dxa"/>
              <w:bottom w:w="95" w:type="dxa"/>
              <w:right w:w="95" w:type="dxa"/>
            </w:tcMar>
          </w:tcPr>
          <w:p>
            <w:pPr>
              <w:spacing w:after="40" w:line="240" w:lineRule="auto"/>
            </w:pPr>
            <w:r>
              <w:rPr>
                <w:b w:val="0"/>
                <w:sz w:val="21"/>
              </w:rPr>
              <w:t>Allow the reviewed ticket to be copied as text or downloaded as JSON. Validate the exported fields.</w:t>
            </w:r>
          </w:p>
        </w:tc>
      </w:tr>
    </w:tbl>
    <w:p>
      <w:pPr>
        <w:spacing w:before="120"/>
      </w:pPr>
      <w:r>
        <w:t>Automatic Jira creation, email ingestion, attachment analysis, duplicate detection, root-cause diagnosis, severity assignment, and code changes are outside the MVP. These would add integrations or decisions that are unnecessary for the first experiment.</w:t>
      </w:r>
    </w:p>
    <w:p>
      <w:pPr>
        <w:pStyle w:val="Heading1"/>
      </w:pPr>
      <w:r>
        <w:t>Workflow</w:t>
      </w:r>
    </w:p>
    <w:p>
      <w:r>
        <w:t>1. A support user pastes a customer report into the interface.</w:t>
      </w:r>
    </w:p>
    <w:p>
      <w:r>
        <w:t>2. The app checks input length and sends the report through a fixed instruction prompt to the base model with the fine-tuned adapter.</w:t>
      </w:r>
    </w:p>
    <w:p>
      <w:r>
        <w:t>3. The model returns the ticket fields and clarification questions. Application code validates the structure and allowed product-area values.</w:t>
      </w:r>
    </w:p>
    <w:p>
      <w:r>
        <w:t>4. The user compares the draft with the source, corrects any mistakes, and confirms the ticket.</w:t>
      </w:r>
    </w:p>
    <w:p>
      <w:r>
        <w:t>5. The app exports the reviewed result. Invalid output displays a recoverable error instead of a usable ticket.</w:t>
      </w:r>
    </w:p>
    <w:p>
      <w:pPr>
        <w:pStyle w:val="Heading1"/>
      </w:pPr>
      <w:r>
        <w:t>Output rules</w:t>
      </w:r>
    </w:p>
    <w:p>
      <w:pPr>
        <w:pStyle w:val="ListBullet"/>
        <w:spacing w:after="80"/>
      </w:pPr>
      <w:r>
        <w:t>Record only what the report supports. Use null or Unknown when a factual field cannot be established.</w:t>
      </w:r>
    </w:p>
    <w:p>
      <w:pPr>
        <w:pStyle w:val="ListBullet"/>
        <w:spacing w:after="80"/>
      </w:pPr>
      <w:r>
        <w:t>Label expected behavior as Reported or Inferred. Any inference remains visible for review and must not be presented as a customer statement.</w:t>
      </w:r>
    </w:p>
    <w:p>
      <w:pPr>
        <w:pStyle w:val="ListBullet"/>
        <w:spacing w:after="80"/>
      </w:pPr>
      <w:r>
        <w:t>Include reproduction steps only when the input supplies them; otherwise request the missing steps.</w:t>
      </w:r>
    </w:p>
    <w:p>
      <w:pPr>
        <w:pStyle w:val="ListBullet"/>
        <w:spacing w:after="80"/>
      </w:pPr>
      <w:r>
        <w:t>Support the product-area suggestion with a short excerpt from the report. Use Unknown for an ambiguous area.</w:t>
      </w:r>
    </w:p>
    <w:p>
      <w:pPr>
        <w:pStyle w:val="ListBullet"/>
        <w:spacing w:after="80"/>
      </w:pPr>
      <w:r>
        <w:t>Do not infer a technical root cause, priority, severity, affected customer count, or exact onset time from vague wording.</w:t>
      </w:r>
    </w:p>
    <w:p>
      <w:pPr>
        <w:pStyle w:val="Heading1"/>
      </w:pPr>
      <w:r>
        <w:t>Why fine tuning is relevant</w:t>
      </w:r>
    </w:p>
    <w:p>
      <w:r>
        <w:t>The learning target is the product’s vocabulary, mapping reports to product areas, ticket conventions, and handling incomplete evidence. The experiment must show value beyond a well-written prompt on the same base model; JSON formatting alone is insufficient justification.</w:t>
      </w:r>
    </w:p>
    <w:p>
      <w:pPr>
        <w:pStyle w:val="Heading1"/>
        <w:pageBreakBefore/>
      </w:pPr>
      <w:r>
        <w:t>Model and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E7EDF3"/>
            <w:tcMar>
              <w:top w:w="95" w:type="dxa"/>
              <w:left w:w="95" w:type="dxa"/>
              <w:bottom w:w="95" w:type="dxa"/>
              <w:right w:w="95" w:type="dxa"/>
            </w:tcMar>
          </w:tcPr>
          <w:p>
            <w:pPr>
              <w:spacing w:after="40" w:line="240" w:lineRule="auto"/>
            </w:pPr>
            <w:r>
              <w:rPr>
                <w:b/>
                <w:sz w:val="21"/>
              </w:rPr>
              <w:t>Component</w:t>
            </w:r>
          </w:p>
        </w:tc>
        <w:tc>
          <w:tcPr>
            <w:tcW w:type="dxa" w:w="7776"/>
            <w:vAlign w:val="center"/>
            <w:shd w:fill="E7EDF3"/>
            <w:tcMar>
              <w:top w:w="95" w:type="dxa"/>
              <w:left w:w="95" w:type="dxa"/>
              <w:bottom w:w="95" w:type="dxa"/>
              <w:right w:w="95" w:type="dxa"/>
            </w:tcMar>
          </w:tcPr>
          <w:p>
            <w:pPr>
              <w:spacing w:after="40" w:line="240" w:lineRule="auto"/>
            </w:pPr>
            <w:r>
              <w:rPr>
                <w:b/>
                <w:sz w:val="21"/>
              </w:rPr>
              <w:t>Proposed choice</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Base model</w:t>
            </w:r>
          </w:p>
        </w:tc>
        <w:tc>
          <w:tcPr>
            <w:tcW w:type="dxa" w:w="7776"/>
            <w:vAlign w:val="center"/>
            <w:shd w:fill="FFFFFF"/>
            <w:tcMar>
              <w:top w:w="95" w:type="dxa"/>
              <w:left w:w="95" w:type="dxa"/>
              <w:bottom w:w="95" w:type="dxa"/>
              <w:right w:w="95" w:type="dxa"/>
            </w:tcMar>
          </w:tcPr>
          <w:p>
            <w:pPr>
              <w:spacing w:after="40" w:line="240" w:lineRule="auto"/>
            </w:pPr>
            <w:r>
              <w:rPr>
                <w:b w:val="0"/>
                <w:sz w:val="21"/>
              </w:rPr>
              <w:t>Qwen2.5-1.5B-Instruct, approximately 1.54 billion parameters, with an Apache 2.0 license.</w:t>
            </w:r>
          </w:p>
        </w:tc>
      </w:tr>
      <w:tr>
        <w:trPr>
          <w:cantSplit/>
        </w:trPr>
        <w:tc>
          <w:tcPr>
            <w:tcW w:type="dxa" w:w="2160"/>
            <w:vAlign w:val="center"/>
            <w:shd w:fill="F5F7F9"/>
            <w:tcMar>
              <w:top w:w="95" w:type="dxa"/>
              <w:left w:w="95" w:type="dxa"/>
              <w:bottom w:w="95" w:type="dxa"/>
              <w:right w:w="95" w:type="dxa"/>
            </w:tcMar>
          </w:tcPr>
          <w:p>
            <w:pPr>
              <w:spacing w:after="40" w:line="240" w:lineRule="auto"/>
            </w:pPr>
            <w:r>
              <w:rPr>
                <w:b w:val="0"/>
                <w:sz w:val="21"/>
              </w:rPr>
              <w:t>Training method</w:t>
            </w:r>
          </w:p>
        </w:tc>
        <w:tc>
          <w:tcPr>
            <w:tcW w:type="dxa" w:w="7776"/>
            <w:vAlign w:val="center"/>
            <w:shd w:fill="F5F7F9"/>
            <w:tcMar>
              <w:top w:w="95" w:type="dxa"/>
              <w:left w:w="95" w:type="dxa"/>
              <w:bottom w:w="95" w:type="dxa"/>
              <w:right w:w="95" w:type="dxa"/>
            </w:tcMar>
          </w:tcPr>
          <w:p>
            <w:pPr>
              <w:spacing w:after="40" w:line="240" w:lineRule="auto"/>
            </w:pPr>
            <w:r>
              <w:rPr>
                <w:b w:val="0"/>
                <w:sz w:val="21"/>
              </w:rPr>
              <w:t>Supervised fine-tuning using QLoRA with Hugging Face PEFT and TRL. Save the adapter and tokenizer configuration.</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Training environment</w:t>
            </w:r>
          </w:p>
        </w:tc>
        <w:tc>
          <w:tcPr>
            <w:tcW w:type="dxa" w:w="7776"/>
            <w:vAlign w:val="center"/>
            <w:shd w:fill="FFFFFF"/>
            <w:tcMar>
              <w:top w:w="95" w:type="dxa"/>
              <w:left w:w="95" w:type="dxa"/>
              <w:bottom w:w="95" w:type="dxa"/>
              <w:right w:w="95" w:type="dxa"/>
            </w:tcMar>
          </w:tcPr>
          <w:p>
            <w:pPr>
              <w:spacing w:after="40" w:line="240" w:lineRule="auto"/>
            </w:pPr>
            <w:r>
              <w:rPr>
                <w:b w:val="0"/>
                <w:sz w:val="21"/>
              </w:rPr>
              <w:t>A GPU notebook. Begin with short sequences and a small batch; check memory fit before the full run.</w:t>
            </w:r>
          </w:p>
        </w:tc>
      </w:tr>
      <w:tr>
        <w:trPr>
          <w:cantSplit/>
        </w:trPr>
        <w:tc>
          <w:tcPr>
            <w:tcW w:type="dxa" w:w="2160"/>
            <w:vAlign w:val="center"/>
            <w:shd w:fill="F5F7F9"/>
            <w:tcMar>
              <w:top w:w="95" w:type="dxa"/>
              <w:left w:w="95" w:type="dxa"/>
              <w:bottom w:w="95" w:type="dxa"/>
              <w:right w:w="95" w:type="dxa"/>
            </w:tcMar>
          </w:tcPr>
          <w:p>
            <w:pPr>
              <w:spacing w:after="40" w:line="240" w:lineRule="auto"/>
            </w:pPr>
            <w:r>
              <w:rPr>
                <w:b w:val="0"/>
                <w:sz w:val="21"/>
              </w:rPr>
              <w:t>Interface</w:t>
            </w:r>
          </w:p>
        </w:tc>
        <w:tc>
          <w:tcPr>
            <w:tcW w:type="dxa" w:w="7776"/>
            <w:vAlign w:val="center"/>
            <w:shd w:fill="F5F7F9"/>
            <w:tcMar>
              <w:top w:w="95" w:type="dxa"/>
              <w:left w:w="95" w:type="dxa"/>
              <w:bottom w:w="95" w:type="dxa"/>
              <w:right w:w="95" w:type="dxa"/>
            </w:tcMar>
          </w:tcPr>
          <w:p>
            <w:pPr>
              <w:spacing w:after="40" w:line="240" w:lineRule="auto"/>
            </w:pPr>
            <w:r>
              <w:rPr>
                <w:b w:val="0"/>
                <w:sz w:val="21"/>
              </w:rPr>
              <w:t>A small Gradio app that loads the base model and adapter, validates output, and supports editing and export.</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Demo hosting</w:t>
            </w:r>
          </w:p>
        </w:tc>
        <w:tc>
          <w:tcPr>
            <w:tcW w:type="dxa" w:w="7776"/>
            <w:vAlign w:val="center"/>
            <w:shd w:fill="FFFFFF"/>
            <w:tcMar>
              <w:top w:w="95" w:type="dxa"/>
              <w:left w:w="95" w:type="dxa"/>
              <w:bottom w:w="95" w:type="dxa"/>
              <w:right w:w="95" w:type="dxa"/>
            </w:tcMar>
          </w:tcPr>
          <w:p>
            <w:pPr>
              <w:spacing w:after="40" w:line="240" w:lineRule="auto"/>
            </w:pPr>
            <w:r>
              <w:rPr>
                <w:b w:val="0"/>
                <w:sz w:val="21"/>
              </w:rPr>
              <w:t>A compatible app host such as Hugging Face Spaces. Choose CPU or GPU resources after measuring memory use and response latency.</w:t>
            </w:r>
          </w:p>
        </w:tc>
      </w:tr>
    </w:tbl>
    <w:p>
      <w:pPr>
        <w:spacing w:before="120"/>
      </w:pPr>
      <w:r>
        <w:t>QLoRA trains a small set of adapter weights while using a quantized base model to reduce training memory needs. The project does not train an LLM from scratch. Exact GPU requirements and run time depend on sequence length, configuration, and available hardware.</w:t>
      </w:r>
    </w:p>
    <w:p>
      <w:pPr>
        <w:pStyle w:val="Heading1"/>
      </w:pPr>
      <w:r>
        <w:t>Dataset plan</w:t>
      </w:r>
    </w:p>
    <w:p>
      <w:r>
        <w:t>Prepare 400 input and target pairs: 300 for training, 50 for validation, and 50 for the final test. This is a starting experiment, not a guarantee of useful accuracy. Each record contains a raw customer report and a reviewed target ticket in the agreed schema.</w:t>
      </w:r>
    </w:p>
    <w:p>
      <w:pPr>
        <w:pStyle w:val="ListBullet"/>
        <w:spacing w:after="80"/>
      </w:pPr>
      <w:r>
        <w:t>Define the product vocabulary, output schema, and labeling rules before drafting examples.</w:t>
      </w:r>
    </w:p>
    <w:p>
      <w:pPr>
        <w:pStyle w:val="ListBullet"/>
        <w:spacing w:after="80"/>
      </w:pPr>
      <w:r>
        <w:t>Use AI to help draft synthetic reports and targets, then manually review the labels, facts, and unknown fields. Budget time for this review.</w:t>
      </w:r>
    </w:p>
    <w:p>
      <w:pPr>
        <w:pStyle w:val="ListBullet"/>
        <w:spacing w:after="80"/>
      </w:pPr>
      <w:r>
        <w:t>Cover all four product areas, ambiguous reports, incomplete environments, conflicting details, and requests containing irrelevant instructions.</w:t>
      </w:r>
    </w:p>
    <w:p>
      <w:pPr>
        <w:pStyle w:val="ListBullet"/>
        <w:spacing w:after="80"/>
      </w:pPr>
      <w:r>
        <w:t>Keep all paraphrases of the same underlying incident in one split. Include independently authored test reports to reduce template-driven evaluation bias.</w:t>
      </w:r>
    </w:p>
    <w:p>
      <w:pPr>
        <w:pStyle w:val="ListBullet"/>
        <w:spacing w:after="80"/>
      </w:pPr>
      <w:r>
        <w:t>Keep test targets out of training and prompt development. Use validation results to choose settings, then run the final comparison once the settings are fixed.</w:t>
      </w:r>
    </w:p>
    <w:p>
      <w:pPr>
        <w:pStyle w:val="Heading1"/>
      </w:pPr>
      <w:r>
        <w:t>Training and output schema</w:t>
      </w:r>
    </w:p>
    <w:p>
      <w:r>
        <w:t>Use a consistent chat template with the report as input and the target JSON ticket as the supervised answer. Mask the input tokens when calculating the answer loss. Start with one modest training run and inspect validation outputs before considering additional experiments.</w:t>
      </w:r>
    </w:p>
    <w:p>
      <w:r>
        <w:t>The schema contains title, product_area, product_area_evidence, actual_behavior, expected_behavior, expected_behavior_basis, reported_environment, reported_steps, missing_information, and follow_up_questions. Allow unknown factual values explicitly. Validate JSON and permitted values in code; adapter training alone does not guarantee valid output.</w:t>
      </w:r>
    </w:p>
    <w:p>
      <w:pPr>
        <w:pStyle w:val="Heading1"/>
        <w:pageBreakBefore/>
      </w:pPr>
      <w:r>
        <w:t>Evaluation and acceptance</w:t>
      </w:r>
    </w:p>
    <w:p>
      <w:r>
        <w:t>Compare the fine-tuned model with the same base model using a strong prompt and a few examples drawn only from the training set. Use the same test reports, available product definitions, decoding settings, and output validator. Review outputs without model labels where practical.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E7EDF3"/>
            <w:tcMar>
              <w:top w:w="95" w:type="dxa"/>
              <w:left w:w="95" w:type="dxa"/>
              <w:bottom w:w="95" w:type="dxa"/>
              <w:right w:w="95" w:type="dxa"/>
            </w:tcMar>
          </w:tcPr>
          <w:p>
            <w:pPr>
              <w:spacing w:after="40" w:line="240" w:lineRule="auto"/>
            </w:pPr>
            <w:r>
              <w:rPr>
                <w:b/>
                <w:sz w:val="21"/>
              </w:rPr>
              <w:t>Measure</w:t>
            </w:r>
          </w:p>
        </w:tc>
        <w:tc>
          <w:tcPr>
            <w:tcW w:type="dxa" w:w="7776"/>
            <w:vAlign w:val="center"/>
            <w:shd w:fill="E7EDF3"/>
            <w:tcMar>
              <w:top w:w="95" w:type="dxa"/>
              <w:left w:w="95" w:type="dxa"/>
              <w:bottom w:w="95" w:type="dxa"/>
              <w:right w:w="95" w:type="dxa"/>
            </w:tcMar>
          </w:tcPr>
          <w:p>
            <w:pPr>
              <w:spacing w:after="40" w:line="240" w:lineRule="auto"/>
            </w:pPr>
            <w:r>
              <w:rPr>
                <w:b/>
                <w:sz w:val="21"/>
              </w:rPr>
              <w:t>How to assess it</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Product-area accuracy</w:t>
            </w:r>
          </w:p>
        </w:tc>
        <w:tc>
          <w:tcPr>
            <w:tcW w:type="dxa" w:w="7776"/>
            <w:vAlign w:val="center"/>
            <w:shd w:fill="FFFFFF"/>
            <w:tcMar>
              <w:top w:w="95" w:type="dxa"/>
              <w:left w:w="95" w:type="dxa"/>
              <w:bottom w:w="95" w:type="dxa"/>
              <w:right w:w="95" w:type="dxa"/>
            </w:tcMar>
          </w:tcPr>
          <w:p>
            <w:pPr>
              <w:spacing w:after="40" w:line="240" w:lineRule="auto"/>
            </w:pPr>
            <w:r>
              <w:rPr>
                <w:b w:val="0"/>
                <w:sz w:val="21"/>
              </w:rPr>
              <w:t>Compare the suggested area with the reviewed test label, including Unknown cases.</w:t>
            </w:r>
          </w:p>
        </w:tc>
      </w:tr>
      <w:tr>
        <w:trPr>
          <w:cantSplit/>
        </w:trPr>
        <w:tc>
          <w:tcPr>
            <w:tcW w:type="dxa" w:w="2160"/>
            <w:vAlign w:val="center"/>
            <w:shd w:fill="F5F7F9"/>
            <w:tcMar>
              <w:top w:w="95" w:type="dxa"/>
              <w:left w:w="95" w:type="dxa"/>
              <w:bottom w:w="95" w:type="dxa"/>
              <w:right w:w="95" w:type="dxa"/>
            </w:tcMar>
          </w:tcPr>
          <w:p>
            <w:pPr>
              <w:spacing w:after="40" w:line="240" w:lineRule="auto"/>
            </w:pPr>
            <w:r>
              <w:rPr>
                <w:b w:val="0"/>
                <w:sz w:val="21"/>
              </w:rPr>
              <w:t>Factual fidelity</w:t>
            </w:r>
          </w:p>
        </w:tc>
        <w:tc>
          <w:tcPr>
            <w:tcW w:type="dxa" w:w="7776"/>
            <w:vAlign w:val="center"/>
            <w:shd w:fill="F5F7F9"/>
            <w:tcMar>
              <w:top w:w="95" w:type="dxa"/>
              <w:left w:w="95" w:type="dxa"/>
              <w:bottom w:w="95" w:type="dxa"/>
              <w:right w:w="95" w:type="dxa"/>
            </w:tcMar>
          </w:tcPr>
          <w:p>
            <w:pPr>
              <w:spacing w:after="40" w:line="240" w:lineRule="auto"/>
            </w:pPr>
            <w:r>
              <w:rPr>
                <w:b w:val="0"/>
                <w:sz w:val="21"/>
              </w:rPr>
              <w:t>Count tickets containing any unsupported factual claim or contradiction of the report.</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Field coverage</w:t>
            </w:r>
          </w:p>
        </w:tc>
        <w:tc>
          <w:tcPr>
            <w:tcW w:type="dxa" w:w="7776"/>
            <w:vAlign w:val="center"/>
            <w:shd w:fill="FFFFFF"/>
            <w:tcMar>
              <w:top w:w="95" w:type="dxa"/>
              <w:left w:w="95" w:type="dxa"/>
              <w:bottom w:w="95" w:type="dxa"/>
              <w:right w:w="95" w:type="dxa"/>
            </w:tcMar>
          </w:tcPr>
          <w:p>
            <w:pPr>
              <w:spacing w:after="40" w:line="240" w:lineRule="auto"/>
            </w:pPr>
            <w:r>
              <w:rPr>
                <w:b w:val="0"/>
                <w:sz w:val="21"/>
              </w:rPr>
              <w:t>Check whether relevant facts in the source appear in the correct ticket fields.</w:t>
            </w:r>
          </w:p>
        </w:tc>
      </w:tr>
      <w:tr>
        <w:trPr>
          <w:cantSplit/>
        </w:trPr>
        <w:tc>
          <w:tcPr>
            <w:tcW w:type="dxa" w:w="2160"/>
            <w:vAlign w:val="center"/>
            <w:shd w:fill="F5F7F9"/>
            <w:tcMar>
              <w:top w:w="95" w:type="dxa"/>
              <w:left w:w="95" w:type="dxa"/>
              <w:bottom w:w="95" w:type="dxa"/>
              <w:right w:w="95" w:type="dxa"/>
            </w:tcMar>
          </w:tcPr>
          <w:p>
            <w:pPr>
              <w:spacing w:after="40" w:line="240" w:lineRule="auto"/>
            </w:pPr>
            <w:r>
              <w:rPr>
                <w:b w:val="0"/>
                <w:sz w:val="21"/>
              </w:rPr>
              <w:t>Question usefulness</w:t>
            </w:r>
          </w:p>
        </w:tc>
        <w:tc>
          <w:tcPr>
            <w:tcW w:type="dxa" w:w="7776"/>
            <w:vAlign w:val="center"/>
            <w:shd w:fill="F5F7F9"/>
            <w:tcMar>
              <w:top w:w="95" w:type="dxa"/>
              <w:left w:w="95" w:type="dxa"/>
              <w:bottom w:w="95" w:type="dxa"/>
              <w:right w:w="95" w:type="dxa"/>
            </w:tcMar>
          </w:tcPr>
          <w:p>
            <w:pPr>
              <w:spacing w:after="40" w:line="240" w:lineRule="auto"/>
            </w:pPr>
            <w:r>
              <w:rPr>
                <w:b w:val="0"/>
                <w:sz w:val="21"/>
              </w:rPr>
              <w:t>Review whether questions address important missing details without asking for information already supplied.</w:t>
            </w:r>
          </w:p>
        </w:tc>
      </w:tr>
      <w:tr>
        <w:trPr>
          <w:cantSplit/>
        </w:trPr>
        <w:tc>
          <w:tcPr>
            <w:tcW w:type="dxa" w:w="2160"/>
            <w:vAlign w:val="center"/>
            <w:shd w:fill="FFFFFF"/>
            <w:tcMar>
              <w:top w:w="95" w:type="dxa"/>
              <w:left w:w="95" w:type="dxa"/>
              <w:bottom w:w="95" w:type="dxa"/>
              <w:right w:w="95" w:type="dxa"/>
            </w:tcMar>
          </w:tcPr>
          <w:p>
            <w:pPr>
              <w:spacing w:after="40" w:line="240" w:lineRule="auto"/>
            </w:pPr>
            <w:r>
              <w:rPr>
                <w:b w:val="0"/>
                <w:sz w:val="21"/>
              </w:rPr>
              <w:t>Usability</w:t>
            </w:r>
          </w:p>
        </w:tc>
        <w:tc>
          <w:tcPr>
            <w:tcW w:type="dxa" w:w="7776"/>
            <w:vAlign w:val="center"/>
            <w:shd w:fill="FFFFFF"/>
            <w:tcMar>
              <w:top w:w="95" w:type="dxa"/>
              <w:left w:w="95" w:type="dxa"/>
              <w:bottom w:w="95" w:type="dxa"/>
              <w:right w:w="95" w:type="dxa"/>
            </w:tcMar>
          </w:tcPr>
          <w:p>
            <w:pPr>
              <w:spacing w:after="40" w:line="240" w:lineRule="auto"/>
            </w:pPr>
            <w:r>
              <w:rPr>
                <w:b w:val="0"/>
                <w:sz w:val="21"/>
              </w:rPr>
              <w:t>Measure valid JSON rate, reviewer edits or editing time, and response latency.</w:t>
            </w:r>
          </w:p>
        </w:tc>
      </w:tr>
    </w:tbl>
    <w:p>
      <w:pPr>
        <w:spacing w:before="120"/>
      </w:pPr>
      <w:r>
        <w:t>The adapter must reload, the app must run independently of the notebook, unknown values must be supported, and malformed responses must produce a clear error. Assess whether fine-tuning improves area accuracy or reviewer effort without increasing unsupported claims. Report mixed or negative results honestly; this small test cannot establish production reliability.</w:t>
      </w:r>
    </w:p>
    <w:p>
      <w:pPr>
        <w:pStyle w:val="Heading1"/>
      </w:pPr>
      <w:r>
        <w:t>Two day implementation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000"/>
      </w:tblGrid>
      <w:tr>
        <w:trPr>
          <w:cantSplit/>
          <w:tblHeader/>
        </w:trPr>
        <w:tc>
          <w:tcPr>
            <w:tcW w:type="dxa" w:w="936"/>
            <w:vAlign w:val="center"/>
            <w:shd w:fill="E7EDF3"/>
            <w:tcMar>
              <w:top w:w="95" w:type="dxa"/>
              <w:left w:w="95" w:type="dxa"/>
              <w:bottom w:w="95" w:type="dxa"/>
              <w:right w:w="95" w:type="dxa"/>
            </w:tcMar>
          </w:tcPr>
          <w:p>
            <w:pPr>
              <w:spacing w:after="40" w:line="240" w:lineRule="auto"/>
            </w:pPr>
            <w:r>
              <w:rPr>
                <w:b/>
                <w:sz w:val="21"/>
              </w:rPr>
              <w:t>Day</w:t>
            </w:r>
          </w:p>
        </w:tc>
        <w:tc>
          <w:tcPr>
            <w:tcW w:type="dxa" w:w="9000"/>
            <w:vAlign w:val="center"/>
            <w:shd w:fill="E7EDF3"/>
            <w:tcMar>
              <w:top w:w="95" w:type="dxa"/>
              <w:left w:w="95" w:type="dxa"/>
              <w:bottom w:w="95" w:type="dxa"/>
              <w:right w:w="95" w:type="dxa"/>
            </w:tcMar>
          </w:tcPr>
          <w:p>
            <w:pPr>
              <w:spacing w:after="40" w:line="240" w:lineRule="auto"/>
            </w:pPr>
            <w:r>
              <w:rPr>
                <w:b/>
                <w:sz w:val="21"/>
              </w:rPr>
              <w:t>Work and completion evidence</w:t>
            </w:r>
          </w:p>
        </w:tc>
      </w:tr>
      <w:tr>
        <w:trPr>
          <w:cantSplit/>
        </w:trPr>
        <w:tc>
          <w:tcPr>
            <w:tcW w:type="dxa" w:w="936"/>
            <w:vAlign w:val="center"/>
            <w:shd w:fill="FFFFFF"/>
            <w:tcMar>
              <w:top w:w="95" w:type="dxa"/>
              <w:left w:w="95" w:type="dxa"/>
              <w:bottom w:w="95" w:type="dxa"/>
              <w:right w:w="95" w:type="dxa"/>
            </w:tcMar>
          </w:tcPr>
          <w:p>
            <w:pPr>
              <w:spacing w:after="40" w:line="240" w:lineRule="auto"/>
            </w:pPr>
            <w:r>
              <w:rPr>
                <w:b w:val="0"/>
                <w:sz w:val="21"/>
              </w:rPr>
              <w:t>Day 1</w:t>
            </w:r>
          </w:p>
        </w:tc>
        <w:tc>
          <w:tcPr>
            <w:tcW w:type="dxa" w:w="9000"/>
            <w:vAlign w:val="center"/>
            <w:shd w:fill="FFFFFF"/>
            <w:tcMar>
              <w:top w:w="95" w:type="dxa"/>
              <w:left w:w="95" w:type="dxa"/>
              <w:bottom w:w="95" w:type="dxa"/>
              <w:right w:w="95" w:type="dxa"/>
            </w:tcMar>
          </w:tcPr>
          <w:p>
            <w:pPr>
              <w:spacing w:after="40" w:line="240" w:lineRule="auto"/>
            </w:pPr>
            <w:r>
              <w:rPr>
                <w:b w:val="0"/>
                <w:sz w:val="21"/>
              </w:rPr>
              <w:t>Define the schema and fictional product, prepare and review examples, create the data splits, test the prompted baseline, and train one adapter. Confirm that it reloads for inference.</w:t>
            </w:r>
          </w:p>
        </w:tc>
      </w:tr>
      <w:tr>
        <w:trPr>
          <w:cantSplit/>
        </w:trPr>
        <w:tc>
          <w:tcPr>
            <w:tcW w:type="dxa" w:w="936"/>
            <w:vAlign w:val="center"/>
            <w:shd w:fill="F5F7F9"/>
            <w:tcMar>
              <w:top w:w="95" w:type="dxa"/>
              <w:left w:w="95" w:type="dxa"/>
              <w:bottom w:w="95" w:type="dxa"/>
              <w:right w:w="95" w:type="dxa"/>
            </w:tcMar>
          </w:tcPr>
          <w:p>
            <w:pPr>
              <w:spacing w:after="40" w:line="240" w:lineRule="auto"/>
            </w:pPr>
            <w:r>
              <w:rPr>
                <w:b w:val="0"/>
                <w:sz w:val="21"/>
              </w:rPr>
              <w:t>Day 2</w:t>
            </w:r>
          </w:p>
        </w:tc>
        <w:tc>
          <w:tcPr>
            <w:tcW w:type="dxa" w:w="9000"/>
            <w:vAlign w:val="center"/>
            <w:shd w:fill="F5F7F9"/>
            <w:tcMar>
              <w:top w:w="95" w:type="dxa"/>
              <w:left w:w="95" w:type="dxa"/>
              <w:bottom w:w="95" w:type="dxa"/>
              <w:right w:w="95" w:type="dxa"/>
            </w:tcMar>
          </w:tcPr>
          <w:p>
            <w:pPr>
              <w:spacing w:after="40" w:line="240" w:lineRule="auto"/>
            </w:pPr>
            <w:r>
              <w:rPr>
                <w:b w:val="0"/>
                <w:sz w:val="21"/>
              </w:rPr>
              <w:t>Evaluate both versions, inspect errors, build the editable interface and JSON export, measure inference resource needs, and deploy the synthetic demo. Write setup instructions and record limitations.</w:t>
            </w:r>
          </w:p>
        </w:tc>
      </w:tr>
    </w:tbl>
    <w:p>
      <w:pPr>
        <w:spacing w:before="120"/>
      </w:pPr>
      <w:r>
        <w:t>The estimate assumes GPU access, familiarity with Python, AI coding assistance, and a simple demo. Dataset review or deployment issues may extend it. A real company pilot needs authorized, de-identified reports and a separate review of its data handling and access requirements.</w:t>
      </w:r>
    </w:p>
    <w:p>
      <w:pPr>
        <w:pStyle w:val="Heading1"/>
      </w:pPr>
      <w:r>
        <w:t>Deliverables and next steps</w:t>
      </w:r>
    </w:p>
    <w:p>
      <w:r>
        <w:t>Deliverables are the product and labeling guide, JSONL dataset splits, training notebook, saved adapter, inference code, evaluation results, and deployed app with setup instructions. The app should load the model once, limit input and output length, and avoid retaining submitted text by default.</w:t>
      </w:r>
    </w:p>
    <w:p>
      <w:r>
        <w:t>After the experiment, possible extensions include company-approved real reports, a larger reviewed dataset, and a Jira draft integration. Broader use should follow evidence that the model helps reviewers and handles missing information reliably.</w:t>
      </w:r>
    </w:p>
    <w:p>
      <w:pPr>
        <w:pStyle w:val="Heading1"/>
      </w:pPr>
      <w:r>
        <w:t>Technical references</w:t>
      </w:r>
    </w:p>
    <w:p>
      <w:pPr>
        <w:spacing w:after="60"/>
      </w:pPr>
      <w:r>
        <w:rPr>
          <w:sz w:val="18"/>
        </w:rPr>
        <w:t>Qwen model card: https://huggingface.co/Qwen/Qwen2.5-1.5B-Instruct</w:t>
      </w:r>
    </w:p>
    <w:p>
      <w:pPr>
        <w:spacing w:after="60"/>
      </w:pPr>
      <w:r>
        <w:rPr>
          <w:sz w:val="18"/>
        </w:rPr>
        <w:t>PEFT quantization and QLoRA: https://huggingface.co/docs/peft/developer_guides/quantization</w:t>
      </w:r>
    </w:p>
    <w:p>
      <w:pPr>
        <w:spacing w:after="60"/>
      </w:pPr>
      <w:r>
        <w:rPr>
          <w:sz w:val="18"/>
        </w:rPr>
        <w:t>TRL supervised fine-tuning: https://huggingface.co/docs/trl/sft_trainer</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BugBrief Project Description</dc:title>
  <dc:subject>Fine tuning an LLM for customer bug report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