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342B" w14:textId="77777777" w:rsidR="00515549" w:rsidRPr="00625FCC" w:rsidRDefault="00515549" w:rsidP="005B3006">
      <w:pPr>
        <w:spacing w:line="276" w:lineRule="auto"/>
        <w:jc w:val="center"/>
        <w:rPr>
          <w:b/>
          <w:bCs/>
        </w:rPr>
      </w:pPr>
    </w:p>
    <w:p w14:paraId="003281A6" w14:textId="5B08F4BD" w:rsidR="007F7243" w:rsidRPr="00625FCC" w:rsidRDefault="00B06FCD" w:rsidP="005B3006">
      <w:pPr>
        <w:spacing w:line="276" w:lineRule="auto"/>
        <w:jc w:val="center"/>
        <w:rPr>
          <w:b/>
          <w:bCs/>
        </w:rPr>
      </w:pPr>
      <w:r w:rsidRPr="00625FCC">
        <w:rPr>
          <w:b/>
          <w:bCs/>
        </w:rPr>
        <w:t xml:space="preserve">Inter-Market Dynamics: Predicting </w:t>
      </w:r>
      <w:r w:rsidR="003F5C65" w:rsidRPr="00625FCC">
        <w:rPr>
          <w:b/>
          <w:bCs/>
        </w:rPr>
        <w:t>Movement</w:t>
      </w:r>
      <w:r w:rsidR="00996946" w:rsidRPr="00625FCC">
        <w:rPr>
          <w:b/>
          <w:bCs/>
        </w:rPr>
        <w:t xml:space="preserve"> in </w:t>
      </w:r>
      <w:r w:rsidRPr="00625FCC">
        <w:rPr>
          <w:b/>
          <w:bCs/>
        </w:rPr>
        <w:t>the U.S. Dollar Index Based on Gold, Crude Oil, and Bitcoin Trends</w:t>
      </w:r>
    </w:p>
    <w:p w14:paraId="413A469A" w14:textId="77777777" w:rsidR="00515549" w:rsidRPr="00625FCC" w:rsidRDefault="00515549" w:rsidP="005B3006">
      <w:pPr>
        <w:spacing w:line="276" w:lineRule="auto"/>
        <w:jc w:val="center"/>
        <w:rPr>
          <w:b/>
          <w:bCs/>
        </w:rPr>
      </w:pPr>
    </w:p>
    <w:p w14:paraId="2CABE34A" w14:textId="37FC55A4" w:rsidR="005B28FB" w:rsidRPr="00625FCC" w:rsidRDefault="005B28FB" w:rsidP="005B3006">
      <w:pPr>
        <w:spacing w:line="276" w:lineRule="auto"/>
        <w:jc w:val="center"/>
        <w:rPr>
          <w:b/>
          <w:bCs/>
        </w:rPr>
      </w:pPr>
      <w:r w:rsidRPr="00625FCC">
        <w:rPr>
          <w:noProof/>
        </w:rPr>
        <w:drawing>
          <wp:inline distT="0" distB="0" distL="0" distR="0" wp14:anchorId="4F8F542A" wp14:editId="58B9AD21">
            <wp:extent cx="6103620" cy="3218095"/>
            <wp:effectExtent l="0" t="0" r="0" b="1905"/>
            <wp:docPr id="2052" name="Picture 4" descr="Best Practices for Portfolio Management in Volatile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62EB8E81-6100-2464-9E0C-AE4FB0846197}"/>
                        </a:ext>
                      </a:extLst>
                    </a:blip>
                    <a:srcRect t="11313" b="11161"/>
                    <a:stretch>
                      <a:fillRect/>
                    </a:stretch>
                  </pic:blipFill>
                  <pic:spPr>
                    <a:xfrm>
                      <a:off x="0" y="0"/>
                      <a:ext cx="6103620" cy="3218095"/>
                    </a:xfrm>
                    <a:prstGeom prst="rect">
                      <a:avLst/>
                    </a:prstGeom>
                  </pic:spPr>
                </pic:pic>
              </a:graphicData>
            </a:graphic>
          </wp:inline>
        </w:drawing>
      </w:r>
    </w:p>
    <w:p w14:paraId="407C3AB9" w14:textId="77777777" w:rsidR="00515549" w:rsidRPr="00625FCC" w:rsidRDefault="00515549" w:rsidP="005B3006">
      <w:pPr>
        <w:spacing w:line="276" w:lineRule="auto"/>
        <w:jc w:val="center"/>
        <w:rPr>
          <w:rFonts w:cs="Arial"/>
          <w:b/>
          <w:bCs/>
        </w:rPr>
      </w:pPr>
    </w:p>
    <w:p w14:paraId="5837980C" w14:textId="3EDEC1C4" w:rsidR="005132F9" w:rsidRPr="00625FCC" w:rsidRDefault="00740C73" w:rsidP="005B3006">
      <w:pPr>
        <w:spacing w:line="276" w:lineRule="auto"/>
        <w:jc w:val="center"/>
        <w:rPr>
          <w:rFonts w:cs="Arial"/>
          <w:b/>
          <w:bCs/>
        </w:rPr>
      </w:pPr>
      <w:r w:rsidRPr="00625FCC">
        <w:rPr>
          <w:rFonts w:cs="Arial"/>
          <w:b/>
          <w:bCs/>
        </w:rPr>
        <w:t xml:space="preserve">Date: </w:t>
      </w:r>
      <w:r w:rsidR="005132F9" w:rsidRPr="00625FCC">
        <w:rPr>
          <w:rFonts w:cs="Arial"/>
          <w:b/>
          <w:bCs/>
        </w:rPr>
        <w:t>10</w:t>
      </w:r>
      <w:r w:rsidR="005132F9" w:rsidRPr="00625FCC">
        <w:rPr>
          <w:rFonts w:cs="Arial"/>
          <w:b/>
          <w:bCs/>
          <w:vertAlign w:val="superscript"/>
        </w:rPr>
        <w:t>th</w:t>
      </w:r>
      <w:r w:rsidR="005132F9" w:rsidRPr="00625FCC">
        <w:rPr>
          <w:rFonts w:cs="Arial"/>
          <w:b/>
          <w:bCs/>
        </w:rPr>
        <w:t xml:space="preserve"> December 2024</w:t>
      </w:r>
    </w:p>
    <w:p w14:paraId="44A7719B" w14:textId="214790BC" w:rsidR="00BF3011" w:rsidRPr="00625FCC" w:rsidRDefault="00BF3011" w:rsidP="005B3006">
      <w:pPr>
        <w:spacing w:line="276" w:lineRule="auto"/>
        <w:jc w:val="center"/>
        <w:rPr>
          <w:rFonts w:cs="Arial"/>
          <w:b/>
          <w:bCs/>
        </w:rPr>
      </w:pPr>
      <w:r w:rsidRPr="00625FCC">
        <w:rPr>
          <w:rFonts w:cs="Arial"/>
          <w:b/>
          <w:bCs/>
        </w:rPr>
        <w:t>Team</w:t>
      </w:r>
    </w:p>
    <w:p w14:paraId="7301D50D" w14:textId="416076CB" w:rsidR="00BF3011" w:rsidRPr="00625FCC" w:rsidRDefault="00BF3011" w:rsidP="005B3006">
      <w:pPr>
        <w:spacing w:line="276" w:lineRule="auto"/>
        <w:jc w:val="center"/>
        <w:rPr>
          <w:rFonts w:cs="Arial"/>
        </w:rPr>
      </w:pPr>
      <w:r w:rsidRPr="00625FCC">
        <w:rPr>
          <w:rFonts w:cs="Arial"/>
        </w:rPr>
        <w:t>Appiah-Kubi Racheal</w:t>
      </w:r>
      <w:r w:rsidR="007938A7" w:rsidRPr="00625FCC">
        <w:rPr>
          <w:rFonts w:cs="Arial"/>
        </w:rPr>
        <w:t xml:space="preserve"> (A20500031)</w:t>
      </w:r>
    </w:p>
    <w:p w14:paraId="49302633" w14:textId="19E9ECA0" w:rsidR="00BF3011" w:rsidRPr="00625FCC" w:rsidRDefault="00517DFA" w:rsidP="005B3006">
      <w:pPr>
        <w:spacing w:line="276" w:lineRule="auto"/>
        <w:jc w:val="center"/>
        <w:rPr>
          <w:rFonts w:cs="Arial"/>
        </w:rPr>
      </w:pPr>
      <w:r w:rsidRPr="00625FCC">
        <w:rPr>
          <w:rFonts w:cs="Arial"/>
        </w:rPr>
        <w:t>Domi</w:t>
      </w:r>
      <w:r w:rsidR="00AD4AA4" w:rsidRPr="00625FCC">
        <w:rPr>
          <w:rFonts w:cs="Arial"/>
        </w:rPr>
        <w:t>nguez</w:t>
      </w:r>
      <w:r w:rsidR="00BA3F6E" w:rsidRPr="00625FCC">
        <w:rPr>
          <w:rFonts w:cs="Arial"/>
        </w:rPr>
        <w:t xml:space="preserve"> </w:t>
      </w:r>
      <w:proofErr w:type="spellStart"/>
      <w:r w:rsidR="00BA3F6E" w:rsidRPr="00625FCC">
        <w:rPr>
          <w:rFonts w:cs="Arial"/>
        </w:rPr>
        <w:t>Faraco</w:t>
      </w:r>
      <w:proofErr w:type="spellEnd"/>
      <w:r w:rsidR="00BA3F6E" w:rsidRPr="00625FCC">
        <w:rPr>
          <w:rFonts w:cs="Arial"/>
        </w:rPr>
        <w:t xml:space="preserve"> Alfredo</w:t>
      </w:r>
    </w:p>
    <w:p w14:paraId="0C4F84FD" w14:textId="2CE01FDB" w:rsidR="00BA3F6E" w:rsidRPr="00625FCC" w:rsidRDefault="004F4111" w:rsidP="005B3006">
      <w:pPr>
        <w:spacing w:line="276" w:lineRule="auto"/>
        <w:jc w:val="center"/>
        <w:rPr>
          <w:rFonts w:cs="Arial"/>
        </w:rPr>
      </w:pPr>
      <w:r w:rsidRPr="00625FCC">
        <w:rPr>
          <w:rFonts w:cs="Arial"/>
        </w:rPr>
        <w:t>Hemmati Hamed</w:t>
      </w:r>
      <w:r w:rsidR="66855505" w:rsidRPr="00625FCC">
        <w:rPr>
          <w:rFonts w:cs="Arial"/>
        </w:rPr>
        <w:t xml:space="preserve"> (A20460732)</w:t>
      </w:r>
    </w:p>
    <w:p w14:paraId="00894B4F" w14:textId="0999290C" w:rsidR="004F4111" w:rsidRPr="00625FCC" w:rsidRDefault="004F4111" w:rsidP="005B3006">
      <w:pPr>
        <w:spacing w:line="276" w:lineRule="auto"/>
        <w:jc w:val="center"/>
        <w:rPr>
          <w:rFonts w:cs="Arial"/>
        </w:rPr>
      </w:pPr>
      <w:r w:rsidRPr="00625FCC">
        <w:rPr>
          <w:rFonts w:cs="Arial"/>
        </w:rPr>
        <w:t>Ho</w:t>
      </w:r>
      <w:r w:rsidR="001B6CF1" w:rsidRPr="00625FCC">
        <w:rPr>
          <w:rFonts w:cs="Arial"/>
        </w:rPr>
        <w:t xml:space="preserve">sseini </w:t>
      </w:r>
      <w:proofErr w:type="spellStart"/>
      <w:r w:rsidR="001B6CF1" w:rsidRPr="00625FCC">
        <w:rPr>
          <w:rFonts w:cs="Arial"/>
        </w:rPr>
        <w:t>Mahla</w:t>
      </w:r>
      <w:proofErr w:type="spellEnd"/>
      <w:r w:rsidR="27534B25" w:rsidRPr="00625FCC">
        <w:rPr>
          <w:rFonts w:cs="Arial"/>
        </w:rPr>
        <w:t xml:space="preserve"> </w:t>
      </w:r>
      <w:r w:rsidR="4353C546" w:rsidRPr="00625FCC">
        <w:rPr>
          <w:rFonts w:cs="Arial"/>
        </w:rPr>
        <w:t>(</w:t>
      </w:r>
      <w:r w:rsidR="1FF5B5B5" w:rsidRPr="00625FCC">
        <w:rPr>
          <w:rFonts w:cs="Arial"/>
        </w:rPr>
        <w:t>A20499084</w:t>
      </w:r>
      <w:r w:rsidR="4353C546" w:rsidRPr="00625FCC">
        <w:rPr>
          <w:rFonts w:cs="Arial"/>
        </w:rPr>
        <w:t>)</w:t>
      </w:r>
    </w:p>
    <w:p w14:paraId="2AD8821D" w14:textId="311896A8" w:rsidR="00996946" w:rsidRPr="00625FCC" w:rsidRDefault="00996946" w:rsidP="005B3006">
      <w:pPr>
        <w:spacing w:line="276" w:lineRule="auto"/>
        <w:jc w:val="center"/>
        <w:rPr>
          <w:rFonts w:cs="Arial"/>
          <w:b/>
          <w:bCs/>
        </w:rPr>
      </w:pPr>
    </w:p>
    <w:p w14:paraId="11992216" w14:textId="77777777" w:rsidR="001049F8" w:rsidRPr="00625FCC" w:rsidRDefault="001049F8" w:rsidP="005B3006">
      <w:pPr>
        <w:spacing w:line="276" w:lineRule="auto"/>
        <w:rPr>
          <w:rFonts w:cs="Arial"/>
          <w:b/>
          <w:bCs/>
        </w:rPr>
      </w:pPr>
    </w:p>
    <w:p w14:paraId="25AFA542" w14:textId="77777777" w:rsidR="003B6B45" w:rsidRDefault="003B6B45" w:rsidP="005B3006">
      <w:pPr>
        <w:spacing w:line="276" w:lineRule="auto"/>
        <w:rPr>
          <w:rFonts w:cs="Arial"/>
          <w:b/>
          <w:bCs/>
        </w:rPr>
      </w:pPr>
    </w:p>
    <w:p w14:paraId="6C616660" w14:textId="77777777" w:rsidR="003B6B45" w:rsidRPr="00625FCC" w:rsidRDefault="003B6B45" w:rsidP="005B3006">
      <w:pPr>
        <w:spacing w:line="276" w:lineRule="auto"/>
        <w:rPr>
          <w:rFonts w:cs="Arial"/>
          <w:b/>
          <w:bCs/>
        </w:rPr>
      </w:pPr>
    </w:p>
    <w:sdt>
      <w:sdtPr>
        <w:id w:val="-1433585562"/>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5E080955" w14:textId="07013B26" w:rsidR="00AD6B29" w:rsidRDefault="00AD6B29" w:rsidP="005B3006">
          <w:pPr>
            <w:pStyle w:val="TOCHeading"/>
            <w:spacing w:line="276" w:lineRule="auto"/>
          </w:pPr>
          <w:r>
            <w:t>Contents</w:t>
          </w:r>
        </w:p>
        <w:bookmarkStart w:id="0" w:name="_Toc183953123"/>
        <w:p w14:paraId="3178CF09" w14:textId="1EC89928" w:rsidR="00B975B8" w:rsidRDefault="0013078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981940" w:history="1">
            <w:r w:rsidR="00B975B8" w:rsidRPr="00583FF6">
              <w:rPr>
                <w:rStyle w:val="Hyperlink"/>
                <w:b/>
                <w:bCs/>
                <w:noProof/>
                <w:color w:val="5592A3" w:themeColor="hyperlink" w:themeTint="D9"/>
              </w:rPr>
              <w:t>ABSTRACT</w:t>
            </w:r>
            <w:r w:rsidR="00B975B8">
              <w:rPr>
                <w:noProof/>
                <w:webHidden/>
              </w:rPr>
              <w:tab/>
            </w:r>
            <w:r w:rsidR="00B975B8">
              <w:rPr>
                <w:noProof/>
                <w:webHidden/>
              </w:rPr>
              <w:fldChar w:fldCharType="begin"/>
            </w:r>
            <w:r w:rsidR="00B975B8">
              <w:rPr>
                <w:noProof/>
                <w:webHidden/>
              </w:rPr>
              <w:instrText xml:space="preserve"> PAGEREF _Toc183981940 \h </w:instrText>
            </w:r>
            <w:r w:rsidR="00B975B8">
              <w:rPr>
                <w:noProof/>
                <w:webHidden/>
              </w:rPr>
            </w:r>
            <w:r w:rsidR="00B975B8">
              <w:rPr>
                <w:noProof/>
                <w:webHidden/>
              </w:rPr>
              <w:fldChar w:fldCharType="separate"/>
            </w:r>
            <w:r w:rsidR="00B975B8">
              <w:rPr>
                <w:noProof/>
                <w:webHidden/>
              </w:rPr>
              <w:t>3</w:t>
            </w:r>
            <w:r w:rsidR="00B975B8">
              <w:rPr>
                <w:noProof/>
                <w:webHidden/>
              </w:rPr>
              <w:fldChar w:fldCharType="end"/>
            </w:r>
          </w:hyperlink>
        </w:p>
        <w:p w14:paraId="02AB613E" w14:textId="0F264897" w:rsidR="00B975B8" w:rsidRDefault="00B975B8">
          <w:pPr>
            <w:pStyle w:val="TOC1"/>
            <w:tabs>
              <w:tab w:val="right" w:leader="dot" w:pos="9350"/>
            </w:tabs>
            <w:rPr>
              <w:rFonts w:eastAsiaTheme="minorEastAsia"/>
              <w:noProof/>
            </w:rPr>
          </w:pPr>
          <w:hyperlink w:anchor="_Toc183981941" w:history="1">
            <w:r w:rsidRPr="00583FF6">
              <w:rPr>
                <w:rStyle w:val="Hyperlink"/>
                <w:b/>
                <w:bCs/>
                <w:noProof/>
                <w:color w:val="5592A3" w:themeColor="hyperlink" w:themeTint="D9"/>
              </w:rPr>
              <w:t>INTRODUCTION</w:t>
            </w:r>
            <w:r>
              <w:rPr>
                <w:noProof/>
                <w:webHidden/>
              </w:rPr>
              <w:tab/>
            </w:r>
            <w:r>
              <w:rPr>
                <w:noProof/>
                <w:webHidden/>
              </w:rPr>
              <w:fldChar w:fldCharType="begin"/>
            </w:r>
            <w:r>
              <w:rPr>
                <w:noProof/>
                <w:webHidden/>
              </w:rPr>
              <w:instrText xml:space="preserve"> PAGEREF _Toc183981941 \h </w:instrText>
            </w:r>
            <w:r>
              <w:rPr>
                <w:noProof/>
                <w:webHidden/>
              </w:rPr>
            </w:r>
            <w:r>
              <w:rPr>
                <w:noProof/>
                <w:webHidden/>
              </w:rPr>
              <w:fldChar w:fldCharType="separate"/>
            </w:r>
            <w:r>
              <w:rPr>
                <w:noProof/>
                <w:webHidden/>
              </w:rPr>
              <w:t>3</w:t>
            </w:r>
            <w:r>
              <w:rPr>
                <w:noProof/>
                <w:webHidden/>
              </w:rPr>
              <w:fldChar w:fldCharType="end"/>
            </w:r>
          </w:hyperlink>
        </w:p>
        <w:p w14:paraId="03BE3A41" w14:textId="0B025548" w:rsidR="00B975B8" w:rsidRDefault="00B975B8">
          <w:pPr>
            <w:pStyle w:val="TOC1"/>
            <w:tabs>
              <w:tab w:val="right" w:leader="dot" w:pos="9350"/>
            </w:tabs>
            <w:rPr>
              <w:rFonts w:eastAsiaTheme="minorEastAsia"/>
              <w:noProof/>
            </w:rPr>
          </w:pPr>
          <w:hyperlink w:anchor="_Toc183981942" w:history="1">
            <w:r w:rsidRPr="00583FF6">
              <w:rPr>
                <w:rStyle w:val="Hyperlink"/>
                <w:b/>
                <w:bCs/>
                <w:noProof/>
                <w:color w:val="5592A3" w:themeColor="hyperlink" w:themeTint="D9"/>
              </w:rPr>
              <w:t>METHODOLOGY</w:t>
            </w:r>
            <w:r>
              <w:rPr>
                <w:noProof/>
                <w:webHidden/>
              </w:rPr>
              <w:tab/>
            </w:r>
            <w:r>
              <w:rPr>
                <w:noProof/>
                <w:webHidden/>
              </w:rPr>
              <w:fldChar w:fldCharType="begin"/>
            </w:r>
            <w:r>
              <w:rPr>
                <w:noProof/>
                <w:webHidden/>
              </w:rPr>
              <w:instrText xml:space="preserve"> PAGEREF _Toc183981942 \h </w:instrText>
            </w:r>
            <w:r>
              <w:rPr>
                <w:noProof/>
                <w:webHidden/>
              </w:rPr>
            </w:r>
            <w:r>
              <w:rPr>
                <w:noProof/>
                <w:webHidden/>
              </w:rPr>
              <w:fldChar w:fldCharType="separate"/>
            </w:r>
            <w:r>
              <w:rPr>
                <w:noProof/>
                <w:webHidden/>
              </w:rPr>
              <w:t>3</w:t>
            </w:r>
            <w:r>
              <w:rPr>
                <w:noProof/>
                <w:webHidden/>
              </w:rPr>
              <w:fldChar w:fldCharType="end"/>
            </w:r>
          </w:hyperlink>
        </w:p>
        <w:p w14:paraId="33CD81F8" w14:textId="06DFD263" w:rsidR="00B975B8" w:rsidRDefault="00B975B8">
          <w:pPr>
            <w:pStyle w:val="TOC1"/>
            <w:tabs>
              <w:tab w:val="right" w:leader="dot" w:pos="9350"/>
            </w:tabs>
            <w:rPr>
              <w:rFonts w:eastAsiaTheme="minorEastAsia"/>
              <w:noProof/>
            </w:rPr>
          </w:pPr>
          <w:hyperlink w:anchor="_Toc183981943" w:history="1">
            <w:r w:rsidRPr="00583FF6">
              <w:rPr>
                <w:rStyle w:val="Hyperlink"/>
                <w:b/>
                <w:bCs/>
                <w:noProof/>
              </w:rPr>
              <w:t>LITERATURE REVIEW</w:t>
            </w:r>
            <w:r>
              <w:rPr>
                <w:noProof/>
                <w:webHidden/>
              </w:rPr>
              <w:tab/>
            </w:r>
            <w:r>
              <w:rPr>
                <w:noProof/>
                <w:webHidden/>
              </w:rPr>
              <w:fldChar w:fldCharType="begin"/>
            </w:r>
            <w:r>
              <w:rPr>
                <w:noProof/>
                <w:webHidden/>
              </w:rPr>
              <w:instrText xml:space="preserve"> PAGEREF _Toc183981943 \h </w:instrText>
            </w:r>
            <w:r>
              <w:rPr>
                <w:noProof/>
                <w:webHidden/>
              </w:rPr>
            </w:r>
            <w:r>
              <w:rPr>
                <w:noProof/>
                <w:webHidden/>
              </w:rPr>
              <w:fldChar w:fldCharType="separate"/>
            </w:r>
            <w:r>
              <w:rPr>
                <w:noProof/>
                <w:webHidden/>
              </w:rPr>
              <w:t>4</w:t>
            </w:r>
            <w:r>
              <w:rPr>
                <w:noProof/>
                <w:webHidden/>
              </w:rPr>
              <w:fldChar w:fldCharType="end"/>
            </w:r>
          </w:hyperlink>
        </w:p>
        <w:p w14:paraId="6DFFD3F7" w14:textId="716D678A" w:rsidR="00B975B8" w:rsidRDefault="00B975B8">
          <w:pPr>
            <w:pStyle w:val="TOC1"/>
            <w:tabs>
              <w:tab w:val="right" w:leader="dot" w:pos="9350"/>
            </w:tabs>
            <w:rPr>
              <w:rFonts w:eastAsiaTheme="minorEastAsia"/>
              <w:noProof/>
            </w:rPr>
          </w:pPr>
          <w:hyperlink w:anchor="_Toc183981944" w:history="1">
            <w:r w:rsidRPr="00583FF6">
              <w:rPr>
                <w:rStyle w:val="Hyperlink"/>
                <w:b/>
                <w:bCs/>
                <w:noProof/>
              </w:rPr>
              <w:t>BUSINESS UNDERSTANDING</w:t>
            </w:r>
            <w:r>
              <w:rPr>
                <w:noProof/>
                <w:webHidden/>
              </w:rPr>
              <w:tab/>
            </w:r>
            <w:r>
              <w:rPr>
                <w:noProof/>
                <w:webHidden/>
              </w:rPr>
              <w:fldChar w:fldCharType="begin"/>
            </w:r>
            <w:r>
              <w:rPr>
                <w:noProof/>
                <w:webHidden/>
              </w:rPr>
              <w:instrText xml:space="preserve"> PAGEREF _Toc183981944 \h </w:instrText>
            </w:r>
            <w:r>
              <w:rPr>
                <w:noProof/>
                <w:webHidden/>
              </w:rPr>
            </w:r>
            <w:r>
              <w:rPr>
                <w:noProof/>
                <w:webHidden/>
              </w:rPr>
              <w:fldChar w:fldCharType="separate"/>
            </w:r>
            <w:r>
              <w:rPr>
                <w:noProof/>
                <w:webHidden/>
              </w:rPr>
              <w:t>7</w:t>
            </w:r>
            <w:r>
              <w:rPr>
                <w:noProof/>
                <w:webHidden/>
              </w:rPr>
              <w:fldChar w:fldCharType="end"/>
            </w:r>
          </w:hyperlink>
        </w:p>
        <w:p w14:paraId="0A738ADE" w14:textId="7B9A53FA" w:rsidR="00B975B8" w:rsidRDefault="00B975B8">
          <w:pPr>
            <w:pStyle w:val="TOC2"/>
            <w:tabs>
              <w:tab w:val="right" w:leader="dot" w:pos="9350"/>
            </w:tabs>
            <w:rPr>
              <w:rFonts w:eastAsiaTheme="minorEastAsia"/>
              <w:noProof/>
            </w:rPr>
          </w:pPr>
          <w:hyperlink w:anchor="_Toc183981945" w:history="1">
            <w:r w:rsidRPr="00583FF6">
              <w:rPr>
                <w:rStyle w:val="Hyperlink"/>
                <w:noProof/>
              </w:rPr>
              <w:t>Objective</w:t>
            </w:r>
            <w:r>
              <w:rPr>
                <w:noProof/>
                <w:webHidden/>
              </w:rPr>
              <w:tab/>
            </w:r>
            <w:r>
              <w:rPr>
                <w:noProof/>
                <w:webHidden/>
              </w:rPr>
              <w:fldChar w:fldCharType="begin"/>
            </w:r>
            <w:r>
              <w:rPr>
                <w:noProof/>
                <w:webHidden/>
              </w:rPr>
              <w:instrText xml:space="preserve"> PAGEREF _Toc183981945 \h </w:instrText>
            </w:r>
            <w:r>
              <w:rPr>
                <w:noProof/>
                <w:webHidden/>
              </w:rPr>
            </w:r>
            <w:r>
              <w:rPr>
                <w:noProof/>
                <w:webHidden/>
              </w:rPr>
              <w:fldChar w:fldCharType="separate"/>
            </w:r>
            <w:r>
              <w:rPr>
                <w:noProof/>
                <w:webHidden/>
              </w:rPr>
              <w:t>7</w:t>
            </w:r>
            <w:r>
              <w:rPr>
                <w:noProof/>
                <w:webHidden/>
              </w:rPr>
              <w:fldChar w:fldCharType="end"/>
            </w:r>
          </w:hyperlink>
        </w:p>
        <w:p w14:paraId="0DA31BED" w14:textId="22C13802" w:rsidR="00B975B8" w:rsidRDefault="00B975B8">
          <w:pPr>
            <w:pStyle w:val="TOC2"/>
            <w:tabs>
              <w:tab w:val="right" w:leader="dot" w:pos="9350"/>
            </w:tabs>
            <w:rPr>
              <w:rFonts w:eastAsiaTheme="minorEastAsia"/>
              <w:noProof/>
            </w:rPr>
          </w:pPr>
          <w:hyperlink w:anchor="_Toc183981946" w:history="1">
            <w:r w:rsidRPr="00583FF6">
              <w:rPr>
                <w:rStyle w:val="Hyperlink"/>
                <w:noProof/>
              </w:rPr>
              <w:t>Business Questions</w:t>
            </w:r>
            <w:r>
              <w:rPr>
                <w:noProof/>
                <w:webHidden/>
              </w:rPr>
              <w:tab/>
            </w:r>
            <w:r>
              <w:rPr>
                <w:noProof/>
                <w:webHidden/>
              </w:rPr>
              <w:fldChar w:fldCharType="begin"/>
            </w:r>
            <w:r>
              <w:rPr>
                <w:noProof/>
                <w:webHidden/>
              </w:rPr>
              <w:instrText xml:space="preserve"> PAGEREF _Toc183981946 \h </w:instrText>
            </w:r>
            <w:r>
              <w:rPr>
                <w:noProof/>
                <w:webHidden/>
              </w:rPr>
            </w:r>
            <w:r>
              <w:rPr>
                <w:noProof/>
                <w:webHidden/>
              </w:rPr>
              <w:fldChar w:fldCharType="separate"/>
            </w:r>
            <w:r>
              <w:rPr>
                <w:noProof/>
                <w:webHidden/>
              </w:rPr>
              <w:t>7</w:t>
            </w:r>
            <w:r>
              <w:rPr>
                <w:noProof/>
                <w:webHidden/>
              </w:rPr>
              <w:fldChar w:fldCharType="end"/>
            </w:r>
          </w:hyperlink>
        </w:p>
        <w:p w14:paraId="45730C31" w14:textId="4378E97E" w:rsidR="00B975B8" w:rsidRDefault="00B975B8">
          <w:pPr>
            <w:pStyle w:val="TOC1"/>
            <w:tabs>
              <w:tab w:val="right" w:leader="dot" w:pos="9350"/>
            </w:tabs>
            <w:rPr>
              <w:rFonts w:eastAsiaTheme="minorEastAsia"/>
              <w:noProof/>
            </w:rPr>
          </w:pPr>
          <w:hyperlink w:anchor="_Toc183981947" w:history="1">
            <w:r w:rsidRPr="00583FF6">
              <w:rPr>
                <w:rStyle w:val="Hyperlink"/>
                <w:b/>
                <w:bCs/>
                <w:noProof/>
              </w:rPr>
              <w:t>DATA UNDERSTANDING</w:t>
            </w:r>
            <w:r>
              <w:rPr>
                <w:noProof/>
                <w:webHidden/>
              </w:rPr>
              <w:tab/>
            </w:r>
            <w:r>
              <w:rPr>
                <w:noProof/>
                <w:webHidden/>
              </w:rPr>
              <w:fldChar w:fldCharType="begin"/>
            </w:r>
            <w:r>
              <w:rPr>
                <w:noProof/>
                <w:webHidden/>
              </w:rPr>
              <w:instrText xml:space="preserve"> PAGEREF _Toc183981947 \h </w:instrText>
            </w:r>
            <w:r>
              <w:rPr>
                <w:noProof/>
                <w:webHidden/>
              </w:rPr>
            </w:r>
            <w:r>
              <w:rPr>
                <w:noProof/>
                <w:webHidden/>
              </w:rPr>
              <w:fldChar w:fldCharType="separate"/>
            </w:r>
            <w:r>
              <w:rPr>
                <w:noProof/>
                <w:webHidden/>
              </w:rPr>
              <w:t>7</w:t>
            </w:r>
            <w:r>
              <w:rPr>
                <w:noProof/>
                <w:webHidden/>
              </w:rPr>
              <w:fldChar w:fldCharType="end"/>
            </w:r>
          </w:hyperlink>
        </w:p>
        <w:p w14:paraId="69A79D5F" w14:textId="3D513B02" w:rsidR="00B975B8" w:rsidRDefault="00B975B8">
          <w:pPr>
            <w:pStyle w:val="TOC2"/>
            <w:tabs>
              <w:tab w:val="right" w:leader="dot" w:pos="9350"/>
            </w:tabs>
            <w:rPr>
              <w:rFonts w:eastAsiaTheme="minorEastAsia"/>
              <w:noProof/>
            </w:rPr>
          </w:pPr>
          <w:hyperlink w:anchor="_Toc183981948" w:history="1">
            <w:r w:rsidRPr="00583FF6">
              <w:rPr>
                <w:rStyle w:val="Hyperlink"/>
                <w:noProof/>
              </w:rPr>
              <w:t>Exploratory Data Analysis</w:t>
            </w:r>
            <w:r>
              <w:rPr>
                <w:noProof/>
                <w:webHidden/>
              </w:rPr>
              <w:tab/>
            </w:r>
            <w:r>
              <w:rPr>
                <w:noProof/>
                <w:webHidden/>
              </w:rPr>
              <w:fldChar w:fldCharType="begin"/>
            </w:r>
            <w:r>
              <w:rPr>
                <w:noProof/>
                <w:webHidden/>
              </w:rPr>
              <w:instrText xml:space="preserve"> PAGEREF _Toc183981948 \h </w:instrText>
            </w:r>
            <w:r>
              <w:rPr>
                <w:noProof/>
                <w:webHidden/>
              </w:rPr>
            </w:r>
            <w:r>
              <w:rPr>
                <w:noProof/>
                <w:webHidden/>
              </w:rPr>
              <w:fldChar w:fldCharType="separate"/>
            </w:r>
            <w:r>
              <w:rPr>
                <w:noProof/>
                <w:webHidden/>
              </w:rPr>
              <w:t>7</w:t>
            </w:r>
            <w:r>
              <w:rPr>
                <w:noProof/>
                <w:webHidden/>
              </w:rPr>
              <w:fldChar w:fldCharType="end"/>
            </w:r>
          </w:hyperlink>
        </w:p>
        <w:p w14:paraId="5E4D4317" w14:textId="6EAFB4F7" w:rsidR="00B975B8" w:rsidRDefault="00B975B8">
          <w:pPr>
            <w:pStyle w:val="TOC2"/>
            <w:tabs>
              <w:tab w:val="right" w:leader="dot" w:pos="9350"/>
            </w:tabs>
            <w:rPr>
              <w:rFonts w:eastAsiaTheme="minorEastAsia"/>
              <w:noProof/>
            </w:rPr>
          </w:pPr>
          <w:hyperlink w:anchor="_Toc183981949" w:history="1">
            <w:r w:rsidRPr="00583FF6">
              <w:rPr>
                <w:rStyle w:val="Hyperlink"/>
                <w:noProof/>
              </w:rPr>
              <w:t>Correlation &amp; Outlier Analysis</w:t>
            </w:r>
            <w:r>
              <w:rPr>
                <w:noProof/>
                <w:webHidden/>
              </w:rPr>
              <w:tab/>
            </w:r>
            <w:r>
              <w:rPr>
                <w:noProof/>
                <w:webHidden/>
              </w:rPr>
              <w:fldChar w:fldCharType="begin"/>
            </w:r>
            <w:r>
              <w:rPr>
                <w:noProof/>
                <w:webHidden/>
              </w:rPr>
              <w:instrText xml:space="preserve"> PAGEREF _Toc183981949 \h </w:instrText>
            </w:r>
            <w:r>
              <w:rPr>
                <w:noProof/>
                <w:webHidden/>
              </w:rPr>
            </w:r>
            <w:r>
              <w:rPr>
                <w:noProof/>
                <w:webHidden/>
              </w:rPr>
              <w:fldChar w:fldCharType="separate"/>
            </w:r>
            <w:r>
              <w:rPr>
                <w:noProof/>
                <w:webHidden/>
              </w:rPr>
              <w:t>10</w:t>
            </w:r>
            <w:r>
              <w:rPr>
                <w:noProof/>
                <w:webHidden/>
              </w:rPr>
              <w:fldChar w:fldCharType="end"/>
            </w:r>
          </w:hyperlink>
        </w:p>
        <w:p w14:paraId="5513B3AE" w14:textId="0F8AA2BA" w:rsidR="00B975B8" w:rsidRDefault="00B975B8">
          <w:pPr>
            <w:pStyle w:val="TOC2"/>
            <w:tabs>
              <w:tab w:val="right" w:leader="dot" w:pos="9350"/>
            </w:tabs>
            <w:rPr>
              <w:rFonts w:eastAsiaTheme="minorEastAsia"/>
              <w:noProof/>
            </w:rPr>
          </w:pPr>
          <w:hyperlink w:anchor="_Toc183981950" w:history="1">
            <w:r w:rsidRPr="00583FF6">
              <w:rPr>
                <w:rStyle w:val="Hyperlink"/>
                <w:noProof/>
              </w:rPr>
              <w:t>Time Series Analysis</w:t>
            </w:r>
            <w:r>
              <w:rPr>
                <w:noProof/>
                <w:webHidden/>
              </w:rPr>
              <w:tab/>
            </w:r>
            <w:r>
              <w:rPr>
                <w:noProof/>
                <w:webHidden/>
              </w:rPr>
              <w:fldChar w:fldCharType="begin"/>
            </w:r>
            <w:r>
              <w:rPr>
                <w:noProof/>
                <w:webHidden/>
              </w:rPr>
              <w:instrText xml:space="preserve"> PAGEREF _Toc183981950 \h </w:instrText>
            </w:r>
            <w:r>
              <w:rPr>
                <w:noProof/>
                <w:webHidden/>
              </w:rPr>
            </w:r>
            <w:r>
              <w:rPr>
                <w:noProof/>
                <w:webHidden/>
              </w:rPr>
              <w:fldChar w:fldCharType="separate"/>
            </w:r>
            <w:r>
              <w:rPr>
                <w:noProof/>
                <w:webHidden/>
              </w:rPr>
              <w:t>11</w:t>
            </w:r>
            <w:r>
              <w:rPr>
                <w:noProof/>
                <w:webHidden/>
              </w:rPr>
              <w:fldChar w:fldCharType="end"/>
            </w:r>
          </w:hyperlink>
        </w:p>
        <w:p w14:paraId="6FE0EA62" w14:textId="4D50A342" w:rsidR="00B975B8" w:rsidRDefault="00B975B8">
          <w:pPr>
            <w:pStyle w:val="TOC1"/>
            <w:tabs>
              <w:tab w:val="right" w:leader="dot" w:pos="9350"/>
            </w:tabs>
            <w:rPr>
              <w:rFonts w:eastAsiaTheme="minorEastAsia"/>
              <w:noProof/>
            </w:rPr>
          </w:pPr>
          <w:hyperlink w:anchor="_Toc183981951" w:history="1">
            <w:r w:rsidRPr="00583FF6">
              <w:rPr>
                <w:rStyle w:val="Hyperlink"/>
                <w:b/>
                <w:bCs/>
                <w:noProof/>
              </w:rPr>
              <w:t>DATA PREPARATION</w:t>
            </w:r>
            <w:r>
              <w:rPr>
                <w:noProof/>
                <w:webHidden/>
              </w:rPr>
              <w:tab/>
            </w:r>
            <w:r>
              <w:rPr>
                <w:noProof/>
                <w:webHidden/>
              </w:rPr>
              <w:fldChar w:fldCharType="begin"/>
            </w:r>
            <w:r>
              <w:rPr>
                <w:noProof/>
                <w:webHidden/>
              </w:rPr>
              <w:instrText xml:space="preserve"> PAGEREF _Toc183981951 \h </w:instrText>
            </w:r>
            <w:r>
              <w:rPr>
                <w:noProof/>
                <w:webHidden/>
              </w:rPr>
            </w:r>
            <w:r>
              <w:rPr>
                <w:noProof/>
                <w:webHidden/>
              </w:rPr>
              <w:fldChar w:fldCharType="separate"/>
            </w:r>
            <w:r>
              <w:rPr>
                <w:noProof/>
                <w:webHidden/>
              </w:rPr>
              <w:t>14</w:t>
            </w:r>
            <w:r>
              <w:rPr>
                <w:noProof/>
                <w:webHidden/>
              </w:rPr>
              <w:fldChar w:fldCharType="end"/>
            </w:r>
          </w:hyperlink>
        </w:p>
        <w:p w14:paraId="228C9914" w14:textId="53E890C6" w:rsidR="00B975B8" w:rsidRDefault="00B975B8">
          <w:pPr>
            <w:pStyle w:val="TOC2"/>
            <w:tabs>
              <w:tab w:val="right" w:leader="dot" w:pos="9350"/>
            </w:tabs>
            <w:rPr>
              <w:rFonts w:eastAsiaTheme="minorEastAsia"/>
              <w:noProof/>
            </w:rPr>
          </w:pPr>
          <w:hyperlink w:anchor="_Toc183981952" w:history="1">
            <w:r w:rsidRPr="00583FF6">
              <w:rPr>
                <w:rStyle w:val="Hyperlink"/>
                <w:noProof/>
              </w:rPr>
              <w:t>Feature Engineering</w:t>
            </w:r>
            <w:r>
              <w:rPr>
                <w:noProof/>
                <w:webHidden/>
              </w:rPr>
              <w:tab/>
            </w:r>
            <w:r>
              <w:rPr>
                <w:noProof/>
                <w:webHidden/>
              </w:rPr>
              <w:fldChar w:fldCharType="begin"/>
            </w:r>
            <w:r>
              <w:rPr>
                <w:noProof/>
                <w:webHidden/>
              </w:rPr>
              <w:instrText xml:space="preserve"> PAGEREF _Toc183981952 \h </w:instrText>
            </w:r>
            <w:r>
              <w:rPr>
                <w:noProof/>
                <w:webHidden/>
              </w:rPr>
            </w:r>
            <w:r>
              <w:rPr>
                <w:noProof/>
                <w:webHidden/>
              </w:rPr>
              <w:fldChar w:fldCharType="separate"/>
            </w:r>
            <w:r>
              <w:rPr>
                <w:noProof/>
                <w:webHidden/>
              </w:rPr>
              <w:t>14</w:t>
            </w:r>
            <w:r>
              <w:rPr>
                <w:noProof/>
                <w:webHidden/>
              </w:rPr>
              <w:fldChar w:fldCharType="end"/>
            </w:r>
          </w:hyperlink>
        </w:p>
        <w:p w14:paraId="06D96844" w14:textId="49B36A7D" w:rsidR="00B975B8" w:rsidRDefault="00B975B8">
          <w:pPr>
            <w:pStyle w:val="TOC2"/>
            <w:tabs>
              <w:tab w:val="right" w:leader="dot" w:pos="9350"/>
            </w:tabs>
            <w:rPr>
              <w:rFonts w:eastAsiaTheme="minorEastAsia"/>
              <w:noProof/>
            </w:rPr>
          </w:pPr>
          <w:hyperlink w:anchor="_Toc183981953" w:history="1">
            <w:r w:rsidRPr="00583FF6">
              <w:rPr>
                <w:rStyle w:val="Hyperlink"/>
                <w:noProof/>
              </w:rPr>
              <w:t>Preprocessing &amp; Pipelines</w:t>
            </w:r>
            <w:r>
              <w:rPr>
                <w:noProof/>
                <w:webHidden/>
              </w:rPr>
              <w:tab/>
            </w:r>
            <w:r>
              <w:rPr>
                <w:noProof/>
                <w:webHidden/>
              </w:rPr>
              <w:fldChar w:fldCharType="begin"/>
            </w:r>
            <w:r>
              <w:rPr>
                <w:noProof/>
                <w:webHidden/>
              </w:rPr>
              <w:instrText xml:space="preserve"> PAGEREF _Toc183981953 \h </w:instrText>
            </w:r>
            <w:r>
              <w:rPr>
                <w:noProof/>
                <w:webHidden/>
              </w:rPr>
            </w:r>
            <w:r>
              <w:rPr>
                <w:noProof/>
                <w:webHidden/>
              </w:rPr>
              <w:fldChar w:fldCharType="separate"/>
            </w:r>
            <w:r>
              <w:rPr>
                <w:noProof/>
                <w:webHidden/>
              </w:rPr>
              <w:t>23</w:t>
            </w:r>
            <w:r>
              <w:rPr>
                <w:noProof/>
                <w:webHidden/>
              </w:rPr>
              <w:fldChar w:fldCharType="end"/>
            </w:r>
          </w:hyperlink>
        </w:p>
        <w:p w14:paraId="5D819D91" w14:textId="10C1D9C5" w:rsidR="00B975B8" w:rsidRDefault="00B975B8">
          <w:pPr>
            <w:pStyle w:val="TOC1"/>
            <w:tabs>
              <w:tab w:val="right" w:leader="dot" w:pos="9350"/>
            </w:tabs>
            <w:rPr>
              <w:rFonts w:eastAsiaTheme="minorEastAsia"/>
              <w:noProof/>
            </w:rPr>
          </w:pPr>
          <w:hyperlink w:anchor="_Toc183981954" w:history="1">
            <w:r w:rsidRPr="00583FF6">
              <w:rPr>
                <w:rStyle w:val="Hyperlink"/>
                <w:b/>
                <w:bCs/>
                <w:noProof/>
              </w:rPr>
              <w:t>MODELLING &amp; EVALUATION</w:t>
            </w:r>
            <w:r>
              <w:rPr>
                <w:noProof/>
                <w:webHidden/>
              </w:rPr>
              <w:tab/>
            </w:r>
            <w:r>
              <w:rPr>
                <w:noProof/>
                <w:webHidden/>
              </w:rPr>
              <w:fldChar w:fldCharType="begin"/>
            </w:r>
            <w:r>
              <w:rPr>
                <w:noProof/>
                <w:webHidden/>
              </w:rPr>
              <w:instrText xml:space="preserve"> PAGEREF _Toc183981954 \h </w:instrText>
            </w:r>
            <w:r>
              <w:rPr>
                <w:noProof/>
                <w:webHidden/>
              </w:rPr>
            </w:r>
            <w:r>
              <w:rPr>
                <w:noProof/>
                <w:webHidden/>
              </w:rPr>
              <w:fldChar w:fldCharType="separate"/>
            </w:r>
            <w:r>
              <w:rPr>
                <w:noProof/>
                <w:webHidden/>
              </w:rPr>
              <w:t>23</w:t>
            </w:r>
            <w:r>
              <w:rPr>
                <w:noProof/>
                <w:webHidden/>
              </w:rPr>
              <w:fldChar w:fldCharType="end"/>
            </w:r>
          </w:hyperlink>
        </w:p>
        <w:p w14:paraId="5086AB9A" w14:textId="67CC8C2A" w:rsidR="00B975B8" w:rsidRDefault="00B975B8">
          <w:pPr>
            <w:pStyle w:val="TOC2"/>
            <w:tabs>
              <w:tab w:val="right" w:leader="dot" w:pos="9350"/>
            </w:tabs>
            <w:rPr>
              <w:rFonts w:eastAsiaTheme="minorEastAsia"/>
              <w:noProof/>
            </w:rPr>
          </w:pPr>
          <w:hyperlink w:anchor="_Toc183981955" w:history="1">
            <w:r w:rsidRPr="00583FF6">
              <w:rPr>
                <w:rStyle w:val="Hyperlink"/>
                <w:noProof/>
              </w:rPr>
              <w:t>Training</w:t>
            </w:r>
            <w:r>
              <w:rPr>
                <w:noProof/>
                <w:webHidden/>
              </w:rPr>
              <w:tab/>
            </w:r>
            <w:r>
              <w:rPr>
                <w:noProof/>
                <w:webHidden/>
              </w:rPr>
              <w:fldChar w:fldCharType="begin"/>
            </w:r>
            <w:r>
              <w:rPr>
                <w:noProof/>
                <w:webHidden/>
              </w:rPr>
              <w:instrText xml:space="preserve"> PAGEREF _Toc183981955 \h </w:instrText>
            </w:r>
            <w:r>
              <w:rPr>
                <w:noProof/>
                <w:webHidden/>
              </w:rPr>
            </w:r>
            <w:r>
              <w:rPr>
                <w:noProof/>
                <w:webHidden/>
              </w:rPr>
              <w:fldChar w:fldCharType="separate"/>
            </w:r>
            <w:r>
              <w:rPr>
                <w:noProof/>
                <w:webHidden/>
              </w:rPr>
              <w:t>23</w:t>
            </w:r>
            <w:r>
              <w:rPr>
                <w:noProof/>
                <w:webHidden/>
              </w:rPr>
              <w:fldChar w:fldCharType="end"/>
            </w:r>
          </w:hyperlink>
        </w:p>
        <w:p w14:paraId="59720A4F" w14:textId="2E63E314" w:rsidR="00B975B8" w:rsidRDefault="00B975B8">
          <w:pPr>
            <w:pStyle w:val="TOC2"/>
            <w:tabs>
              <w:tab w:val="right" w:leader="dot" w:pos="9350"/>
            </w:tabs>
            <w:rPr>
              <w:rFonts w:eastAsiaTheme="minorEastAsia"/>
              <w:noProof/>
            </w:rPr>
          </w:pPr>
          <w:hyperlink w:anchor="_Toc183981956" w:history="1">
            <w:r w:rsidRPr="00583FF6">
              <w:rPr>
                <w:rStyle w:val="Hyperlink"/>
                <w:noProof/>
              </w:rPr>
              <w:t>Evaluation</w:t>
            </w:r>
            <w:r>
              <w:rPr>
                <w:noProof/>
                <w:webHidden/>
              </w:rPr>
              <w:tab/>
            </w:r>
            <w:r>
              <w:rPr>
                <w:noProof/>
                <w:webHidden/>
              </w:rPr>
              <w:fldChar w:fldCharType="begin"/>
            </w:r>
            <w:r>
              <w:rPr>
                <w:noProof/>
                <w:webHidden/>
              </w:rPr>
              <w:instrText xml:space="preserve"> PAGEREF _Toc183981956 \h </w:instrText>
            </w:r>
            <w:r>
              <w:rPr>
                <w:noProof/>
                <w:webHidden/>
              </w:rPr>
            </w:r>
            <w:r>
              <w:rPr>
                <w:noProof/>
                <w:webHidden/>
              </w:rPr>
              <w:fldChar w:fldCharType="separate"/>
            </w:r>
            <w:r>
              <w:rPr>
                <w:noProof/>
                <w:webHidden/>
              </w:rPr>
              <w:t>23</w:t>
            </w:r>
            <w:r>
              <w:rPr>
                <w:noProof/>
                <w:webHidden/>
              </w:rPr>
              <w:fldChar w:fldCharType="end"/>
            </w:r>
          </w:hyperlink>
        </w:p>
        <w:p w14:paraId="070270F7" w14:textId="3F7802D6" w:rsidR="00B975B8" w:rsidRDefault="00B975B8">
          <w:pPr>
            <w:pStyle w:val="TOC1"/>
            <w:tabs>
              <w:tab w:val="right" w:leader="dot" w:pos="9350"/>
            </w:tabs>
            <w:rPr>
              <w:rFonts w:eastAsiaTheme="minorEastAsia"/>
              <w:noProof/>
            </w:rPr>
          </w:pPr>
          <w:hyperlink w:anchor="_Toc183981957" w:history="1">
            <w:r w:rsidRPr="00583FF6">
              <w:rPr>
                <w:rStyle w:val="Hyperlink"/>
                <w:b/>
                <w:bCs/>
                <w:noProof/>
              </w:rPr>
              <w:t>DEPLOYMENT</w:t>
            </w:r>
            <w:r>
              <w:rPr>
                <w:noProof/>
                <w:webHidden/>
              </w:rPr>
              <w:tab/>
            </w:r>
            <w:r>
              <w:rPr>
                <w:noProof/>
                <w:webHidden/>
              </w:rPr>
              <w:fldChar w:fldCharType="begin"/>
            </w:r>
            <w:r>
              <w:rPr>
                <w:noProof/>
                <w:webHidden/>
              </w:rPr>
              <w:instrText xml:space="preserve"> PAGEREF _Toc183981957 \h </w:instrText>
            </w:r>
            <w:r>
              <w:rPr>
                <w:noProof/>
                <w:webHidden/>
              </w:rPr>
            </w:r>
            <w:r>
              <w:rPr>
                <w:noProof/>
                <w:webHidden/>
              </w:rPr>
              <w:fldChar w:fldCharType="separate"/>
            </w:r>
            <w:r>
              <w:rPr>
                <w:noProof/>
                <w:webHidden/>
              </w:rPr>
              <w:t>28</w:t>
            </w:r>
            <w:r>
              <w:rPr>
                <w:noProof/>
                <w:webHidden/>
              </w:rPr>
              <w:fldChar w:fldCharType="end"/>
            </w:r>
          </w:hyperlink>
        </w:p>
        <w:p w14:paraId="03B4554D" w14:textId="04A663A6" w:rsidR="00B975B8" w:rsidRDefault="00B975B8">
          <w:pPr>
            <w:pStyle w:val="TOC2"/>
            <w:tabs>
              <w:tab w:val="right" w:leader="dot" w:pos="9350"/>
            </w:tabs>
            <w:rPr>
              <w:rFonts w:eastAsiaTheme="minorEastAsia"/>
              <w:noProof/>
            </w:rPr>
          </w:pPr>
          <w:hyperlink w:anchor="_Toc183981958" w:history="1">
            <w:r w:rsidRPr="00583FF6">
              <w:rPr>
                <w:rStyle w:val="Hyperlink"/>
                <w:noProof/>
              </w:rPr>
              <w:t>Business Case</w:t>
            </w:r>
            <w:r>
              <w:rPr>
                <w:noProof/>
                <w:webHidden/>
              </w:rPr>
              <w:tab/>
            </w:r>
            <w:r>
              <w:rPr>
                <w:noProof/>
                <w:webHidden/>
              </w:rPr>
              <w:fldChar w:fldCharType="begin"/>
            </w:r>
            <w:r>
              <w:rPr>
                <w:noProof/>
                <w:webHidden/>
              </w:rPr>
              <w:instrText xml:space="preserve"> PAGEREF _Toc183981958 \h </w:instrText>
            </w:r>
            <w:r>
              <w:rPr>
                <w:noProof/>
                <w:webHidden/>
              </w:rPr>
            </w:r>
            <w:r>
              <w:rPr>
                <w:noProof/>
                <w:webHidden/>
              </w:rPr>
              <w:fldChar w:fldCharType="separate"/>
            </w:r>
            <w:r>
              <w:rPr>
                <w:noProof/>
                <w:webHidden/>
              </w:rPr>
              <w:t>28</w:t>
            </w:r>
            <w:r>
              <w:rPr>
                <w:noProof/>
                <w:webHidden/>
              </w:rPr>
              <w:fldChar w:fldCharType="end"/>
            </w:r>
          </w:hyperlink>
        </w:p>
        <w:p w14:paraId="38392CD6" w14:textId="465E31D5" w:rsidR="00B975B8" w:rsidRDefault="00B975B8">
          <w:pPr>
            <w:pStyle w:val="TOC2"/>
            <w:tabs>
              <w:tab w:val="right" w:leader="dot" w:pos="9350"/>
            </w:tabs>
            <w:rPr>
              <w:rFonts w:eastAsiaTheme="minorEastAsia"/>
              <w:noProof/>
            </w:rPr>
          </w:pPr>
          <w:hyperlink w:anchor="_Toc183981959" w:history="1">
            <w:r w:rsidRPr="00583FF6">
              <w:rPr>
                <w:rStyle w:val="Hyperlink"/>
                <w:noProof/>
              </w:rPr>
              <w:t>Documentation</w:t>
            </w:r>
            <w:r>
              <w:rPr>
                <w:noProof/>
                <w:webHidden/>
              </w:rPr>
              <w:tab/>
            </w:r>
            <w:r>
              <w:rPr>
                <w:noProof/>
                <w:webHidden/>
              </w:rPr>
              <w:fldChar w:fldCharType="begin"/>
            </w:r>
            <w:r>
              <w:rPr>
                <w:noProof/>
                <w:webHidden/>
              </w:rPr>
              <w:instrText xml:space="preserve"> PAGEREF _Toc183981959 \h </w:instrText>
            </w:r>
            <w:r>
              <w:rPr>
                <w:noProof/>
                <w:webHidden/>
              </w:rPr>
            </w:r>
            <w:r>
              <w:rPr>
                <w:noProof/>
                <w:webHidden/>
              </w:rPr>
              <w:fldChar w:fldCharType="separate"/>
            </w:r>
            <w:r>
              <w:rPr>
                <w:noProof/>
                <w:webHidden/>
              </w:rPr>
              <w:t>30</w:t>
            </w:r>
            <w:r>
              <w:rPr>
                <w:noProof/>
                <w:webHidden/>
              </w:rPr>
              <w:fldChar w:fldCharType="end"/>
            </w:r>
          </w:hyperlink>
        </w:p>
        <w:p w14:paraId="0479DA9F" w14:textId="66ACBAED" w:rsidR="00B975B8" w:rsidRDefault="00B975B8">
          <w:pPr>
            <w:pStyle w:val="TOC3"/>
            <w:tabs>
              <w:tab w:val="right" w:leader="dot" w:pos="9350"/>
            </w:tabs>
            <w:rPr>
              <w:rFonts w:eastAsiaTheme="minorEastAsia"/>
              <w:noProof/>
            </w:rPr>
          </w:pPr>
          <w:hyperlink w:anchor="_Toc183981960" w:history="1">
            <w:r w:rsidRPr="00583FF6">
              <w:rPr>
                <w:rStyle w:val="Hyperlink"/>
                <w:noProof/>
              </w:rPr>
              <w:t>Project Repository</w:t>
            </w:r>
            <w:r>
              <w:rPr>
                <w:noProof/>
                <w:webHidden/>
              </w:rPr>
              <w:tab/>
            </w:r>
            <w:r>
              <w:rPr>
                <w:noProof/>
                <w:webHidden/>
              </w:rPr>
              <w:fldChar w:fldCharType="begin"/>
            </w:r>
            <w:r>
              <w:rPr>
                <w:noProof/>
                <w:webHidden/>
              </w:rPr>
              <w:instrText xml:space="preserve"> PAGEREF _Toc183981960 \h </w:instrText>
            </w:r>
            <w:r>
              <w:rPr>
                <w:noProof/>
                <w:webHidden/>
              </w:rPr>
            </w:r>
            <w:r>
              <w:rPr>
                <w:noProof/>
                <w:webHidden/>
              </w:rPr>
              <w:fldChar w:fldCharType="separate"/>
            </w:r>
            <w:r>
              <w:rPr>
                <w:noProof/>
                <w:webHidden/>
              </w:rPr>
              <w:t>30</w:t>
            </w:r>
            <w:r>
              <w:rPr>
                <w:noProof/>
                <w:webHidden/>
              </w:rPr>
              <w:fldChar w:fldCharType="end"/>
            </w:r>
          </w:hyperlink>
        </w:p>
        <w:p w14:paraId="51C4C72C" w14:textId="0D6263AE" w:rsidR="00B975B8" w:rsidRDefault="00B975B8">
          <w:pPr>
            <w:pStyle w:val="TOC3"/>
            <w:tabs>
              <w:tab w:val="right" w:leader="dot" w:pos="9350"/>
            </w:tabs>
            <w:rPr>
              <w:rFonts w:eastAsiaTheme="minorEastAsia"/>
              <w:noProof/>
            </w:rPr>
          </w:pPr>
          <w:hyperlink w:anchor="_Toc183981961" w:history="1">
            <w:r w:rsidRPr="00583FF6">
              <w:rPr>
                <w:rStyle w:val="Hyperlink"/>
                <w:noProof/>
              </w:rPr>
              <w:t>App</w:t>
            </w:r>
            <w:r>
              <w:rPr>
                <w:noProof/>
                <w:webHidden/>
              </w:rPr>
              <w:tab/>
            </w:r>
            <w:r>
              <w:rPr>
                <w:noProof/>
                <w:webHidden/>
              </w:rPr>
              <w:fldChar w:fldCharType="begin"/>
            </w:r>
            <w:r>
              <w:rPr>
                <w:noProof/>
                <w:webHidden/>
              </w:rPr>
              <w:instrText xml:space="preserve"> PAGEREF _Toc183981961 \h </w:instrText>
            </w:r>
            <w:r>
              <w:rPr>
                <w:noProof/>
                <w:webHidden/>
              </w:rPr>
            </w:r>
            <w:r>
              <w:rPr>
                <w:noProof/>
                <w:webHidden/>
              </w:rPr>
              <w:fldChar w:fldCharType="separate"/>
            </w:r>
            <w:r>
              <w:rPr>
                <w:noProof/>
                <w:webHidden/>
              </w:rPr>
              <w:t>30</w:t>
            </w:r>
            <w:r>
              <w:rPr>
                <w:noProof/>
                <w:webHidden/>
              </w:rPr>
              <w:fldChar w:fldCharType="end"/>
            </w:r>
          </w:hyperlink>
        </w:p>
        <w:p w14:paraId="0519D2C8" w14:textId="5628B7BA" w:rsidR="00B975B8" w:rsidRDefault="00B975B8">
          <w:pPr>
            <w:pStyle w:val="TOC1"/>
            <w:tabs>
              <w:tab w:val="right" w:leader="dot" w:pos="9350"/>
            </w:tabs>
            <w:rPr>
              <w:rFonts w:eastAsiaTheme="minorEastAsia"/>
              <w:noProof/>
            </w:rPr>
          </w:pPr>
          <w:hyperlink w:anchor="_Toc183981962" w:history="1">
            <w:r w:rsidRPr="00583FF6">
              <w:rPr>
                <w:rStyle w:val="Hyperlink"/>
                <w:b/>
                <w:bCs/>
                <w:noProof/>
              </w:rPr>
              <w:t>CONCLUSION &amp; FUTURE WORK</w:t>
            </w:r>
            <w:r>
              <w:rPr>
                <w:noProof/>
                <w:webHidden/>
              </w:rPr>
              <w:tab/>
            </w:r>
            <w:r>
              <w:rPr>
                <w:noProof/>
                <w:webHidden/>
              </w:rPr>
              <w:fldChar w:fldCharType="begin"/>
            </w:r>
            <w:r>
              <w:rPr>
                <w:noProof/>
                <w:webHidden/>
              </w:rPr>
              <w:instrText xml:space="preserve"> PAGEREF _Toc183981962 \h </w:instrText>
            </w:r>
            <w:r>
              <w:rPr>
                <w:noProof/>
                <w:webHidden/>
              </w:rPr>
            </w:r>
            <w:r>
              <w:rPr>
                <w:noProof/>
                <w:webHidden/>
              </w:rPr>
              <w:fldChar w:fldCharType="separate"/>
            </w:r>
            <w:r>
              <w:rPr>
                <w:noProof/>
                <w:webHidden/>
              </w:rPr>
              <w:t>31</w:t>
            </w:r>
            <w:r>
              <w:rPr>
                <w:noProof/>
                <w:webHidden/>
              </w:rPr>
              <w:fldChar w:fldCharType="end"/>
            </w:r>
          </w:hyperlink>
        </w:p>
        <w:p w14:paraId="4AB7F66E" w14:textId="09E825A4" w:rsidR="00B975B8" w:rsidRDefault="00B975B8">
          <w:pPr>
            <w:pStyle w:val="TOC1"/>
            <w:tabs>
              <w:tab w:val="right" w:leader="dot" w:pos="9350"/>
            </w:tabs>
            <w:rPr>
              <w:rFonts w:eastAsiaTheme="minorEastAsia"/>
              <w:noProof/>
            </w:rPr>
          </w:pPr>
          <w:hyperlink w:anchor="_Toc183981963" w:history="1">
            <w:r w:rsidRPr="00583FF6">
              <w:rPr>
                <w:rStyle w:val="Hyperlink"/>
                <w:b/>
                <w:bCs/>
                <w:noProof/>
              </w:rPr>
              <w:t>WHAT WE LEARNED</w:t>
            </w:r>
            <w:r>
              <w:rPr>
                <w:noProof/>
                <w:webHidden/>
              </w:rPr>
              <w:tab/>
            </w:r>
            <w:r>
              <w:rPr>
                <w:noProof/>
                <w:webHidden/>
              </w:rPr>
              <w:fldChar w:fldCharType="begin"/>
            </w:r>
            <w:r>
              <w:rPr>
                <w:noProof/>
                <w:webHidden/>
              </w:rPr>
              <w:instrText xml:space="preserve"> PAGEREF _Toc183981963 \h </w:instrText>
            </w:r>
            <w:r>
              <w:rPr>
                <w:noProof/>
                <w:webHidden/>
              </w:rPr>
            </w:r>
            <w:r>
              <w:rPr>
                <w:noProof/>
                <w:webHidden/>
              </w:rPr>
              <w:fldChar w:fldCharType="separate"/>
            </w:r>
            <w:r>
              <w:rPr>
                <w:noProof/>
                <w:webHidden/>
              </w:rPr>
              <w:t>31</w:t>
            </w:r>
            <w:r>
              <w:rPr>
                <w:noProof/>
                <w:webHidden/>
              </w:rPr>
              <w:fldChar w:fldCharType="end"/>
            </w:r>
          </w:hyperlink>
        </w:p>
        <w:p w14:paraId="0E75C782" w14:textId="2BB85B63" w:rsidR="00B975B8" w:rsidRDefault="00B975B8">
          <w:pPr>
            <w:pStyle w:val="TOC1"/>
            <w:tabs>
              <w:tab w:val="right" w:leader="dot" w:pos="9350"/>
            </w:tabs>
            <w:rPr>
              <w:rFonts w:eastAsiaTheme="minorEastAsia"/>
              <w:noProof/>
            </w:rPr>
          </w:pPr>
          <w:hyperlink w:anchor="_Toc183981964" w:history="1">
            <w:r w:rsidRPr="00583FF6">
              <w:rPr>
                <w:rStyle w:val="Hyperlink"/>
                <w:b/>
                <w:bCs/>
                <w:noProof/>
              </w:rPr>
              <w:t>REFERENCES</w:t>
            </w:r>
            <w:r>
              <w:rPr>
                <w:noProof/>
                <w:webHidden/>
              </w:rPr>
              <w:tab/>
            </w:r>
            <w:r>
              <w:rPr>
                <w:noProof/>
                <w:webHidden/>
              </w:rPr>
              <w:fldChar w:fldCharType="begin"/>
            </w:r>
            <w:r>
              <w:rPr>
                <w:noProof/>
                <w:webHidden/>
              </w:rPr>
              <w:instrText xml:space="preserve"> PAGEREF _Toc183981964 \h </w:instrText>
            </w:r>
            <w:r>
              <w:rPr>
                <w:noProof/>
                <w:webHidden/>
              </w:rPr>
            </w:r>
            <w:r>
              <w:rPr>
                <w:noProof/>
                <w:webHidden/>
              </w:rPr>
              <w:fldChar w:fldCharType="separate"/>
            </w:r>
            <w:r>
              <w:rPr>
                <w:noProof/>
                <w:webHidden/>
              </w:rPr>
              <w:t>31</w:t>
            </w:r>
            <w:r>
              <w:rPr>
                <w:noProof/>
                <w:webHidden/>
              </w:rPr>
              <w:fldChar w:fldCharType="end"/>
            </w:r>
          </w:hyperlink>
        </w:p>
        <w:p w14:paraId="57738F21" w14:textId="1FAD5922" w:rsidR="00B975B8" w:rsidRDefault="00B975B8">
          <w:pPr>
            <w:pStyle w:val="TOC1"/>
            <w:tabs>
              <w:tab w:val="right" w:leader="dot" w:pos="9350"/>
            </w:tabs>
            <w:rPr>
              <w:rFonts w:eastAsiaTheme="minorEastAsia"/>
              <w:noProof/>
            </w:rPr>
          </w:pPr>
          <w:hyperlink w:anchor="_Toc183981965" w:history="1">
            <w:r w:rsidRPr="00583FF6">
              <w:rPr>
                <w:rStyle w:val="Hyperlink"/>
                <w:b/>
                <w:bCs/>
                <w:noProof/>
              </w:rPr>
              <w:t>APPENDIX &amp; GLOSSARY</w:t>
            </w:r>
            <w:r>
              <w:rPr>
                <w:noProof/>
                <w:webHidden/>
              </w:rPr>
              <w:tab/>
            </w:r>
            <w:r>
              <w:rPr>
                <w:noProof/>
                <w:webHidden/>
              </w:rPr>
              <w:fldChar w:fldCharType="begin"/>
            </w:r>
            <w:r>
              <w:rPr>
                <w:noProof/>
                <w:webHidden/>
              </w:rPr>
              <w:instrText xml:space="preserve"> PAGEREF _Toc183981965 \h </w:instrText>
            </w:r>
            <w:r>
              <w:rPr>
                <w:noProof/>
                <w:webHidden/>
              </w:rPr>
            </w:r>
            <w:r>
              <w:rPr>
                <w:noProof/>
                <w:webHidden/>
              </w:rPr>
              <w:fldChar w:fldCharType="separate"/>
            </w:r>
            <w:r>
              <w:rPr>
                <w:noProof/>
                <w:webHidden/>
              </w:rPr>
              <w:t>32</w:t>
            </w:r>
            <w:r>
              <w:rPr>
                <w:noProof/>
                <w:webHidden/>
              </w:rPr>
              <w:fldChar w:fldCharType="end"/>
            </w:r>
          </w:hyperlink>
        </w:p>
        <w:p w14:paraId="755AFA70" w14:textId="0746DB14" w:rsidR="0013078A" w:rsidRDefault="0013078A" w:rsidP="005B3006">
          <w:pPr>
            <w:spacing w:line="276" w:lineRule="auto"/>
          </w:pPr>
          <w:r>
            <w:rPr>
              <w:b/>
              <w:bCs/>
              <w:noProof/>
            </w:rPr>
            <w:fldChar w:fldCharType="end"/>
          </w:r>
        </w:p>
      </w:sdtContent>
    </w:sdt>
    <w:bookmarkStart w:id="1" w:name="_Toc183981940"/>
    <w:p w14:paraId="6F4F24A0" w14:textId="2AD8E584" w:rsidR="005B28FB" w:rsidRPr="00625FCC" w:rsidRDefault="00452E9A" w:rsidP="005B3006">
      <w:pPr>
        <w:pStyle w:val="Heading1"/>
        <w:spacing w:line="276" w:lineRule="auto"/>
        <w:rPr>
          <w:rFonts w:asciiTheme="minorHAnsi" w:hAnsiTheme="minorHAnsi"/>
          <w:b/>
          <w:bCs/>
          <w:color w:val="262626" w:themeColor="text1" w:themeTint="D9"/>
          <w:sz w:val="24"/>
          <w:szCs w:val="24"/>
        </w:rPr>
      </w:pPr>
      <w:r w:rsidRPr="00625FCC">
        <w:rPr>
          <w:rFonts w:asciiTheme="minorHAnsi" w:hAnsiTheme="minorHAnsi"/>
          <w:b/>
          <w:bCs/>
          <w:color w:val="000000" w:themeColor="text1"/>
          <w:sz w:val="24"/>
          <w:szCs w:val="24"/>
        </w:rPr>
        <w:lastRenderedPageBreak/>
        <mc:AlternateContent>
          <mc:Choice Requires="wps">
            <w:drawing>
              <wp:anchor distT="0" distB="0" distL="114300" distR="114300" simplePos="0" relativeHeight="251658240" behindDoc="0" locked="0" layoutInCell="1" allowOverlap="1" wp14:anchorId="3AC7F685" wp14:editId="1378122A">
                <wp:simplePos x="0" y="0"/>
                <wp:positionH relativeFrom="margin">
                  <wp:align>left</wp:align>
                </wp:positionH>
                <wp:positionV relativeFrom="paragraph">
                  <wp:posOffset>8255</wp:posOffset>
                </wp:positionV>
                <wp:extent cx="6088380" cy="0"/>
                <wp:effectExtent l="0" t="0" r="0" b="0"/>
                <wp:wrapNone/>
                <wp:docPr id="289941102" name="Straight Connector 1"/>
                <wp:cNvGraphicFramePr/>
                <a:graphic xmlns:a="http://schemas.openxmlformats.org/drawingml/2006/main">
                  <a:graphicData uri="http://schemas.microsoft.com/office/word/2010/wordprocessingShape">
                    <wps:wsp>
                      <wps:cNvCnPr/>
                      <wps:spPr>
                        <a:xfrm>
                          <a:off x="0" y="0"/>
                          <a:ext cx="6088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w14:anchorId="687AF9FD">
              <v:line id="Straight Connector 1" style="position:absolute;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156082 [3204]" strokeweight=".5pt" from="0,.65pt" to="479.4pt,.65pt" w14:anchorId="60B126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">
                <v:stroke joinstyle="miter"/>
                <w10:wrap anchorx="margin"/>
              </v:line>
            </w:pict>
          </mc:Fallback>
        </mc:AlternateContent>
      </w:r>
      <w:r w:rsidR="1F459E4F" w:rsidRPr="00625FCC">
        <w:rPr>
          <w:rFonts w:asciiTheme="minorHAnsi" w:hAnsiTheme="minorHAnsi"/>
          <w:b/>
          <w:bCs/>
          <w:color w:val="262626" w:themeColor="text1" w:themeTint="D9"/>
          <w:sz w:val="24"/>
          <w:szCs w:val="24"/>
        </w:rPr>
        <w:t>ABSTRACT</w:t>
      </w:r>
      <w:bookmarkEnd w:id="0"/>
      <w:bookmarkEnd w:id="1"/>
    </w:p>
    <w:p w14:paraId="23FD2D76" w14:textId="30031804" w:rsidR="00843E23" w:rsidRDefault="00A0652C" w:rsidP="005B3006">
      <w:pPr>
        <w:spacing w:line="276" w:lineRule="auto"/>
      </w:pPr>
      <w:r w:rsidRPr="00A0652C">
        <w:t>This project examines the inter-market dynamics among gold, crude oil, and Bitcoin and their collective influence on the U.S. Dollar Index (DXY). Using daily price data from 2014 to 2024, it employs the CRISP-DM methodology to uncover patterns and construct a predictive model for DXY movements.</w:t>
      </w:r>
      <w:r w:rsidR="00C50891">
        <w:t xml:space="preserve"> </w:t>
      </w:r>
      <w:r w:rsidRPr="00A0652C">
        <w:t>Key findings highlight the critical role of gold and crude oil volatility and percentage changes in forecasting DXY fluctuations. The study also proposes actionable portfolio strategies for risk management and return optimization, offering a foundation for data-driven investment decisions and scalable financial tools.</w:t>
      </w:r>
    </w:p>
    <w:bookmarkStart w:id="2" w:name="_Toc183953124"/>
    <w:bookmarkStart w:id="3" w:name="_Toc183981941"/>
    <w:p w14:paraId="29599CEC" w14:textId="5DE9AFA6" w:rsidR="00042FF6" w:rsidRPr="00625FCC" w:rsidRDefault="0032201B" w:rsidP="005B3006">
      <w:pPr>
        <w:pStyle w:val="Heading1"/>
        <w:spacing w:line="276" w:lineRule="auto"/>
        <w:rPr>
          <w:rFonts w:asciiTheme="minorHAnsi" w:hAnsiTheme="minorHAnsi"/>
          <w:b/>
          <w:bCs/>
          <w:color w:val="262626" w:themeColor="text1" w:themeTint="D9"/>
          <w:sz w:val="24"/>
          <w:szCs w:val="24"/>
        </w:rPr>
      </w:pPr>
      <w:r w:rsidRPr="00625FCC">
        <w:rPr>
          <w:rFonts w:asciiTheme="minorHAnsi" w:hAnsiTheme="minorHAnsi"/>
          <w:b/>
          <w:bCs/>
          <w:color w:val="000000" w:themeColor="text1"/>
          <w:sz w:val="24"/>
          <w:szCs w:val="24"/>
        </w:rPr>
        <mc:AlternateContent>
          <mc:Choice Requires="wps">
            <w:drawing>
              <wp:anchor distT="0" distB="0" distL="114300" distR="114300" simplePos="0" relativeHeight="251658241" behindDoc="0" locked="0" layoutInCell="1" allowOverlap="1" wp14:anchorId="30C1DE1C" wp14:editId="7C8C48F1">
                <wp:simplePos x="0" y="0"/>
                <wp:positionH relativeFrom="margin">
                  <wp:posOffset>12700</wp:posOffset>
                </wp:positionH>
                <wp:positionV relativeFrom="paragraph">
                  <wp:posOffset>71755</wp:posOffset>
                </wp:positionV>
                <wp:extent cx="6088380" cy="0"/>
                <wp:effectExtent l="0" t="0" r="0" b="0"/>
                <wp:wrapNone/>
                <wp:docPr id="1025835105" name="Straight Connector 1"/>
                <wp:cNvGraphicFramePr/>
                <a:graphic xmlns:a="http://schemas.openxmlformats.org/drawingml/2006/main">
                  <a:graphicData uri="http://schemas.microsoft.com/office/word/2010/wordprocessingShape">
                    <wps:wsp>
                      <wps:cNvCnPr/>
                      <wps:spPr>
                        <a:xfrm>
                          <a:off x="0" y="0"/>
                          <a:ext cx="6088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w:pict w14:anchorId="2F0CAA6C">
              <v:line id="Straight Connector 1" style="position:absolute;z-index:251660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56082 [3204]" strokeweight=".5pt" from="1pt,5.65pt" to="480.4pt,5.65pt" w14:anchorId="321FAF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">
                <v:stroke joinstyle="miter"/>
                <w10:wrap anchorx="margin"/>
              </v:line>
            </w:pict>
          </mc:Fallback>
        </mc:AlternateContent>
      </w:r>
      <w:r w:rsidR="6E96201F" w:rsidRPr="00625FCC">
        <w:rPr>
          <w:rFonts w:asciiTheme="minorHAnsi" w:hAnsiTheme="minorHAnsi"/>
          <w:b/>
          <w:bCs/>
          <w:color w:val="262626" w:themeColor="text1" w:themeTint="D9"/>
          <w:sz w:val="24"/>
          <w:szCs w:val="24"/>
        </w:rPr>
        <w:t>INTRODUCTION</w:t>
      </w:r>
      <w:bookmarkEnd w:id="2"/>
      <w:bookmarkEnd w:id="3"/>
    </w:p>
    <w:p w14:paraId="2DB7EAE0" w14:textId="1AE8762D" w:rsidR="0004414B" w:rsidRPr="0004414B" w:rsidRDefault="000C5806" w:rsidP="005B3006">
      <w:pPr>
        <w:spacing w:line="276" w:lineRule="auto"/>
      </w:pPr>
      <w:r w:rsidRPr="000C5806">
        <w:t>Global financial markets are interconnected, with price changes in one asset class often influencing others. This project investigates how gold, crude oil, and Bitcoin collectively impact the U.S. Dollar Index (DXY). By analyzing daily price data over a decade (2014–2024), the study aims to uncover dependencies among these assets and develop a predictive model for DXY. This model provides insights for portfolio risk evaluation and market forecasting, contributing to smarter investment strategies.</w:t>
      </w:r>
    </w:p>
    <w:p w14:paraId="78A15438" w14:textId="37A25D03" w:rsidR="0055650C" w:rsidRPr="00625FCC" w:rsidRDefault="0125405E" w:rsidP="005B3006">
      <w:pPr>
        <w:pStyle w:val="Heading1"/>
        <w:spacing w:line="276" w:lineRule="auto"/>
        <w:rPr>
          <w:rFonts w:asciiTheme="minorHAnsi" w:hAnsiTheme="minorHAnsi"/>
          <w:b/>
          <w:bCs/>
          <w:color w:val="262626" w:themeColor="text1" w:themeTint="D9"/>
          <w:sz w:val="24"/>
          <w:szCs w:val="24"/>
        </w:rPr>
      </w:pPr>
      <w:bookmarkStart w:id="4" w:name="_Toc183953125"/>
      <w:bookmarkStart w:id="5" w:name="_Toc183981942"/>
      <w:r w:rsidRPr="00625FCC">
        <w:rPr>
          <w:rFonts w:asciiTheme="minorHAnsi" w:hAnsiTheme="minorHAnsi"/>
          <w:b/>
          <w:bCs/>
          <w:color w:val="262626" w:themeColor="text1" w:themeTint="D9"/>
          <w:sz w:val="24"/>
          <w:szCs w:val="24"/>
        </w:rPr>
        <w:t>METHODOLOGY</w:t>
      </w:r>
      <w:bookmarkEnd w:id="4"/>
      <w:bookmarkEnd w:id="5"/>
    </w:p>
    <w:p w14:paraId="65A3E6AC" w14:textId="77777777" w:rsidR="005E1638" w:rsidRPr="00625FCC" w:rsidRDefault="005E1638" w:rsidP="005B3006">
      <w:pPr>
        <w:spacing w:line="276" w:lineRule="auto"/>
        <w:jc w:val="both"/>
        <w:rPr>
          <w:color w:val="000000" w:themeColor="text1"/>
        </w:rPr>
      </w:pPr>
      <w:r w:rsidRPr="00625FCC">
        <w:rPr>
          <w:rFonts w:eastAsia="Aptos" w:cs="Aptos"/>
        </w:rPr>
        <w:t xml:space="preserve">The Cross Industry Standard Process for Data Mining (CRISP-DM) framework was used as the base methodology for this project. It offers a structured approach, guiding us through key phases of </w:t>
      </w:r>
      <w:r w:rsidRPr="00625FCC">
        <w:rPr>
          <w:rFonts w:eastAsia="Aptos" w:cs="Aptos"/>
          <w:i/>
          <w:iCs/>
        </w:rPr>
        <w:t xml:space="preserve">Business Understanding, Data Understanding, Data Preparation, Modeling, Evaluation, </w:t>
      </w:r>
      <w:r w:rsidRPr="00625FCC">
        <w:rPr>
          <w:rFonts w:eastAsia="Aptos" w:cs="Aptos"/>
        </w:rPr>
        <w:t>and</w:t>
      </w:r>
      <w:r w:rsidRPr="00625FCC">
        <w:rPr>
          <w:rFonts w:eastAsia="Aptos" w:cs="Aptos"/>
          <w:i/>
          <w:iCs/>
        </w:rPr>
        <w:t xml:space="preserve"> Deployment.</w:t>
      </w:r>
      <w:r w:rsidRPr="00625FCC">
        <w:rPr>
          <w:rFonts w:eastAsia="Aptos" w:cs="Aptos"/>
        </w:rPr>
        <w:t xml:space="preserve"> </w:t>
      </w:r>
    </w:p>
    <w:p w14:paraId="6737146E" w14:textId="17EB5E97" w:rsidR="00D85D4F" w:rsidRPr="00D85D4F" w:rsidRDefault="00D85D4F" w:rsidP="005B3006">
      <w:pPr>
        <w:numPr>
          <w:ilvl w:val="0"/>
          <w:numId w:val="1"/>
        </w:numPr>
        <w:spacing w:line="276" w:lineRule="auto"/>
      </w:pPr>
      <w:r w:rsidRPr="00D85D4F">
        <w:rPr>
          <w:b/>
          <w:bCs/>
        </w:rPr>
        <w:t>Business Understanding:</w:t>
      </w:r>
      <w:r w:rsidRPr="00D85D4F">
        <w:t xml:space="preserve"> </w:t>
      </w:r>
      <w:r w:rsidR="00C14297">
        <w:t>Here we define the</w:t>
      </w:r>
      <w:r w:rsidRPr="00D85D4F">
        <w:t xml:space="preserve"> project goals, outlined business questions, and established the scope of analysis to understand the relationships between assets and their impact on the U.S. Dollar Index (DXY).</w:t>
      </w:r>
    </w:p>
    <w:p w14:paraId="4717B5F9" w14:textId="77777777" w:rsidR="00D85D4F" w:rsidRPr="00D85D4F" w:rsidRDefault="00D85D4F" w:rsidP="005B3006">
      <w:pPr>
        <w:numPr>
          <w:ilvl w:val="0"/>
          <w:numId w:val="1"/>
        </w:numPr>
        <w:spacing w:line="276" w:lineRule="auto"/>
      </w:pPr>
      <w:r w:rsidRPr="00D85D4F">
        <w:rPr>
          <w:b/>
          <w:bCs/>
        </w:rPr>
        <w:t>Data Understanding:</w:t>
      </w:r>
      <w:r w:rsidRPr="00D85D4F">
        <w:t xml:space="preserve"> Conducted an exploratory analysis of the collected dataset, examining time series trends, correlations, and identifying outliers to assess data quality and relevance.</w:t>
      </w:r>
    </w:p>
    <w:p w14:paraId="73ACEE84" w14:textId="77777777" w:rsidR="00D85D4F" w:rsidRPr="00D85D4F" w:rsidRDefault="00D85D4F" w:rsidP="005B3006">
      <w:pPr>
        <w:numPr>
          <w:ilvl w:val="0"/>
          <w:numId w:val="1"/>
        </w:numPr>
        <w:spacing w:line="276" w:lineRule="auto"/>
      </w:pPr>
      <w:r w:rsidRPr="00D85D4F">
        <w:rPr>
          <w:b/>
          <w:bCs/>
        </w:rPr>
        <w:t>Data Preparation:</w:t>
      </w:r>
      <w:r w:rsidRPr="00D85D4F">
        <w:t xml:space="preserve"> Applied preprocessing techniques, including cleaning and feature engineering, to prepare the data for modeling. Pipelines were established for consistent transformations and reproducibility.</w:t>
      </w:r>
    </w:p>
    <w:p w14:paraId="4C472EB8" w14:textId="77777777" w:rsidR="00D85D4F" w:rsidRPr="00D85D4F" w:rsidRDefault="00D85D4F" w:rsidP="005B3006">
      <w:pPr>
        <w:numPr>
          <w:ilvl w:val="0"/>
          <w:numId w:val="1"/>
        </w:numPr>
        <w:spacing w:line="276" w:lineRule="auto"/>
      </w:pPr>
      <w:r w:rsidRPr="00D85D4F">
        <w:rPr>
          <w:b/>
          <w:bCs/>
        </w:rPr>
        <w:t>Modeling &amp; Evaluation:</w:t>
      </w:r>
      <w:r w:rsidRPr="00D85D4F">
        <w:t xml:space="preserve"> Built predictive models using historical data and evaluated their performance using appropriate metrics. The analysis included risk assessment to ensure practical utility for portfolio management.</w:t>
      </w:r>
    </w:p>
    <w:p w14:paraId="32EDBF9A" w14:textId="572BB098" w:rsidR="00645355" w:rsidRPr="00645355" w:rsidRDefault="00D85D4F" w:rsidP="005B3006">
      <w:pPr>
        <w:numPr>
          <w:ilvl w:val="0"/>
          <w:numId w:val="1"/>
        </w:numPr>
        <w:spacing w:line="276" w:lineRule="auto"/>
      </w:pPr>
      <w:r w:rsidRPr="00D85D4F">
        <w:rPr>
          <w:b/>
          <w:bCs/>
        </w:rPr>
        <w:lastRenderedPageBreak/>
        <w:t>Deployment:</w:t>
      </w:r>
      <w:r w:rsidRPr="00D85D4F">
        <w:t xml:space="preserve"> Developed a project repository and a user-friendly application to demonstrate the predictive model’s capabilities and its potential integration into risk management workflows.</w:t>
      </w:r>
    </w:p>
    <w:p w14:paraId="6A61197C" w14:textId="5B1D3CFE" w:rsidR="00AB0824" w:rsidRPr="00625FCC" w:rsidRDefault="005C1255" w:rsidP="005B3006">
      <w:pPr>
        <w:pStyle w:val="Heading1"/>
        <w:spacing w:line="276" w:lineRule="auto"/>
        <w:rPr>
          <w:rFonts w:asciiTheme="minorHAnsi" w:hAnsiTheme="minorHAnsi"/>
          <w:b/>
          <w:bCs/>
          <w:color w:val="auto"/>
          <w:sz w:val="24"/>
          <w:szCs w:val="24"/>
        </w:rPr>
      </w:pPr>
      <w:bookmarkStart w:id="6" w:name="_Toc183953126"/>
      <w:bookmarkStart w:id="7" w:name="_Toc183981943"/>
      <w:r w:rsidRPr="00625FCC">
        <w:rPr>
          <w:rFonts w:asciiTheme="minorHAnsi" w:hAnsiTheme="minorHAnsi"/>
          <w:b/>
          <w:bCs/>
          <w:color w:val="auto"/>
          <w:sz w:val="24"/>
          <w:szCs w:val="24"/>
        </w:rPr>
        <w:t>LITERATURE REVIEW</w:t>
      </w:r>
      <w:bookmarkEnd w:id="6"/>
      <w:bookmarkEnd w:id="7"/>
    </w:p>
    <w:p w14:paraId="63700DBF" w14:textId="66F375B6" w:rsidR="00713302" w:rsidRPr="00713302" w:rsidRDefault="00713302" w:rsidP="005B3006">
      <w:pPr>
        <w:spacing w:line="276" w:lineRule="auto"/>
      </w:pPr>
      <w:r w:rsidRPr="00713302">
        <w:t>This project builds on existing research examining the relationships among financial assets, commodities, and the U.S. Dollar Index.</w:t>
      </w:r>
      <w:r w:rsidR="00227ED7">
        <w:t xml:space="preserve"> </w:t>
      </w:r>
      <w:r w:rsidR="00227ED7" w:rsidRPr="00713302">
        <w:t>These studies collectively provide a foundation for analyzing how gold, crude oil, and Bitcoin impact the U.S. Dollar Index, especially under volatile economic conditions.</w:t>
      </w:r>
      <w:r w:rsidRPr="00713302">
        <w:t xml:space="preserve"> Key studies include:</w:t>
      </w:r>
    </w:p>
    <w:p w14:paraId="5CCC5105" w14:textId="77777777" w:rsidR="00713302" w:rsidRPr="00713302" w:rsidRDefault="00713302" w:rsidP="005B3006">
      <w:pPr>
        <w:spacing w:line="276" w:lineRule="auto"/>
      </w:pPr>
      <w:r w:rsidRPr="00713302">
        <w:rPr>
          <w:b/>
          <w:bCs/>
        </w:rPr>
        <w:t>Inter-Market Relationships:</w:t>
      </w:r>
    </w:p>
    <w:p w14:paraId="254D1797" w14:textId="77777777" w:rsidR="00713302" w:rsidRPr="00713302" w:rsidRDefault="00713302" w:rsidP="005B3006">
      <w:pPr>
        <w:numPr>
          <w:ilvl w:val="0"/>
          <w:numId w:val="2"/>
        </w:numPr>
        <w:spacing w:line="276" w:lineRule="auto"/>
      </w:pPr>
      <w:proofErr w:type="spellStart"/>
      <w:r w:rsidRPr="00713302">
        <w:rPr>
          <w:i/>
          <w:iCs/>
        </w:rPr>
        <w:t>Attarzadeh</w:t>
      </w:r>
      <w:proofErr w:type="spellEnd"/>
      <w:r w:rsidRPr="00713302">
        <w:t xml:space="preserve"> and </w:t>
      </w:r>
      <w:proofErr w:type="spellStart"/>
      <w:r w:rsidRPr="00713302">
        <w:rPr>
          <w:i/>
          <w:iCs/>
        </w:rPr>
        <w:t>Balcilar</w:t>
      </w:r>
      <w:proofErr w:type="spellEnd"/>
      <w:r w:rsidRPr="00713302">
        <w:t xml:space="preserve"> (2022) explored how Bitcoin, crude oil, clean energy, and stock markets interacted during crises, such as the COVID-19 pandemic, using a time-varying parameter model.</w:t>
      </w:r>
    </w:p>
    <w:p w14:paraId="38567074" w14:textId="5812FAA5" w:rsidR="00A05746" w:rsidRPr="00625FCC" w:rsidRDefault="006403A5" w:rsidP="005B3006">
      <w:pPr>
        <w:spacing w:line="276" w:lineRule="auto"/>
      </w:pPr>
      <w:r w:rsidRPr="006403A5">
        <w:t>This study uses daily data from November 2013 to September 2021 to analyze the connectedness between Bitcoin, crude oil, clean energy, and stock markets. It employs a time-varying parameter model to examine how these markets interact, particularly during crises like the 2018 cryptocurrency crash and the COVID-19 pandemic in 2020. Both this study and our project focus on how Bitcoin and crude oil interact with other markets. While they explore asset connectedness, our project specifically investigates how Bitcoin, crude oil, and gold influence the U.S. Dollar Index (DXY).</w:t>
      </w:r>
    </w:p>
    <w:p w14:paraId="198ECF7A" w14:textId="77777777" w:rsidR="00713302" w:rsidRPr="00713302" w:rsidRDefault="00713302" w:rsidP="005B3006">
      <w:pPr>
        <w:numPr>
          <w:ilvl w:val="0"/>
          <w:numId w:val="2"/>
        </w:numPr>
        <w:spacing w:line="276" w:lineRule="auto"/>
      </w:pPr>
      <w:r w:rsidRPr="00713302">
        <w:rPr>
          <w:i/>
          <w:iCs/>
        </w:rPr>
        <w:t>Zhang</w:t>
      </w:r>
      <w:r w:rsidRPr="00713302">
        <w:t xml:space="preserve"> and </w:t>
      </w:r>
      <w:r w:rsidRPr="00713302">
        <w:rPr>
          <w:i/>
          <w:iCs/>
        </w:rPr>
        <w:t>Zhou</w:t>
      </w:r>
      <w:r w:rsidRPr="00713302">
        <w:t xml:space="preserve"> (2023) analyzed the U.S. Dollar, crude oil, gold, and Bitcoin, focusing on higher-order moments like volatility and skewness, using Granger causality to reveal interconnections.</w:t>
      </w:r>
    </w:p>
    <w:p w14:paraId="2ED1AE5A" w14:textId="632696A7" w:rsidR="0008390F" w:rsidRPr="00625FCC" w:rsidRDefault="0008390F" w:rsidP="005B3006">
      <w:pPr>
        <w:spacing w:line="276" w:lineRule="auto"/>
      </w:pPr>
      <w:r w:rsidRPr="0008390F">
        <w:t>This study uses high-frequency data from January 2016 to June 2022 on the U.S. Dollar, crude oil, gold, and Bitcoin. The authors apply robust estimators for volatility, skewness, and kurtosis to analyze the higher-order moments of these assets, using Granger causality and impulse response analysis to assess cross-market interconnections. Both studies focus on the interactions between the U.S. Dollar, crude oil, gold, and Bitcoin. While this paper looks at higher-order moments and causality, our project aims to predict the U.S. Dollar Index using historical price data for these assets.</w:t>
      </w:r>
    </w:p>
    <w:p w14:paraId="16BA4A13" w14:textId="77777777" w:rsidR="00713302" w:rsidRPr="00713302" w:rsidRDefault="7E8F71FE" w:rsidP="005B3006">
      <w:pPr>
        <w:numPr>
          <w:ilvl w:val="0"/>
          <w:numId w:val="2"/>
        </w:numPr>
        <w:spacing w:line="276" w:lineRule="auto"/>
      </w:pPr>
      <w:proofErr w:type="spellStart"/>
      <w:r w:rsidRPr="7E8F71FE">
        <w:rPr>
          <w:i/>
          <w:iCs/>
        </w:rPr>
        <w:t>Koczar</w:t>
      </w:r>
      <w:proofErr w:type="spellEnd"/>
      <w:r>
        <w:t xml:space="preserve"> et al. (2024) studied dynamic linkages between crude oil, renewable energy indices, and U.S. market sectors, highlighting contagion effects during events like the COVID-19 crisis.</w:t>
      </w:r>
    </w:p>
    <w:p w14:paraId="3EDB2A30" w14:textId="1E142D57" w:rsidR="00353828" w:rsidRPr="00625FCC" w:rsidRDefault="00353828" w:rsidP="005B3006">
      <w:pPr>
        <w:spacing w:line="276" w:lineRule="auto"/>
      </w:pPr>
      <w:r w:rsidRPr="00353828">
        <w:lastRenderedPageBreak/>
        <w:t>This study uses daily data from August 2014 to February 2024 to assess the dynamic relationships between crude oil futures contracts, renewable energy indices, carbon credit futures indices, and various U.S. sector market indices. The authors apply the DECO-GARCH model and the Diebold-Yilmaz connectedness index to analyze these relationships, focusing on periods of stress, such as the COVID-19 crisis and the Russian Ukrainian conflict. Both this study and our project explore how crude oil prices influence other markets. While this paper focuses on oil’s interconnectedness with various U.S. sectors and energy markets, our project focuses on how oil prices, along with gold and Bitcoin, affect the U.S. Dollar Index.</w:t>
      </w:r>
    </w:p>
    <w:p w14:paraId="03B86AB6" w14:textId="77777777" w:rsidR="00713302" w:rsidRPr="00713302" w:rsidRDefault="00713302" w:rsidP="005B3006">
      <w:pPr>
        <w:spacing w:line="276" w:lineRule="auto"/>
      </w:pPr>
      <w:r w:rsidRPr="00713302">
        <w:rPr>
          <w:b/>
          <w:bCs/>
        </w:rPr>
        <w:t>Bitcoin and Gold as Financial Tools:</w:t>
      </w:r>
    </w:p>
    <w:p w14:paraId="54E2773F" w14:textId="77777777" w:rsidR="00713302" w:rsidRPr="00713302" w:rsidRDefault="00713302" w:rsidP="005B3006">
      <w:pPr>
        <w:numPr>
          <w:ilvl w:val="0"/>
          <w:numId w:val="2"/>
        </w:numPr>
        <w:spacing w:line="276" w:lineRule="auto"/>
      </w:pPr>
      <w:r w:rsidRPr="00713302">
        <w:rPr>
          <w:i/>
          <w:iCs/>
        </w:rPr>
        <w:t>Baur</w:t>
      </w:r>
      <w:r w:rsidRPr="00713302">
        <w:t xml:space="preserve"> and </w:t>
      </w:r>
      <w:r w:rsidRPr="00713302">
        <w:rPr>
          <w:i/>
          <w:iCs/>
        </w:rPr>
        <w:t>McDermott</w:t>
      </w:r>
      <w:r w:rsidRPr="00713302">
        <w:t xml:space="preserve"> (2009) investigated gold’s role as </w:t>
      </w:r>
      <w:proofErr w:type="gramStart"/>
      <w:r w:rsidRPr="00713302">
        <w:t>a safe haven</w:t>
      </w:r>
      <w:proofErr w:type="gramEnd"/>
      <w:r w:rsidRPr="00713302">
        <w:t xml:space="preserve"> during market instability.</w:t>
      </w:r>
    </w:p>
    <w:p w14:paraId="63B38687" w14:textId="64455978" w:rsidR="007852B6" w:rsidRPr="00625FCC" w:rsidRDefault="007852B6" w:rsidP="005B3006">
      <w:pPr>
        <w:spacing w:line="276" w:lineRule="auto"/>
      </w:pPr>
      <w:r w:rsidRPr="007852B6">
        <w:t xml:space="preserve">This study analyzes a 30-year period from 1979 to 2009, examining the role of gold as a hedge and </w:t>
      </w:r>
      <w:proofErr w:type="gramStart"/>
      <w:r w:rsidRPr="007852B6">
        <w:t>safe haven</w:t>
      </w:r>
      <w:proofErr w:type="gramEnd"/>
      <w:r w:rsidRPr="007852B6">
        <w:t xml:space="preserve"> across major global stock markets. It investigates how gold behaves compared to stocks in various countries, particularly during periods of market instability, including the financial crisis. Both this study and our project focus on gold’s role as a financial asset, particularly in times of economic stress. While this paper looks at gold’s safe haven behavior against stock market losses, our project examines how gold impacts the U.S. Dollar Index in combination with other assets like crude oil and Bitcoin.</w:t>
      </w:r>
    </w:p>
    <w:p w14:paraId="0F058F65" w14:textId="77777777" w:rsidR="00713302" w:rsidRPr="00713302" w:rsidRDefault="00713302" w:rsidP="005B3006">
      <w:pPr>
        <w:numPr>
          <w:ilvl w:val="0"/>
          <w:numId w:val="2"/>
        </w:numPr>
        <w:spacing w:line="276" w:lineRule="auto"/>
      </w:pPr>
      <w:r w:rsidRPr="00713302">
        <w:rPr>
          <w:i/>
          <w:iCs/>
        </w:rPr>
        <w:t>Baur</w:t>
      </w:r>
      <w:r w:rsidRPr="00713302">
        <w:t xml:space="preserve"> and </w:t>
      </w:r>
      <w:r w:rsidRPr="00713302">
        <w:rPr>
          <w:i/>
          <w:iCs/>
        </w:rPr>
        <w:t>Hoang</w:t>
      </w:r>
      <w:r w:rsidRPr="00713302">
        <w:t xml:space="preserve"> (2021) examined Bitcoin's correlation with gold, showing a fluctuating relationship depending on market conditions.</w:t>
      </w:r>
    </w:p>
    <w:p w14:paraId="0F8891A0" w14:textId="7EC7F069" w:rsidR="006C774D" w:rsidRPr="00292D0B" w:rsidRDefault="00292D0B" w:rsidP="005B3006">
      <w:pPr>
        <w:spacing w:line="276" w:lineRule="auto"/>
      </w:pPr>
      <w:r w:rsidRPr="00292D0B">
        <w:t>This study uses daily and monthly price data from 2011 to 2021 for Bitcoin and gold to explore their correlation. It finds a near-zero correlation Project Proposal - Inter-Market Dynamics: Predicting the U.S. Dollar Index Based on Gold, Crude Oil, and Bitcoin Trends between Bitcoin and gold, challenging the idea of Bitcoin as "digital gold." The authors suggest the correlation fluctuates depending on market conditions, such as safe-haven events. This study is relevant to our analysis of Bitcoin and gold. However, while it focuses on the correlation between Bitcoin and gold, our project broadens the scope by including crude oil and investigating how all three assets collectively influence the U.S. Dollar Index.</w:t>
      </w:r>
    </w:p>
    <w:p w14:paraId="635AD18F" w14:textId="77777777" w:rsidR="00713302" w:rsidRPr="00713302" w:rsidRDefault="00713302" w:rsidP="005B3006">
      <w:pPr>
        <w:spacing w:line="276" w:lineRule="auto"/>
      </w:pPr>
      <w:r w:rsidRPr="00713302">
        <w:rPr>
          <w:b/>
          <w:bCs/>
        </w:rPr>
        <w:t>Oil Prices and Currency Dynamics:</w:t>
      </w:r>
    </w:p>
    <w:p w14:paraId="2E2639CF" w14:textId="77777777" w:rsidR="00713302" w:rsidRPr="00713302" w:rsidRDefault="00713302" w:rsidP="005B3006">
      <w:pPr>
        <w:numPr>
          <w:ilvl w:val="0"/>
          <w:numId w:val="2"/>
        </w:numPr>
        <w:spacing w:line="276" w:lineRule="auto"/>
      </w:pPr>
      <w:r w:rsidRPr="00713302">
        <w:rPr>
          <w:i/>
          <w:iCs/>
        </w:rPr>
        <w:t>Das</w:t>
      </w:r>
      <w:r w:rsidRPr="00713302">
        <w:t xml:space="preserve"> and </w:t>
      </w:r>
      <w:r w:rsidRPr="00713302">
        <w:rPr>
          <w:i/>
          <w:iCs/>
        </w:rPr>
        <w:t>Jana</w:t>
      </w:r>
      <w:r w:rsidRPr="00713302">
        <w:t xml:space="preserve"> (2020) compared Bitcoin, gold, and the U.S. Dollar as hedges against oil price volatility.</w:t>
      </w:r>
    </w:p>
    <w:p w14:paraId="0DCAC03A" w14:textId="5C9BB143" w:rsidR="00D20968" w:rsidRPr="00625FCC" w:rsidRDefault="00D20968" w:rsidP="005B3006">
      <w:pPr>
        <w:spacing w:line="276" w:lineRule="auto"/>
      </w:pPr>
      <w:r w:rsidRPr="00D20968">
        <w:t xml:space="preserve">This study uses daily data on Bitcoin, crude oil volatility (OVX), gold, commodities, and the U.S. Dollar. It looks at how Bitcoin performs as a hedge compared to gold and the U.S. </w:t>
      </w:r>
      <w:r w:rsidRPr="00D20968">
        <w:lastRenderedPageBreak/>
        <w:t>Dollar, especially during times of oil price changes. Both studies explore how Bitcoin, gold, and crude oil interact with other markets. While this study looks at Bitcoin as a hedge, our project investigates how these assets influence the U.S. Dollar Index.</w:t>
      </w:r>
    </w:p>
    <w:p w14:paraId="0B849265" w14:textId="77777777" w:rsidR="00713302" w:rsidRPr="00713302" w:rsidRDefault="00713302" w:rsidP="005B3006">
      <w:pPr>
        <w:numPr>
          <w:ilvl w:val="0"/>
          <w:numId w:val="2"/>
        </w:numPr>
        <w:spacing w:line="276" w:lineRule="auto"/>
      </w:pPr>
      <w:r w:rsidRPr="00713302">
        <w:rPr>
          <w:i/>
          <w:iCs/>
        </w:rPr>
        <w:t>Lin</w:t>
      </w:r>
      <w:r w:rsidRPr="00713302">
        <w:t xml:space="preserve"> et al. (2015) analyzed the effect of macroeconomic factors like U.S. monetary policy on the dynamic relationships between the dollar, oil, and gold prices.</w:t>
      </w:r>
    </w:p>
    <w:p w14:paraId="578D0AF5" w14:textId="54A56506" w:rsidR="0042640F" w:rsidRPr="0042640F" w:rsidRDefault="0042640F" w:rsidP="005B3006">
      <w:pPr>
        <w:spacing w:line="276" w:lineRule="auto"/>
      </w:pPr>
      <w:r w:rsidRPr="0042640F">
        <w:t>This study uses weekly data from 1982 to 2013 on the U.S. Dollar, crude oil, and gold prices, sourced from DataStream. It applies wavelet analysis to explore the dynamic relationships between these assets, with a focus on how macroeconomic conditions, such as U.S. monetary policy, affect these correlations, particularly during financial crises. Both this study and our project investigate the relationship between the U.S. Dollar, crude oil, and gold. While they focus on oil-gold-dollar interactions, we extend this analysis by including cryptocurrencies like Bitcoin and examining their influence on the U.S. Dollar Index.</w:t>
      </w:r>
    </w:p>
    <w:p w14:paraId="77F0D826" w14:textId="77777777" w:rsidR="00713302" w:rsidRPr="00713302" w:rsidRDefault="00713302" w:rsidP="005B3006">
      <w:pPr>
        <w:numPr>
          <w:ilvl w:val="0"/>
          <w:numId w:val="2"/>
        </w:numPr>
        <w:spacing w:line="276" w:lineRule="auto"/>
      </w:pPr>
      <w:r w:rsidRPr="00713302">
        <w:rPr>
          <w:i/>
          <w:iCs/>
        </w:rPr>
        <w:t>Suliman</w:t>
      </w:r>
      <w:r w:rsidRPr="00713302">
        <w:t xml:space="preserve"> and </w:t>
      </w:r>
      <w:r w:rsidRPr="00713302">
        <w:rPr>
          <w:i/>
          <w:iCs/>
        </w:rPr>
        <w:t>Abid</w:t>
      </w:r>
      <w:r w:rsidRPr="00713302">
        <w:t xml:space="preserve"> (2020) confirmed a long-term relationship between oil prices and exchange rates in Saudi Arabia.</w:t>
      </w:r>
    </w:p>
    <w:p w14:paraId="220C51A3" w14:textId="257955D0" w:rsidR="002B5C8C" w:rsidRPr="002B5C8C" w:rsidRDefault="002B5C8C" w:rsidP="005B3006">
      <w:pPr>
        <w:spacing w:line="276" w:lineRule="auto"/>
      </w:pPr>
      <w:r w:rsidRPr="002B5C8C">
        <w:t>This study uses monthly data from January 1986 to March 2019 to explore the relationship between oil prices and exchange rates in Saudi Arabia. The authors apply an autoregressive distributed lag model and an error correction model to identify long-term and short-term dynamics, confirming a robust long-term cointegration between oil prices and exchange rates. Both this study and our project examine the relationship between oil prices and exchange rates. However, while this study focuses on the Saudi Arabian exchange rate, our project expands the analysis to include the U.S. Dollar Index and how oil prices, along with gold and Bitcoin, influence it.</w:t>
      </w:r>
    </w:p>
    <w:p w14:paraId="6DA11121" w14:textId="77777777" w:rsidR="00713302" w:rsidRPr="00713302" w:rsidRDefault="00713302" w:rsidP="005B3006">
      <w:pPr>
        <w:spacing w:line="276" w:lineRule="auto"/>
      </w:pPr>
      <w:r w:rsidRPr="00713302">
        <w:rPr>
          <w:b/>
          <w:bCs/>
        </w:rPr>
        <w:t>Cryptocurrency Volatility:</w:t>
      </w:r>
    </w:p>
    <w:p w14:paraId="571B0B69" w14:textId="77777777" w:rsidR="00713302" w:rsidRPr="00713302" w:rsidRDefault="00713302" w:rsidP="005B3006">
      <w:pPr>
        <w:numPr>
          <w:ilvl w:val="0"/>
          <w:numId w:val="2"/>
        </w:numPr>
        <w:spacing w:line="276" w:lineRule="auto"/>
      </w:pPr>
      <w:proofErr w:type="spellStart"/>
      <w:r w:rsidRPr="00713302">
        <w:rPr>
          <w:i/>
          <w:iCs/>
        </w:rPr>
        <w:t>Bakas</w:t>
      </w:r>
      <w:proofErr w:type="spellEnd"/>
      <w:r w:rsidRPr="00713302">
        <w:t xml:space="preserve"> and </w:t>
      </w:r>
      <w:proofErr w:type="spellStart"/>
      <w:r w:rsidRPr="00713302">
        <w:rPr>
          <w:i/>
          <w:iCs/>
        </w:rPr>
        <w:t>Magkonis</w:t>
      </w:r>
      <w:proofErr w:type="spellEnd"/>
      <w:r w:rsidRPr="00713302">
        <w:t xml:space="preserve"> (2022) explored drivers of Bitcoin market volatility, emphasizing the influence of external shocks.</w:t>
      </w:r>
    </w:p>
    <w:p w14:paraId="708D236C" w14:textId="5FB9CE35" w:rsidR="004B771E" w:rsidRPr="00625FCC" w:rsidRDefault="004B771E" w:rsidP="005B3006">
      <w:pPr>
        <w:spacing w:line="276" w:lineRule="auto"/>
      </w:pPr>
      <w:r w:rsidRPr="004B771E">
        <w:t>This study uses monthly data from January 1997 to July 2013 to analyze the impact of oil price shocks on stock market performance in three distinct Asian economies. The authors apply Toda and Yamamoto’s causality approach and Project Proposal - Inter-Market Dynamics: Predicting the U.S. Dollar Index Based on Gold, Crude Oil, and Bitcoin Trends generalized impulse response functions to examine both long-term and short-term relationships between oil prices and stock market returns. Both studies investigate the influence of oil prices on financial markets. While this paper focuses on the effect of oil price shocks on stock markets in different economies, our project explores how oil prices, along with gold and Bitcoin, impact the U.S. Dollar Index.</w:t>
      </w:r>
    </w:p>
    <w:p w14:paraId="28A66958" w14:textId="052EA818" w:rsidR="009A0004" w:rsidRPr="00625FCC" w:rsidRDefault="00AB0824" w:rsidP="005B3006">
      <w:pPr>
        <w:pStyle w:val="Heading1"/>
        <w:spacing w:line="276" w:lineRule="auto"/>
        <w:rPr>
          <w:rFonts w:asciiTheme="minorHAnsi" w:hAnsiTheme="minorHAnsi"/>
          <w:b/>
          <w:bCs/>
          <w:color w:val="auto"/>
          <w:sz w:val="24"/>
          <w:szCs w:val="24"/>
        </w:rPr>
      </w:pPr>
      <w:bookmarkStart w:id="8" w:name="_Toc183953127"/>
      <w:bookmarkStart w:id="9" w:name="_Toc183981944"/>
      <w:r w:rsidRPr="00625FCC">
        <w:rPr>
          <w:rFonts w:asciiTheme="minorHAnsi" w:hAnsiTheme="minorHAnsi"/>
          <w:b/>
          <w:bCs/>
          <w:color w:val="auto"/>
          <w:sz w:val="24"/>
          <w:szCs w:val="24"/>
        </w:rPr>
        <w:lastRenderedPageBreak/>
        <w:t>BUSINESS UNDERSTANDING</w:t>
      </w:r>
      <w:bookmarkEnd w:id="8"/>
      <w:bookmarkEnd w:id="9"/>
    </w:p>
    <w:p w14:paraId="60281BA5" w14:textId="77777777" w:rsidR="00E811B7" w:rsidRPr="00625FCC" w:rsidRDefault="00847225" w:rsidP="005B3006">
      <w:pPr>
        <w:pStyle w:val="Heading2"/>
        <w:spacing w:line="276" w:lineRule="auto"/>
        <w:rPr>
          <w:rFonts w:asciiTheme="minorHAnsi" w:hAnsiTheme="minorHAnsi"/>
          <w:color w:val="auto"/>
          <w:sz w:val="24"/>
          <w:szCs w:val="24"/>
        </w:rPr>
      </w:pPr>
      <w:bookmarkStart w:id="10" w:name="_Toc183953128"/>
      <w:bookmarkStart w:id="11" w:name="_Toc183981945"/>
      <w:r w:rsidRPr="00625FCC">
        <w:rPr>
          <w:rFonts w:asciiTheme="minorHAnsi" w:hAnsiTheme="minorHAnsi"/>
          <w:color w:val="auto"/>
          <w:sz w:val="24"/>
          <w:szCs w:val="24"/>
        </w:rPr>
        <w:t>Objective</w:t>
      </w:r>
      <w:bookmarkEnd w:id="10"/>
      <w:bookmarkEnd w:id="11"/>
    </w:p>
    <w:p w14:paraId="3DAD759B" w14:textId="77777777" w:rsidR="00943057" w:rsidRPr="008A71B0" w:rsidRDefault="00943057" w:rsidP="005B3006">
      <w:pPr>
        <w:spacing w:line="276" w:lineRule="auto"/>
      </w:pPr>
      <w:r w:rsidRPr="008A71B0">
        <w:t xml:space="preserve">The primary objective of this project is to predict fluctuations in the U.S. Dollar Index (DXY) using historical prices of Bitcoin, crude oil, and gold, alongside other influential factors such as economic trends and temporal variables. Additionally, the project aims to utilize these predictions to </w:t>
      </w:r>
      <w:r w:rsidRPr="007E3C87">
        <w:rPr>
          <w:b/>
          <w:bCs/>
          <w:i/>
          <w:iCs/>
        </w:rPr>
        <w:t>calculate</w:t>
      </w:r>
      <w:r w:rsidRPr="008A71B0">
        <w:t xml:space="preserve"> and </w:t>
      </w:r>
      <w:r w:rsidRPr="007E3C87">
        <w:rPr>
          <w:b/>
          <w:bCs/>
          <w:i/>
          <w:iCs/>
        </w:rPr>
        <w:t>assess portfolio risk</w:t>
      </w:r>
      <w:r w:rsidRPr="008A71B0">
        <w:t>, providing actionable insights for more informed investment strategies.</w:t>
      </w:r>
    </w:p>
    <w:p w14:paraId="08E223DE" w14:textId="2861740A" w:rsidR="00847225" w:rsidRPr="00625FCC" w:rsidRDefault="00017A34" w:rsidP="005B3006">
      <w:pPr>
        <w:pStyle w:val="Heading2"/>
        <w:spacing w:line="276" w:lineRule="auto"/>
        <w:rPr>
          <w:rFonts w:asciiTheme="minorHAnsi" w:hAnsiTheme="minorHAnsi"/>
          <w:color w:val="auto"/>
          <w:sz w:val="24"/>
          <w:szCs w:val="24"/>
        </w:rPr>
      </w:pPr>
      <w:bookmarkStart w:id="12" w:name="_Toc183953129"/>
      <w:bookmarkStart w:id="13" w:name="_Toc183981946"/>
      <w:r w:rsidRPr="00625FCC">
        <w:rPr>
          <w:rFonts w:asciiTheme="minorHAnsi" w:hAnsiTheme="minorHAnsi"/>
          <w:color w:val="auto"/>
          <w:sz w:val="24"/>
          <w:szCs w:val="24"/>
        </w:rPr>
        <w:t>Business</w:t>
      </w:r>
      <w:r w:rsidR="00847225" w:rsidRPr="00625FCC">
        <w:rPr>
          <w:rFonts w:asciiTheme="minorHAnsi" w:hAnsiTheme="minorHAnsi"/>
          <w:color w:val="auto"/>
          <w:sz w:val="24"/>
          <w:szCs w:val="24"/>
        </w:rPr>
        <w:t xml:space="preserve"> Questions</w:t>
      </w:r>
      <w:bookmarkEnd w:id="12"/>
      <w:bookmarkEnd w:id="13"/>
    </w:p>
    <w:p w14:paraId="68B81ADC" w14:textId="6827018A" w:rsidR="00A751F2" w:rsidRPr="008A71B0" w:rsidRDefault="00A751F2" w:rsidP="005B3006">
      <w:pPr>
        <w:pStyle w:val="ListParagraph"/>
        <w:numPr>
          <w:ilvl w:val="0"/>
          <w:numId w:val="4"/>
        </w:numPr>
        <w:spacing w:line="276" w:lineRule="auto"/>
      </w:pPr>
      <w:r w:rsidRPr="008A71B0">
        <w:t>What are the relationships between Bitcoin, crude oil, and gold prices, and how do they correlate with changes in the U.S. Dollar Index?</w:t>
      </w:r>
    </w:p>
    <w:p w14:paraId="55AA3719" w14:textId="3B72E845" w:rsidR="00A751F2" w:rsidRPr="008A71B0" w:rsidRDefault="00A751F2" w:rsidP="005B3006">
      <w:pPr>
        <w:pStyle w:val="ListParagraph"/>
        <w:numPr>
          <w:ilvl w:val="0"/>
          <w:numId w:val="4"/>
        </w:numPr>
        <w:spacing w:line="276" w:lineRule="auto"/>
      </w:pPr>
      <w:r w:rsidRPr="008A71B0">
        <w:t>To what extent do external features, such as holidays, weekdays, or the DXY itself, influence the accuracy and predictive power of the model?</w:t>
      </w:r>
    </w:p>
    <w:p w14:paraId="3BA9B4B0" w14:textId="2E7EFD8F" w:rsidR="00A751F2" w:rsidRPr="008A71B0" w:rsidRDefault="00A751F2" w:rsidP="005B3006">
      <w:pPr>
        <w:pStyle w:val="ListParagraph"/>
        <w:numPr>
          <w:ilvl w:val="0"/>
          <w:numId w:val="4"/>
        </w:numPr>
        <w:spacing w:line="276" w:lineRule="auto"/>
      </w:pPr>
      <w:r w:rsidRPr="008A71B0">
        <w:t>How can the predictive model be used to calculate and evaluate portfolio risk, helping investors optimize their asset allocation?</w:t>
      </w:r>
    </w:p>
    <w:p w14:paraId="0B220BA0" w14:textId="6EC77B36" w:rsidR="000F4409" w:rsidRPr="008A71B0" w:rsidRDefault="00A751F2" w:rsidP="005B3006">
      <w:pPr>
        <w:pStyle w:val="ListParagraph"/>
        <w:numPr>
          <w:ilvl w:val="0"/>
          <w:numId w:val="4"/>
        </w:numPr>
        <w:spacing w:line="276" w:lineRule="auto"/>
      </w:pPr>
      <w:r w:rsidRPr="008A71B0">
        <w:t>What actionable insights can the predictive model offer for market forecasting and portfolio management strategies?</w:t>
      </w:r>
    </w:p>
    <w:p w14:paraId="0D05E11B" w14:textId="40FED444" w:rsidR="009A0004" w:rsidRPr="00625FCC" w:rsidRDefault="00AB0824" w:rsidP="005B3006">
      <w:pPr>
        <w:pStyle w:val="Heading1"/>
        <w:spacing w:line="276" w:lineRule="auto"/>
        <w:rPr>
          <w:rFonts w:asciiTheme="minorHAnsi" w:hAnsiTheme="minorHAnsi"/>
          <w:b/>
          <w:bCs/>
          <w:color w:val="auto"/>
          <w:sz w:val="24"/>
          <w:szCs w:val="24"/>
        </w:rPr>
      </w:pPr>
      <w:bookmarkStart w:id="14" w:name="_Toc183953130"/>
      <w:bookmarkStart w:id="15" w:name="_Toc183981947"/>
      <w:r w:rsidRPr="00625FCC">
        <w:rPr>
          <w:rFonts w:asciiTheme="minorHAnsi" w:hAnsiTheme="minorHAnsi"/>
          <w:b/>
          <w:bCs/>
          <w:color w:val="auto"/>
          <w:sz w:val="24"/>
          <w:szCs w:val="24"/>
        </w:rPr>
        <w:t>DATA UNDERSTANDING</w:t>
      </w:r>
      <w:bookmarkEnd w:id="14"/>
      <w:bookmarkEnd w:id="15"/>
    </w:p>
    <w:p w14:paraId="3DC9167B" w14:textId="77777777" w:rsidR="00016EA6" w:rsidRPr="00625FCC" w:rsidRDefault="00016EA6" w:rsidP="005B3006">
      <w:pPr>
        <w:spacing w:line="276" w:lineRule="auto"/>
        <w:jc w:val="both"/>
        <w:rPr>
          <w:rFonts w:eastAsia="Aptos" w:cs="Aptos"/>
        </w:rPr>
      </w:pPr>
      <w:r w:rsidRPr="00625FCC">
        <w:rPr>
          <w:rFonts w:eastAsia="Aptos" w:cs="Aptos"/>
        </w:rPr>
        <w:t xml:space="preserve">We began with individual data sets for all four commodities: </w:t>
      </w:r>
      <w:r w:rsidRPr="00625FCC">
        <w:rPr>
          <w:rFonts w:eastAsia="Aptos" w:cs="Aptos"/>
          <w:b/>
          <w:bCs/>
          <w:i/>
          <w:iCs/>
        </w:rPr>
        <w:t>gold</w:t>
      </w:r>
      <w:r w:rsidRPr="00625FCC">
        <w:rPr>
          <w:rFonts w:eastAsia="Aptos" w:cs="Aptos"/>
        </w:rPr>
        <w:t xml:space="preserve">, </w:t>
      </w:r>
      <w:r w:rsidRPr="00625FCC">
        <w:rPr>
          <w:rFonts w:eastAsia="Aptos" w:cs="Aptos"/>
          <w:b/>
          <w:bCs/>
          <w:i/>
          <w:iCs/>
        </w:rPr>
        <w:t>crude oil</w:t>
      </w:r>
      <w:r w:rsidRPr="00625FCC">
        <w:rPr>
          <w:rFonts w:eastAsia="Aptos" w:cs="Aptos"/>
        </w:rPr>
        <w:t xml:space="preserve">, </w:t>
      </w:r>
      <w:r w:rsidRPr="00625FCC">
        <w:rPr>
          <w:rFonts w:eastAsia="Aptos" w:cs="Aptos"/>
          <w:b/>
          <w:bCs/>
          <w:i/>
          <w:iCs/>
        </w:rPr>
        <w:t>bitcoin</w:t>
      </w:r>
      <w:r w:rsidRPr="00625FCC">
        <w:rPr>
          <w:rFonts w:eastAsia="Aptos" w:cs="Aptos"/>
        </w:rPr>
        <w:t xml:space="preserve">, and the </w:t>
      </w:r>
      <w:r w:rsidRPr="00625FCC">
        <w:rPr>
          <w:rFonts w:eastAsia="Aptos" w:cs="Aptos"/>
          <w:b/>
          <w:bCs/>
          <w:i/>
          <w:iCs/>
        </w:rPr>
        <w:t>U.S. Dollar Index (DXY)</w:t>
      </w:r>
      <w:r w:rsidRPr="00625FCC">
        <w:rPr>
          <w:rFonts w:eastAsia="Aptos" w:cs="Aptos"/>
        </w:rPr>
        <w:t>. Each data set spans from 1st November 2014 to 31st October 2024, marking a 10-year period. This comprehensive timeframe allows us to capture long-term market trends, seasonal variations, and economic cycles that impact these financial assets, setting the stage for in-depth analysis and predictive modeling.</w:t>
      </w:r>
    </w:p>
    <w:p w14:paraId="55A1874C" w14:textId="12E49DE5" w:rsidR="00680B44" w:rsidRPr="00625FCC" w:rsidRDefault="00680B44" w:rsidP="005B3006">
      <w:pPr>
        <w:pStyle w:val="Heading2"/>
        <w:spacing w:line="276" w:lineRule="auto"/>
        <w:rPr>
          <w:rFonts w:asciiTheme="minorHAnsi" w:hAnsiTheme="minorHAnsi"/>
          <w:color w:val="auto"/>
          <w:sz w:val="24"/>
          <w:szCs w:val="24"/>
        </w:rPr>
      </w:pPr>
      <w:bookmarkStart w:id="16" w:name="_Toc183953131"/>
      <w:bookmarkStart w:id="17" w:name="_Toc183981948"/>
      <w:r w:rsidRPr="00625FCC">
        <w:rPr>
          <w:rFonts w:asciiTheme="minorHAnsi" w:hAnsiTheme="minorHAnsi"/>
          <w:color w:val="auto"/>
          <w:sz w:val="24"/>
          <w:szCs w:val="24"/>
        </w:rPr>
        <w:t>Exploratory Data Analysis</w:t>
      </w:r>
      <w:bookmarkEnd w:id="16"/>
      <w:bookmarkEnd w:id="17"/>
    </w:p>
    <w:p w14:paraId="62AFF9C8" w14:textId="610263E8" w:rsidR="007570BF" w:rsidRPr="007570BF" w:rsidRDefault="007570BF" w:rsidP="005B3006">
      <w:pPr>
        <w:spacing w:line="276" w:lineRule="auto"/>
      </w:pPr>
      <w:r w:rsidRPr="007570BF">
        <w:t>The dataset consisted of 3,653 rows and 2</w:t>
      </w:r>
      <w:r w:rsidR="007427A6">
        <w:t>3</w:t>
      </w:r>
      <w:r w:rsidRPr="007570BF">
        <w:t xml:space="preserve"> columns, capturing detailed information on commodity prices and related features. Key features included the following:</w:t>
      </w:r>
    </w:p>
    <w:p w14:paraId="140E5AD5" w14:textId="77777777" w:rsidR="007570BF" w:rsidRPr="007570BF" w:rsidRDefault="007570BF" w:rsidP="005B3006">
      <w:pPr>
        <w:numPr>
          <w:ilvl w:val="0"/>
          <w:numId w:val="5"/>
        </w:numPr>
        <w:spacing w:line="276" w:lineRule="auto"/>
      </w:pPr>
      <w:r w:rsidRPr="007570BF">
        <w:rPr>
          <w:b/>
          <w:bCs/>
        </w:rPr>
        <w:t>Bitcoin (BTC):</w:t>
      </w:r>
      <w:r w:rsidRPr="007570BF">
        <w:t xml:space="preserve"> Opening, high, low, and closing prices for Bitcoin.</w:t>
      </w:r>
    </w:p>
    <w:p w14:paraId="05BF4EE9" w14:textId="77777777" w:rsidR="007570BF" w:rsidRPr="007570BF" w:rsidRDefault="007570BF" w:rsidP="005B3006">
      <w:pPr>
        <w:numPr>
          <w:ilvl w:val="0"/>
          <w:numId w:val="5"/>
        </w:numPr>
        <w:spacing w:line="276" w:lineRule="auto"/>
      </w:pPr>
      <w:r w:rsidRPr="007570BF">
        <w:rPr>
          <w:b/>
          <w:bCs/>
        </w:rPr>
        <w:t>Oil:</w:t>
      </w:r>
      <w:r w:rsidRPr="007570BF">
        <w:t xml:space="preserve"> Opening, high, low, and closing prices for crude oil.</w:t>
      </w:r>
    </w:p>
    <w:p w14:paraId="1742F699" w14:textId="77777777" w:rsidR="007570BF" w:rsidRPr="007570BF" w:rsidRDefault="007570BF" w:rsidP="005B3006">
      <w:pPr>
        <w:numPr>
          <w:ilvl w:val="0"/>
          <w:numId w:val="5"/>
        </w:numPr>
        <w:spacing w:line="276" w:lineRule="auto"/>
      </w:pPr>
      <w:r w:rsidRPr="007570BF">
        <w:rPr>
          <w:b/>
          <w:bCs/>
        </w:rPr>
        <w:t>Gold:</w:t>
      </w:r>
      <w:r w:rsidRPr="007570BF">
        <w:t xml:space="preserve"> Opening, high, low, and closing prices for gold.</w:t>
      </w:r>
    </w:p>
    <w:p w14:paraId="7EFAF6AA" w14:textId="77777777" w:rsidR="007570BF" w:rsidRPr="007570BF" w:rsidRDefault="007570BF" w:rsidP="005B3006">
      <w:pPr>
        <w:numPr>
          <w:ilvl w:val="0"/>
          <w:numId w:val="5"/>
        </w:numPr>
        <w:spacing w:line="276" w:lineRule="auto"/>
      </w:pPr>
      <w:r w:rsidRPr="007570BF">
        <w:rPr>
          <w:b/>
          <w:bCs/>
        </w:rPr>
        <w:t>DXY:</w:t>
      </w:r>
      <w:r w:rsidRPr="007570BF">
        <w:t xml:space="preserve"> Opening, high, low, and closing values for the U.S. Dollar Index (DXY).</w:t>
      </w:r>
    </w:p>
    <w:p w14:paraId="7CD5C29A" w14:textId="77777777" w:rsidR="007570BF" w:rsidRPr="007570BF" w:rsidRDefault="007570BF" w:rsidP="005B3006">
      <w:pPr>
        <w:numPr>
          <w:ilvl w:val="0"/>
          <w:numId w:val="5"/>
        </w:numPr>
        <w:spacing w:line="276" w:lineRule="auto"/>
      </w:pPr>
      <w:r w:rsidRPr="007570BF">
        <w:rPr>
          <w:b/>
          <w:bCs/>
        </w:rPr>
        <w:t>Date:</w:t>
      </w:r>
      <w:r w:rsidRPr="007570BF">
        <w:t xml:space="preserve"> The date when the commodity values were recorded.</w:t>
      </w:r>
    </w:p>
    <w:p w14:paraId="2F978F0C" w14:textId="77777777" w:rsidR="007570BF" w:rsidRPr="007570BF" w:rsidRDefault="007570BF" w:rsidP="005B3006">
      <w:pPr>
        <w:numPr>
          <w:ilvl w:val="0"/>
          <w:numId w:val="5"/>
        </w:numPr>
        <w:spacing w:line="276" w:lineRule="auto"/>
      </w:pPr>
      <w:r w:rsidRPr="007570BF">
        <w:rPr>
          <w:b/>
          <w:bCs/>
        </w:rPr>
        <w:t>Temporal Variables:</w:t>
      </w:r>
    </w:p>
    <w:p w14:paraId="645797FF" w14:textId="77777777" w:rsidR="007570BF" w:rsidRPr="007570BF" w:rsidRDefault="007570BF" w:rsidP="005B3006">
      <w:pPr>
        <w:numPr>
          <w:ilvl w:val="1"/>
          <w:numId w:val="5"/>
        </w:numPr>
        <w:spacing w:line="276" w:lineRule="auto"/>
      </w:pPr>
      <w:r w:rsidRPr="007570BF">
        <w:rPr>
          <w:b/>
          <w:bCs/>
        </w:rPr>
        <w:lastRenderedPageBreak/>
        <w:t>Year:</w:t>
      </w:r>
      <w:r w:rsidRPr="007570BF">
        <w:t xml:space="preserve"> The calendar year of the data point.</w:t>
      </w:r>
    </w:p>
    <w:p w14:paraId="0F6F0D46" w14:textId="77777777" w:rsidR="007570BF" w:rsidRPr="007570BF" w:rsidRDefault="007570BF" w:rsidP="005B3006">
      <w:pPr>
        <w:numPr>
          <w:ilvl w:val="1"/>
          <w:numId w:val="5"/>
        </w:numPr>
        <w:spacing w:line="276" w:lineRule="auto"/>
      </w:pPr>
      <w:r w:rsidRPr="007570BF">
        <w:rPr>
          <w:b/>
          <w:bCs/>
        </w:rPr>
        <w:t>Month:</w:t>
      </w:r>
      <w:r w:rsidRPr="007570BF">
        <w:t xml:space="preserve"> The calendar month of the data point.</w:t>
      </w:r>
    </w:p>
    <w:p w14:paraId="325CDEAB" w14:textId="77777777" w:rsidR="007570BF" w:rsidRPr="007570BF" w:rsidRDefault="007570BF" w:rsidP="005B3006">
      <w:pPr>
        <w:numPr>
          <w:ilvl w:val="0"/>
          <w:numId w:val="5"/>
        </w:numPr>
        <w:spacing w:line="276" w:lineRule="auto"/>
      </w:pPr>
      <w:r w:rsidRPr="007570BF">
        <w:rPr>
          <w:b/>
          <w:bCs/>
        </w:rPr>
        <w:t>Holiday Indicators:</w:t>
      </w:r>
    </w:p>
    <w:p w14:paraId="2FD70E5A" w14:textId="77777777" w:rsidR="007570BF" w:rsidRPr="007570BF" w:rsidRDefault="007570BF" w:rsidP="005B3006">
      <w:pPr>
        <w:numPr>
          <w:ilvl w:val="1"/>
          <w:numId w:val="5"/>
        </w:numPr>
        <w:spacing w:line="276" w:lineRule="auto"/>
      </w:pPr>
      <w:proofErr w:type="spellStart"/>
      <w:r w:rsidRPr="007570BF">
        <w:rPr>
          <w:b/>
          <w:bCs/>
        </w:rPr>
        <w:t>is_holiday</w:t>
      </w:r>
      <w:proofErr w:type="spellEnd"/>
      <w:r w:rsidRPr="007570BF">
        <w:rPr>
          <w:b/>
          <w:bCs/>
        </w:rPr>
        <w:t>:</w:t>
      </w:r>
      <w:r w:rsidRPr="007570BF">
        <w:t xml:space="preserve"> A binary indicator denoting whether the date was a holiday.</w:t>
      </w:r>
    </w:p>
    <w:p w14:paraId="684E706E" w14:textId="2D1A6E69" w:rsidR="007570BF" w:rsidRPr="007570BF" w:rsidRDefault="00EC70B0" w:rsidP="005B3006">
      <w:pPr>
        <w:numPr>
          <w:ilvl w:val="1"/>
          <w:numId w:val="5"/>
        </w:numPr>
        <w:spacing w:line="276" w:lineRule="auto"/>
      </w:pPr>
      <w:r>
        <w:rPr>
          <w:b/>
          <w:bCs/>
        </w:rPr>
        <w:t>Title</w:t>
      </w:r>
      <w:r w:rsidR="007570BF" w:rsidRPr="007570BF">
        <w:rPr>
          <w:b/>
          <w:bCs/>
        </w:rPr>
        <w:t>:</w:t>
      </w:r>
      <w:r w:rsidR="007570BF" w:rsidRPr="007570BF">
        <w:t xml:space="preserve"> The specific name of the holiday, if applicable.</w:t>
      </w:r>
    </w:p>
    <w:p w14:paraId="243C0EB8" w14:textId="77777777" w:rsidR="007570BF" w:rsidRPr="007570BF" w:rsidRDefault="007570BF" w:rsidP="005B3006">
      <w:pPr>
        <w:numPr>
          <w:ilvl w:val="0"/>
          <w:numId w:val="5"/>
        </w:numPr>
        <w:spacing w:line="276" w:lineRule="auto"/>
      </w:pPr>
      <w:proofErr w:type="spellStart"/>
      <w:r w:rsidRPr="007570BF">
        <w:rPr>
          <w:b/>
          <w:bCs/>
        </w:rPr>
        <w:t>is_Weekday</w:t>
      </w:r>
      <w:proofErr w:type="spellEnd"/>
      <w:r w:rsidRPr="007570BF">
        <w:rPr>
          <w:b/>
          <w:bCs/>
        </w:rPr>
        <w:t>:</w:t>
      </w:r>
      <w:r w:rsidRPr="007570BF">
        <w:t xml:space="preserve"> A binary indicator specifying whether the date fell on a weekday.</w:t>
      </w:r>
    </w:p>
    <w:p w14:paraId="6C6C15BF" w14:textId="05D6B9A4" w:rsidR="00C13E6F" w:rsidRDefault="001C34C5" w:rsidP="005B3006">
      <w:pPr>
        <w:spacing w:line="276" w:lineRule="auto"/>
        <w:rPr>
          <w:b/>
          <w:bCs/>
        </w:rPr>
      </w:pPr>
      <w:r w:rsidRPr="00DD6A07">
        <w:rPr>
          <w:b/>
          <w:bCs/>
        </w:rPr>
        <w:t>Distribution Analysis</w:t>
      </w:r>
    </w:p>
    <w:p w14:paraId="5EF9DBEE" w14:textId="56BB1B77" w:rsidR="003E3CA6" w:rsidRDefault="00286577" w:rsidP="005B3006">
      <w:pPr>
        <w:spacing w:line="276" w:lineRule="auto"/>
      </w:pPr>
      <w:r w:rsidRPr="00286577">
        <w:t xml:space="preserve">These histograms illustrate the distributions of the opening, high, low, and closing prices for </w:t>
      </w:r>
      <w:r w:rsidRPr="00EC70B0">
        <w:rPr>
          <w:b/>
          <w:bCs/>
        </w:rPr>
        <w:t>Bitcoin (BTC)</w:t>
      </w:r>
      <w:r w:rsidR="005E0E58" w:rsidRPr="00EC70B0">
        <w:rPr>
          <w:b/>
          <w:bCs/>
        </w:rPr>
        <w:t>,</w:t>
      </w:r>
      <w:r w:rsidR="005E0E58">
        <w:t xml:space="preserve"> </w:t>
      </w:r>
      <w:r w:rsidRPr="00EC70B0">
        <w:rPr>
          <w:b/>
          <w:bCs/>
        </w:rPr>
        <w:t>crude oil</w:t>
      </w:r>
      <w:r w:rsidR="005E0E58">
        <w:t xml:space="preserve">, </w:t>
      </w:r>
      <w:r w:rsidR="005E0E58" w:rsidRPr="00EC70B0">
        <w:rPr>
          <w:b/>
          <w:bCs/>
        </w:rPr>
        <w:t>gold</w:t>
      </w:r>
      <w:r w:rsidR="005E0E58">
        <w:t xml:space="preserve">, and </w:t>
      </w:r>
      <w:proofErr w:type="spellStart"/>
      <w:r w:rsidR="005E0E58" w:rsidRPr="00EC70B0">
        <w:rPr>
          <w:b/>
          <w:bCs/>
        </w:rPr>
        <w:t>dxy</w:t>
      </w:r>
      <w:proofErr w:type="spellEnd"/>
      <w:r w:rsidR="005E0E58">
        <w:t xml:space="preserve"> (dollar price index)</w:t>
      </w:r>
      <w:r w:rsidRPr="00286577">
        <w:t>. Here are the key takeaways:</w:t>
      </w:r>
    </w:p>
    <w:p w14:paraId="25669B2D" w14:textId="59B4328D" w:rsidR="0012680A" w:rsidRDefault="0012680A" w:rsidP="005B3006">
      <w:pPr>
        <w:spacing w:line="276" w:lineRule="auto"/>
        <w:rPr>
          <w:b/>
          <w:bCs/>
        </w:rPr>
      </w:pPr>
      <w:r w:rsidRPr="0012680A">
        <w:rPr>
          <w:b/>
          <w:bCs/>
        </w:rPr>
        <w:t>Bitcoin (BTC)</w:t>
      </w:r>
    </w:p>
    <w:p w14:paraId="46C9AB97" w14:textId="41C88936" w:rsidR="005E0E58" w:rsidRPr="0012680A" w:rsidRDefault="005E0E58" w:rsidP="005B3006">
      <w:pPr>
        <w:spacing w:line="276" w:lineRule="auto"/>
      </w:pPr>
      <w:r w:rsidRPr="00625FCC">
        <w:rPr>
          <w:noProof/>
        </w:rPr>
        <w:drawing>
          <wp:inline distT="0" distB="0" distL="0" distR="0" wp14:anchorId="4544AFCA" wp14:editId="4E15A6F3">
            <wp:extent cx="6294755" cy="1440873"/>
            <wp:effectExtent l="0" t="0" r="0" b="6985"/>
            <wp:docPr id="535439467"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9467" name="Picture 1" descr="A graph of different sizes and numbers&#10;&#10;Description automatically generated with medium confidence"/>
                    <pic:cNvPicPr/>
                  </pic:nvPicPr>
                  <pic:blipFill>
                    <a:blip r:embed="rId8"/>
                    <a:stretch>
                      <a:fillRect/>
                    </a:stretch>
                  </pic:blipFill>
                  <pic:spPr>
                    <a:xfrm>
                      <a:off x="0" y="0"/>
                      <a:ext cx="6327688" cy="1448411"/>
                    </a:xfrm>
                    <a:prstGeom prst="rect">
                      <a:avLst/>
                    </a:prstGeom>
                  </pic:spPr>
                </pic:pic>
              </a:graphicData>
            </a:graphic>
          </wp:inline>
        </w:drawing>
      </w:r>
    </w:p>
    <w:p w14:paraId="4EEF646A" w14:textId="5580B1DA" w:rsidR="005E0E58" w:rsidRPr="0012680A" w:rsidRDefault="0012680A" w:rsidP="005B3006">
      <w:pPr>
        <w:spacing w:line="276" w:lineRule="auto"/>
      </w:pPr>
      <w:r w:rsidRPr="0012680A">
        <w:t xml:space="preserve">The distributions of Bitcoin's open, high, low, and close prices are heavily </w:t>
      </w:r>
      <w:r w:rsidR="005E0E58" w:rsidRPr="0012680A">
        <w:t>right skewed</w:t>
      </w:r>
      <w:r w:rsidRPr="0012680A">
        <w:t>.</w:t>
      </w:r>
      <w:r w:rsidR="005A5F76">
        <w:t xml:space="preserve"> </w:t>
      </w:r>
      <w:r w:rsidRPr="0012680A">
        <w:t>Most prices are concentrated in the lower range, with only a few instances of higher values, indicating periods of significant price spikes.</w:t>
      </w:r>
    </w:p>
    <w:p w14:paraId="5BE7956E" w14:textId="34D7ADBB" w:rsidR="0012680A" w:rsidRDefault="0012680A" w:rsidP="005B3006">
      <w:pPr>
        <w:spacing w:line="276" w:lineRule="auto"/>
        <w:rPr>
          <w:b/>
          <w:bCs/>
        </w:rPr>
      </w:pPr>
      <w:r w:rsidRPr="0012680A">
        <w:rPr>
          <w:b/>
          <w:bCs/>
        </w:rPr>
        <w:t>Crude Oil</w:t>
      </w:r>
    </w:p>
    <w:p w14:paraId="18EB2CE4" w14:textId="576D877E" w:rsidR="00D746EB" w:rsidRPr="0012680A" w:rsidRDefault="00D746EB" w:rsidP="005B3006">
      <w:pPr>
        <w:spacing w:line="276" w:lineRule="auto"/>
      </w:pPr>
      <w:r w:rsidRPr="00625FCC">
        <w:rPr>
          <w:noProof/>
        </w:rPr>
        <w:drawing>
          <wp:inline distT="0" distB="0" distL="0" distR="0" wp14:anchorId="1FF3D23B" wp14:editId="35F97B41">
            <wp:extent cx="6271083" cy="1330036"/>
            <wp:effectExtent l="0" t="0" r="0" b="3810"/>
            <wp:docPr id="1358702510"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2510" name="Picture 1" descr="A graph of a number of numbers&#10;&#10;Description automatically generated with medium confidence"/>
                    <pic:cNvPicPr/>
                  </pic:nvPicPr>
                  <pic:blipFill>
                    <a:blip r:embed="rId9"/>
                    <a:stretch>
                      <a:fillRect/>
                    </a:stretch>
                  </pic:blipFill>
                  <pic:spPr>
                    <a:xfrm>
                      <a:off x="0" y="0"/>
                      <a:ext cx="6310044" cy="1338299"/>
                    </a:xfrm>
                    <a:prstGeom prst="rect">
                      <a:avLst/>
                    </a:prstGeom>
                  </pic:spPr>
                </pic:pic>
              </a:graphicData>
            </a:graphic>
          </wp:inline>
        </w:drawing>
      </w:r>
    </w:p>
    <w:p w14:paraId="14491780" w14:textId="290E2641" w:rsidR="00950C21" w:rsidRDefault="0012680A" w:rsidP="005B3006">
      <w:pPr>
        <w:spacing w:line="276" w:lineRule="auto"/>
      </w:pPr>
      <w:r w:rsidRPr="0012680A">
        <w:t>The distributions of crude oil prices (open, high, low, and close) are more symmetrical compared to Bitcoin.</w:t>
      </w:r>
      <w:r w:rsidR="00607B91">
        <w:t xml:space="preserve"> </w:t>
      </w:r>
      <w:r w:rsidRPr="0012680A">
        <w:t xml:space="preserve">The prices are primarily concentrated in the $25–$75 range, suggesting </w:t>
      </w:r>
      <w:r w:rsidRPr="0012680A">
        <w:rPr>
          <w:b/>
          <w:bCs/>
          <w:i/>
          <w:iCs/>
        </w:rPr>
        <w:t>less extreme volatility</w:t>
      </w:r>
      <w:r w:rsidRPr="0012680A">
        <w:t xml:space="preserve"> compared to Bitcoin.</w:t>
      </w:r>
    </w:p>
    <w:p w14:paraId="220066BB" w14:textId="77777777" w:rsidR="0013078A" w:rsidRPr="00625FCC" w:rsidRDefault="0013078A" w:rsidP="005B3006">
      <w:pPr>
        <w:spacing w:line="276" w:lineRule="auto"/>
      </w:pPr>
    </w:p>
    <w:p w14:paraId="1DA01438" w14:textId="6F97AD3A" w:rsidR="005A5F76" w:rsidRDefault="005A5F76" w:rsidP="005B3006">
      <w:pPr>
        <w:spacing w:line="276" w:lineRule="auto"/>
        <w:rPr>
          <w:b/>
          <w:bCs/>
        </w:rPr>
      </w:pPr>
      <w:r w:rsidRPr="005A5F76">
        <w:rPr>
          <w:b/>
          <w:bCs/>
        </w:rPr>
        <w:lastRenderedPageBreak/>
        <w:t>Gold</w:t>
      </w:r>
    </w:p>
    <w:p w14:paraId="79679D3E" w14:textId="71B356BB" w:rsidR="00BB4C87" w:rsidRPr="005A5F76" w:rsidRDefault="00BB4C87" w:rsidP="005B3006">
      <w:pPr>
        <w:spacing w:line="276" w:lineRule="auto"/>
        <w:rPr>
          <w:b/>
          <w:bCs/>
        </w:rPr>
      </w:pPr>
      <w:r w:rsidRPr="00625FCC">
        <w:rPr>
          <w:b/>
          <w:bCs/>
          <w:noProof/>
        </w:rPr>
        <w:drawing>
          <wp:inline distT="0" distB="0" distL="0" distR="0" wp14:anchorId="081332D5" wp14:editId="236CD2A5">
            <wp:extent cx="6171833" cy="1253836"/>
            <wp:effectExtent l="0" t="0" r="635" b="3810"/>
            <wp:docPr id="58446169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1691" name="Picture 1" descr="A graph of a graph&#10;&#10;Description automatically generated with medium confidence"/>
                    <pic:cNvPicPr/>
                  </pic:nvPicPr>
                  <pic:blipFill>
                    <a:blip r:embed="rId10"/>
                    <a:stretch>
                      <a:fillRect/>
                    </a:stretch>
                  </pic:blipFill>
                  <pic:spPr>
                    <a:xfrm>
                      <a:off x="0" y="0"/>
                      <a:ext cx="6224802" cy="1264597"/>
                    </a:xfrm>
                    <a:prstGeom prst="rect">
                      <a:avLst/>
                    </a:prstGeom>
                  </pic:spPr>
                </pic:pic>
              </a:graphicData>
            </a:graphic>
          </wp:inline>
        </w:drawing>
      </w:r>
    </w:p>
    <w:p w14:paraId="46A4B92F" w14:textId="617F213D" w:rsidR="005A5F76" w:rsidRPr="005A5F76" w:rsidRDefault="005A5F76" w:rsidP="005B3006">
      <w:pPr>
        <w:spacing w:line="276" w:lineRule="auto"/>
      </w:pPr>
      <w:r w:rsidRPr="005A5F76">
        <w:t xml:space="preserve">The distributions for gold prices (open, high, low, close) are </w:t>
      </w:r>
      <w:r w:rsidR="00D746EB" w:rsidRPr="005A5F76">
        <w:t>slightly skewed</w:t>
      </w:r>
      <w:r w:rsidRPr="005A5F76">
        <w:t>.</w:t>
      </w:r>
      <w:r w:rsidR="00D746EB">
        <w:t xml:space="preserve"> </w:t>
      </w:r>
      <w:r w:rsidRPr="005A5F76">
        <w:t xml:space="preserve">Most values fall between </w:t>
      </w:r>
      <w:r w:rsidRPr="005A5F76">
        <w:rPr>
          <w:b/>
          <w:bCs/>
        </w:rPr>
        <w:t>$1,000 and $2,000</w:t>
      </w:r>
      <w:r w:rsidRPr="005A5F76">
        <w:t xml:space="preserve">, indicating a relatively narrow range for </w:t>
      </w:r>
      <w:proofErr w:type="gramStart"/>
      <w:r w:rsidRPr="005A5F76">
        <w:t>the majority of</w:t>
      </w:r>
      <w:proofErr w:type="gramEnd"/>
      <w:r w:rsidRPr="005A5F76">
        <w:t xml:space="preserve"> observations.</w:t>
      </w:r>
      <w:r w:rsidR="00D746EB">
        <w:t xml:space="preserve"> </w:t>
      </w:r>
      <w:r w:rsidRPr="005A5F76">
        <w:t>There are fewer occurrences of higher prices beyond $2,000, suggesting less frequent extreme price spikes.</w:t>
      </w:r>
    </w:p>
    <w:p w14:paraId="38612AFF" w14:textId="102340EB" w:rsidR="005A5F76" w:rsidRDefault="005A5F76" w:rsidP="005B3006">
      <w:pPr>
        <w:spacing w:line="276" w:lineRule="auto"/>
        <w:rPr>
          <w:b/>
          <w:bCs/>
        </w:rPr>
      </w:pPr>
      <w:r w:rsidRPr="005A5F76">
        <w:rPr>
          <w:b/>
          <w:bCs/>
        </w:rPr>
        <w:t>DXY (U.S. Dollar Index)</w:t>
      </w:r>
    </w:p>
    <w:p w14:paraId="53E3E76B" w14:textId="300310A7" w:rsidR="007B4656" w:rsidRPr="005A5F76" w:rsidRDefault="007B4656" w:rsidP="005B3006">
      <w:pPr>
        <w:spacing w:line="276" w:lineRule="auto"/>
        <w:rPr>
          <w:b/>
          <w:bCs/>
        </w:rPr>
      </w:pPr>
      <w:r w:rsidRPr="00625FCC">
        <w:rPr>
          <w:b/>
          <w:bCs/>
          <w:noProof/>
        </w:rPr>
        <w:drawing>
          <wp:inline distT="0" distB="0" distL="0" distR="0" wp14:anchorId="00A2B526" wp14:editId="131C1A31">
            <wp:extent cx="6213475" cy="1260763"/>
            <wp:effectExtent l="0" t="0" r="0" b="0"/>
            <wp:docPr id="49620692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6926" name="Picture 1" descr="A graph of a graph&#10;&#10;Description automatically generated with medium confidence"/>
                    <pic:cNvPicPr/>
                  </pic:nvPicPr>
                  <pic:blipFill>
                    <a:blip r:embed="rId11"/>
                    <a:stretch>
                      <a:fillRect/>
                    </a:stretch>
                  </pic:blipFill>
                  <pic:spPr>
                    <a:xfrm>
                      <a:off x="0" y="0"/>
                      <a:ext cx="6227391" cy="1263587"/>
                    </a:xfrm>
                    <a:prstGeom prst="rect">
                      <a:avLst/>
                    </a:prstGeom>
                  </pic:spPr>
                </pic:pic>
              </a:graphicData>
            </a:graphic>
          </wp:inline>
        </w:drawing>
      </w:r>
    </w:p>
    <w:p w14:paraId="2621ABE1" w14:textId="1FC52A69" w:rsidR="005A5F76" w:rsidRPr="003E3CA6" w:rsidRDefault="005A5F76" w:rsidP="005B3006">
      <w:pPr>
        <w:spacing w:line="276" w:lineRule="auto"/>
      </w:pPr>
      <w:r w:rsidRPr="005A5F76">
        <w:t>The distributions of DXY prices (open, high, low, close) are roughly symmetrical.</w:t>
      </w:r>
      <w:r w:rsidR="00BB4C87">
        <w:t xml:space="preserve"> </w:t>
      </w:r>
      <w:r w:rsidRPr="005A5F76">
        <w:t xml:space="preserve">Most values are concentrated between </w:t>
      </w:r>
      <w:r w:rsidRPr="005A5F76">
        <w:rPr>
          <w:b/>
          <w:bCs/>
        </w:rPr>
        <w:t>90 and 110</w:t>
      </w:r>
      <w:r w:rsidRPr="005A5F76">
        <w:t>, indicating a stable price range for the index over the observed period.</w:t>
      </w:r>
      <w:r w:rsidR="00BB4C87">
        <w:t xml:space="preserve"> </w:t>
      </w:r>
      <w:r w:rsidRPr="005A5F76">
        <w:t>This stability suggests that the DXY exhibits much lower volatility compared to gold or Bitcoin.</w:t>
      </w:r>
    </w:p>
    <w:p w14:paraId="06F09959" w14:textId="77777777" w:rsidR="0013078A" w:rsidRDefault="0013078A" w:rsidP="005B3006">
      <w:pPr>
        <w:spacing w:line="276" w:lineRule="auto"/>
      </w:pPr>
    </w:p>
    <w:p w14:paraId="0CAEB30C" w14:textId="77777777" w:rsidR="0013078A" w:rsidRDefault="0013078A" w:rsidP="005B3006">
      <w:pPr>
        <w:spacing w:line="276" w:lineRule="auto"/>
      </w:pPr>
    </w:p>
    <w:p w14:paraId="60FDC633" w14:textId="77777777" w:rsidR="0013078A" w:rsidRDefault="0013078A" w:rsidP="005B3006">
      <w:pPr>
        <w:spacing w:line="276" w:lineRule="auto"/>
      </w:pPr>
    </w:p>
    <w:p w14:paraId="4329A80C" w14:textId="77777777" w:rsidR="0013078A" w:rsidRDefault="0013078A" w:rsidP="005B3006">
      <w:pPr>
        <w:spacing w:line="276" w:lineRule="auto"/>
      </w:pPr>
    </w:p>
    <w:p w14:paraId="2309611C" w14:textId="77777777" w:rsidR="0013078A" w:rsidRDefault="0013078A" w:rsidP="005B3006">
      <w:pPr>
        <w:spacing w:line="276" w:lineRule="auto"/>
      </w:pPr>
    </w:p>
    <w:p w14:paraId="33ED96C4" w14:textId="77777777" w:rsidR="0013078A" w:rsidRDefault="0013078A" w:rsidP="005B3006">
      <w:pPr>
        <w:spacing w:line="276" w:lineRule="auto"/>
      </w:pPr>
    </w:p>
    <w:p w14:paraId="54A4D9F2" w14:textId="77777777" w:rsidR="0013078A" w:rsidRPr="00625FCC" w:rsidRDefault="0013078A" w:rsidP="005B3006">
      <w:pPr>
        <w:spacing w:line="276" w:lineRule="auto"/>
      </w:pPr>
    </w:p>
    <w:p w14:paraId="51C22482" w14:textId="4D04B479" w:rsidR="00016EA6" w:rsidRPr="00625FCC" w:rsidRDefault="00016EA6" w:rsidP="005B3006">
      <w:pPr>
        <w:pStyle w:val="Heading2"/>
        <w:spacing w:line="276" w:lineRule="auto"/>
        <w:rPr>
          <w:rFonts w:asciiTheme="minorHAnsi" w:hAnsiTheme="minorHAnsi"/>
          <w:color w:val="auto"/>
          <w:sz w:val="24"/>
          <w:szCs w:val="24"/>
        </w:rPr>
      </w:pPr>
      <w:bookmarkStart w:id="18" w:name="_Toc183953132"/>
      <w:bookmarkStart w:id="19" w:name="_Toc183981949"/>
      <w:r w:rsidRPr="00625FCC">
        <w:rPr>
          <w:rFonts w:asciiTheme="minorHAnsi" w:hAnsiTheme="minorHAnsi"/>
          <w:color w:val="auto"/>
          <w:sz w:val="24"/>
          <w:szCs w:val="24"/>
        </w:rPr>
        <w:lastRenderedPageBreak/>
        <w:t>Correlation &amp; Outlier Analysis</w:t>
      </w:r>
      <w:bookmarkEnd w:id="18"/>
      <w:bookmarkEnd w:id="19"/>
    </w:p>
    <w:p w14:paraId="641C9394" w14:textId="1839B5AF" w:rsidR="00F22FD5" w:rsidRPr="00F22FD5" w:rsidRDefault="00F22FD5" w:rsidP="005B3006">
      <w:pPr>
        <w:spacing w:line="276" w:lineRule="auto"/>
      </w:pPr>
      <w:r w:rsidRPr="00F22FD5">
        <w:t>Bitcoin and gold are highly correlated, making them more likely to move together.</w:t>
      </w:r>
      <w:r>
        <w:t xml:space="preserve"> </w:t>
      </w:r>
      <w:r w:rsidRPr="00F22FD5">
        <w:t xml:space="preserve">The U.S. Dollar Index has weaker correlations </w:t>
      </w:r>
      <w:r w:rsidR="00C11170">
        <w:t xml:space="preserve">with bitcoin, but much stronger correlations with oil and gold at approximately </w:t>
      </w:r>
      <w:r w:rsidR="00A26D85">
        <w:t>0.44.</w:t>
      </w:r>
    </w:p>
    <w:p w14:paraId="6A8FA0FD" w14:textId="44FBC9F1" w:rsidR="0081062B" w:rsidRDefault="00AD6B29" w:rsidP="005B3006">
      <w:pPr>
        <w:spacing w:line="276" w:lineRule="auto"/>
      </w:pPr>
      <w:r w:rsidRPr="00625FCC">
        <w:rPr>
          <w:noProof/>
        </w:rPr>
        <w:drawing>
          <wp:inline distT="0" distB="0" distL="0" distR="0" wp14:anchorId="0A7EFC3E" wp14:editId="6413530E">
            <wp:extent cx="4966855" cy="2896271"/>
            <wp:effectExtent l="0" t="0" r="5715" b="0"/>
            <wp:docPr id="684111862" name="Picture 1" descr="A graph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1862" name="Picture 1" descr="A graph of a heatmap&#10;&#10;Description automatically generated"/>
                    <pic:cNvPicPr/>
                  </pic:nvPicPr>
                  <pic:blipFill>
                    <a:blip r:embed="rId12"/>
                    <a:stretch>
                      <a:fillRect/>
                    </a:stretch>
                  </pic:blipFill>
                  <pic:spPr>
                    <a:xfrm>
                      <a:off x="0" y="0"/>
                      <a:ext cx="5016097" cy="2924985"/>
                    </a:xfrm>
                    <a:prstGeom prst="rect">
                      <a:avLst/>
                    </a:prstGeom>
                  </pic:spPr>
                </pic:pic>
              </a:graphicData>
            </a:graphic>
          </wp:inline>
        </w:drawing>
      </w:r>
    </w:p>
    <w:p w14:paraId="4120AAE6" w14:textId="77777777" w:rsidR="006B4E72" w:rsidRDefault="006B4E72" w:rsidP="005B3006">
      <w:pPr>
        <w:spacing w:line="276" w:lineRule="auto"/>
      </w:pPr>
    </w:p>
    <w:p w14:paraId="6D59126C" w14:textId="4B590014" w:rsidR="00C21E4B" w:rsidRDefault="006B4E72" w:rsidP="005B3006">
      <w:pPr>
        <w:spacing w:line="276" w:lineRule="auto"/>
      </w:pPr>
      <w:r>
        <w:t>Outlier Analysis</w:t>
      </w:r>
    </w:p>
    <w:p w14:paraId="43E3BC7E" w14:textId="267953A5" w:rsidR="004A5049" w:rsidRDefault="00122E19" w:rsidP="005B3006">
      <w:pPr>
        <w:spacing w:line="276" w:lineRule="auto"/>
      </w:pPr>
      <w:r w:rsidRPr="00625FCC">
        <w:rPr>
          <w:noProof/>
        </w:rPr>
        <w:drawing>
          <wp:inline distT="0" distB="0" distL="0" distR="0" wp14:anchorId="178AB4F0" wp14:editId="6FFC7B7A">
            <wp:extent cx="4800600" cy="3166035"/>
            <wp:effectExtent l="0" t="0" r="0" b="0"/>
            <wp:docPr id="19776246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4644" name="Picture 1" descr="A screenshot of a graph&#10;&#10;Description automatically generated"/>
                    <pic:cNvPicPr/>
                  </pic:nvPicPr>
                  <pic:blipFill>
                    <a:blip r:embed="rId13"/>
                    <a:stretch>
                      <a:fillRect/>
                    </a:stretch>
                  </pic:blipFill>
                  <pic:spPr>
                    <a:xfrm>
                      <a:off x="0" y="0"/>
                      <a:ext cx="4859215" cy="3204692"/>
                    </a:xfrm>
                    <a:prstGeom prst="rect">
                      <a:avLst/>
                    </a:prstGeom>
                  </pic:spPr>
                </pic:pic>
              </a:graphicData>
            </a:graphic>
          </wp:inline>
        </w:drawing>
      </w:r>
    </w:p>
    <w:p w14:paraId="493CD6C9" w14:textId="77777777" w:rsidR="00C21E4B" w:rsidRDefault="00C21E4B" w:rsidP="005B3006">
      <w:pPr>
        <w:spacing w:line="276" w:lineRule="auto"/>
      </w:pPr>
      <w:r w:rsidRPr="00CE04F2">
        <w:rPr>
          <w:b/>
          <w:bCs/>
        </w:rPr>
        <w:lastRenderedPageBreak/>
        <w:t>Oil</w:t>
      </w:r>
      <w:r w:rsidRPr="00C21E4B">
        <w:t xml:space="preserve"> prices exhibit greater variability and more extreme outliers, highlighting the influence of market shocks and geopolitical events.</w:t>
      </w:r>
    </w:p>
    <w:p w14:paraId="6318C6B0" w14:textId="25D40DB4" w:rsidR="00855EB7" w:rsidRDefault="00C21E4B" w:rsidP="005B3006">
      <w:pPr>
        <w:spacing w:line="276" w:lineRule="auto"/>
      </w:pPr>
      <w:r w:rsidRPr="00CE04F2">
        <w:rPr>
          <w:b/>
          <w:bCs/>
        </w:rPr>
        <w:t>DXY</w:t>
      </w:r>
      <w:r w:rsidRPr="00C21E4B">
        <w:t xml:space="preserve"> is more stable, with fewer and less extreme outliers, reflecting its function as a global currency benchmark.</w:t>
      </w:r>
    </w:p>
    <w:p w14:paraId="46C8C6D1" w14:textId="64765369" w:rsidR="00935143" w:rsidRDefault="00855EB7" w:rsidP="005B3006">
      <w:pPr>
        <w:spacing w:line="276" w:lineRule="auto"/>
      </w:pPr>
      <w:r w:rsidRPr="00855EB7">
        <w:rPr>
          <w:b/>
          <w:bCs/>
        </w:rPr>
        <w:t>Bitcoin</w:t>
      </w:r>
      <w:r w:rsidRPr="00855EB7">
        <w:t xml:space="preserve"> exhibits high volatility and extreme outliers, reflecting its speculative and unpredictable nature.</w:t>
      </w:r>
    </w:p>
    <w:p w14:paraId="2F38A4EC" w14:textId="5D8F06B6" w:rsidR="00855EB7" w:rsidRPr="0081062B" w:rsidRDefault="00855EB7" w:rsidP="005B3006">
      <w:pPr>
        <w:spacing w:line="276" w:lineRule="auto"/>
      </w:pPr>
      <w:r w:rsidRPr="00855EB7">
        <w:rPr>
          <w:b/>
          <w:bCs/>
        </w:rPr>
        <w:t>Gold</w:t>
      </w:r>
      <w:r w:rsidRPr="00855EB7">
        <w:t xml:space="preserve"> demonstrates stability with fewer and less extreme outliers, reinforcing its role as a safe-haven asset in financial markets.</w:t>
      </w:r>
    </w:p>
    <w:p w14:paraId="0C2F691F" w14:textId="77777777" w:rsidR="0081062B" w:rsidRPr="00625FCC" w:rsidRDefault="0081062B" w:rsidP="005B3006">
      <w:pPr>
        <w:pStyle w:val="Heading2"/>
        <w:spacing w:line="276" w:lineRule="auto"/>
        <w:rPr>
          <w:rFonts w:asciiTheme="minorHAnsi" w:hAnsiTheme="minorHAnsi"/>
          <w:color w:val="auto"/>
          <w:sz w:val="24"/>
          <w:szCs w:val="24"/>
        </w:rPr>
      </w:pPr>
      <w:bookmarkStart w:id="20" w:name="_Toc183953133"/>
      <w:bookmarkStart w:id="21" w:name="_Toc183981950"/>
      <w:r w:rsidRPr="00625FCC">
        <w:rPr>
          <w:rFonts w:asciiTheme="minorHAnsi" w:hAnsiTheme="minorHAnsi"/>
          <w:color w:val="auto"/>
          <w:sz w:val="24"/>
          <w:szCs w:val="24"/>
        </w:rPr>
        <w:t>Time Series Analysis</w:t>
      </w:r>
      <w:bookmarkEnd w:id="20"/>
      <w:bookmarkEnd w:id="21"/>
    </w:p>
    <w:p w14:paraId="1819D41E" w14:textId="7AF747F2" w:rsidR="00A07F4D" w:rsidRPr="00CE04F2" w:rsidRDefault="00A07F4D" w:rsidP="005B3006">
      <w:pPr>
        <w:spacing w:line="276" w:lineRule="auto"/>
        <w:rPr>
          <w:i/>
          <w:iCs/>
        </w:rPr>
      </w:pPr>
      <w:r w:rsidRPr="00CE04F2">
        <w:rPr>
          <w:i/>
          <w:iCs/>
        </w:rPr>
        <w:t>Bitcoin &amp; Crude Oil</w:t>
      </w:r>
    </w:p>
    <w:p w14:paraId="261EF1CF" w14:textId="7743CED0" w:rsidR="0081062B" w:rsidRDefault="00433C85" w:rsidP="005B3006">
      <w:pPr>
        <w:spacing w:line="276" w:lineRule="auto"/>
      </w:pPr>
      <w:r w:rsidRPr="00433C85">
        <w:rPr>
          <w:noProof/>
        </w:rPr>
        <w:drawing>
          <wp:inline distT="0" distB="0" distL="0" distR="0" wp14:anchorId="7F61FB2B" wp14:editId="070D737D">
            <wp:extent cx="6206438" cy="2029691"/>
            <wp:effectExtent l="0" t="0" r="4445" b="8890"/>
            <wp:docPr id="1856316015"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6015" name="Picture 1" descr="A graph showing the growth of the stock market&#10;&#10;Description automatically generated"/>
                    <pic:cNvPicPr/>
                  </pic:nvPicPr>
                  <pic:blipFill>
                    <a:blip r:embed="rId14"/>
                    <a:stretch>
                      <a:fillRect/>
                    </a:stretch>
                  </pic:blipFill>
                  <pic:spPr>
                    <a:xfrm>
                      <a:off x="0" y="0"/>
                      <a:ext cx="6231512" cy="2037891"/>
                    </a:xfrm>
                    <a:prstGeom prst="rect">
                      <a:avLst/>
                    </a:prstGeom>
                  </pic:spPr>
                </pic:pic>
              </a:graphicData>
            </a:graphic>
          </wp:inline>
        </w:drawing>
      </w:r>
    </w:p>
    <w:p w14:paraId="5EB63B90" w14:textId="70D6C2CC" w:rsidR="005342EC" w:rsidRPr="005342EC" w:rsidRDefault="005342EC" w:rsidP="005B3006">
      <w:pPr>
        <w:spacing w:line="276" w:lineRule="auto"/>
        <w:rPr>
          <w:b/>
          <w:bCs/>
        </w:rPr>
      </w:pPr>
      <w:r w:rsidRPr="005342EC">
        <w:rPr>
          <w:b/>
          <w:bCs/>
        </w:rPr>
        <w:t>Bitcoin (BTC)</w:t>
      </w:r>
    </w:p>
    <w:p w14:paraId="1017DB6E" w14:textId="77777777" w:rsidR="005342EC" w:rsidRPr="005342EC" w:rsidRDefault="005342EC" w:rsidP="005B3006">
      <w:pPr>
        <w:numPr>
          <w:ilvl w:val="0"/>
          <w:numId w:val="7"/>
        </w:numPr>
        <w:spacing w:line="276" w:lineRule="auto"/>
      </w:pPr>
      <w:r w:rsidRPr="005342EC">
        <w:t>Bitcoin's price exhibits exponential growth and extreme volatility over the observed period.</w:t>
      </w:r>
    </w:p>
    <w:p w14:paraId="719C7802" w14:textId="037F22FB" w:rsidR="005342EC" w:rsidRPr="005342EC" w:rsidRDefault="005342EC" w:rsidP="005B3006">
      <w:pPr>
        <w:numPr>
          <w:ilvl w:val="0"/>
          <w:numId w:val="7"/>
        </w:numPr>
        <w:spacing w:line="276" w:lineRule="auto"/>
      </w:pPr>
      <w:r w:rsidRPr="005342EC">
        <w:t xml:space="preserve">Significant price increases are observed around </w:t>
      </w:r>
      <w:r w:rsidRPr="005342EC">
        <w:rPr>
          <w:b/>
          <w:bCs/>
        </w:rPr>
        <w:t>2017 (initial surge)</w:t>
      </w:r>
      <w:r w:rsidRPr="005342EC">
        <w:t xml:space="preserve"> and </w:t>
      </w:r>
      <w:r w:rsidRPr="005342EC">
        <w:rPr>
          <w:b/>
          <w:bCs/>
        </w:rPr>
        <w:t>2020–2021 (another major spike</w:t>
      </w:r>
      <w:r w:rsidR="004A5049">
        <w:rPr>
          <w:b/>
          <w:bCs/>
        </w:rPr>
        <w:t>)</w:t>
      </w:r>
      <w:r w:rsidR="00A30067">
        <w:t xml:space="preserve"> and t</w:t>
      </w:r>
      <w:r w:rsidRPr="005342EC">
        <w:t>he price stabilizes at higher levels toward 2024–2025</w:t>
      </w:r>
      <w:r w:rsidR="00A30067">
        <w:t>.</w:t>
      </w:r>
    </w:p>
    <w:p w14:paraId="1AB4D0DA" w14:textId="79FBF00F" w:rsidR="005342EC" w:rsidRPr="005342EC" w:rsidRDefault="005342EC" w:rsidP="005B3006">
      <w:pPr>
        <w:spacing w:line="276" w:lineRule="auto"/>
        <w:rPr>
          <w:b/>
          <w:bCs/>
        </w:rPr>
      </w:pPr>
      <w:r w:rsidRPr="005342EC">
        <w:rPr>
          <w:b/>
          <w:bCs/>
        </w:rPr>
        <w:t>Crude Oil</w:t>
      </w:r>
    </w:p>
    <w:p w14:paraId="25BCF2DE" w14:textId="77777777" w:rsidR="005342EC" w:rsidRPr="005342EC" w:rsidRDefault="005342EC" w:rsidP="005B3006">
      <w:pPr>
        <w:numPr>
          <w:ilvl w:val="0"/>
          <w:numId w:val="8"/>
        </w:numPr>
        <w:spacing w:line="276" w:lineRule="auto"/>
      </w:pPr>
      <w:r w:rsidRPr="005342EC">
        <w:t>Crude oil prices show moderate fluctuations compared to Bitcoin, reflecting a more stable and cyclical pattern.</w:t>
      </w:r>
    </w:p>
    <w:p w14:paraId="324979C9" w14:textId="62DF1A52" w:rsidR="005342EC" w:rsidRPr="005342EC" w:rsidRDefault="005342EC" w:rsidP="005B3006">
      <w:pPr>
        <w:numPr>
          <w:ilvl w:val="0"/>
          <w:numId w:val="8"/>
        </w:numPr>
        <w:spacing w:line="276" w:lineRule="auto"/>
      </w:pPr>
      <w:r w:rsidRPr="005342EC">
        <w:t xml:space="preserve">A sharp decline around </w:t>
      </w:r>
      <w:r w:rsidRPr="005342EC">
        <w:rPr>
          <w:b/>
          <w:bCs/>
        </w:rPr>
        <w:t>2020</w:t>
      </w:r>
      <w:r w:rsidRPr="005342EC">
        <w:t>, likely linked to the COVID-19 pandemic and reduced global demand.</w:t>
      </w:r>
      <w:r w:rsidR="00661121">
        <w:t xml:space="preserve"> </w:t>
      </w:r>
      <w:r w:rsidRPr="005342EC">
        <w:t xml:space="preserve">Prices gradually decline and stabilize from </w:t>
      </w:r>
      <w:r w:rsidRPr="005342EC">
        <w:rPr>
          <w:b/>
          <w:bCs/>
        </w:rPr>
        <w:t>2023 onward</w:t>
      </w:r>
      <w:r w:rsidRPr="005342EC">
        <w:t>.</w:t>
      </w:r>
    </w:p>
    <w:p w14:paraId="2F570E2D" w14:textId="77777777" w:rsidR="0013078A" w:rsidRDefault="0013078A" w:rsidP="005B3006">
      <w:pPr>
        <w:spacing w:line="276" w:lineRule="auto"/>
        <w:rPr>
          <w:i/>
          <w:iCs/>
        </w:rPr>
      </w:pPr>
    </w:p>
    <w:p w14:paraId="38A3C4F4" w14:textId="77777777" w:rsidR="0013078A" w:rsidRDefault="0013078A" w:rsidP="005B3006">
      <w:pPr>
        <w:spacing w:line="276" w:lineRule="auto"/>
        <w:rPr>
          <w:i/>
          <w:iCs/>
        </w:rPr>
      </w:pPr>
    </w:p>
    <w:p w14:paraId="3B9F1282" w14:textId="39C794C9" w:rsidR="005342EC" w:rsidRPr="00090266" w:rsidRDefault="00A07F4D" w:rsidP="005B3006">
      <w:pPr>
        <w:spacing w:line="276" w:lineRule="auto"/>
        <w:rPr>
          <w:i/>
          <w:iCs/>
        </w:rPr>
      </w:pPr>
      <w:r w:rsidRPr="00090266">
        <w:rPr>
          <w:i/>
          <w:iCs/>
        </w:rPr>
        <w:lastRenderedPageBreak/>
        <w:t>Gold &amp; DXY</w:t>
      </w:r>
    </w:p>
    <w:p w14:paraId="030AB97E" w14:textId="15543490" w:rsidR="004F5519" w:rsidRDefault="003E214C" w:rsidP="005B3006">
      <w:pPr>
        <w:spacing w:line="276" w:lineRule="auto"/>
      </w:pPr>
      <w:r w:rsidRPr="003E214C">
        <w:rPr>
          <w:noProof/>
        </w:rPr>
        <w:drawing>
          <wp:inline distT="0" distB="0" distL="0" distR="0" wp14:anchorId="5A7145C9" wp14:editId="6FCD4E75">
            <wp:extent cx="5943600" cy="1951990"/>
            <wp:effectExtent l="0" t="0" r="0" b="0"/>
            <wp:docPr id="250979359"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359" name="Picture 1" descr="A graph showing the growth of the stock market&#10;&#10;Description automatically generated"/>
                    <pic:cNvPicPr/>
                  </pic:nvPicPr>
                  <pic:blipFill>
                    <a:blip r:embed="rId15"/>
                    <a:stretch>
                      <a:fillRect/>
                    </a:stretch>
                  </pic:blipFill>
                  <pic:spPr>
                    <a:xfrm>
                      <a:off x="0" y="0"/>
                      <a:ext cx="5943600" cy="1951990"/>
                    </a:xfrm>
                    <a:prstGeom prst="rect">
                      <a:avLst/>
                    </a:prstGeom>
                  </pic:spPr>
                </pic:pic>
              </a:graphicData>
            </a:graphic>
          </wp:inline>
        </w:drawing>
      </w:r>
    </w:p>
    <w:p w14:paraId="3E982DFD" w14:textId="4D551424" w:rsidR="00A07F4D" w:rsidRPr="00A07F4D" w:rsidRDefault="00A07F4D" w:rsidP="005B3006">
      <w:pPr>
        <w:spacing w:line="276" w:lineRule="auto"/>
        <w:rPr>
          <w:b/>
          <w:bCs/>
        </w:rPr>
      </w:pPr>
      <w:r w:rsidRPr="00A07F4D">
        <w:rPr>
          <w:b/>
          <w:bCs/>
        </w:rPr>
        <w:t>Gold</w:t>
      </w:r>
    </w:p>
    <w:p w14:paraId="6F290AEA" w14:textId="77777777" w:rsidR="00A07F4D" w:rsidRPr="00A07F4D" w:rsidRDefault="00A07F4D" w:rsidP="005B3006">
      <w:pPr>
        <w:numPr>
          <w:ilvl w:val="0"/>
          <w:numId w:val="9"/>
        </w:numPr>
        <w:spacing w:line="276" w:lineRule="auto"/>
      </w:pPr>
      <w:r w:rsidRPr="00A07F4D">
        <w:t>Gold prices display a steady upward trend over the observed period, reflecting its role as a safe-haven asset.</w:t>
      </w:r>
    </w:p>
    <w:p w14:paraId="1494A234" w14:textId="77777777" w:rsidR="00A07F4D" w:rsidRPr="00A07F4D" w:rsidRDefault="00A07F4D" w:rsidP="005B3006">
      <w:pPr>
        <w:numPr>
          <w:ilvl w:val="0"/>
          <w:numId w:val="9"/>
        </w:numPr>
        <w:spacing w:line="276" w:lineRule="auto"/>
      </w:pPr>
      <w:r w:rsidRPr="00A07F4D">
        <w:t xml:space="preserve">Notable spikes occur around </w:t>
      </w:r>
      <w:r w:rsidRPr="00A07F4D">
        <w:rPr>
          <w:b/>
          <w:bCs/>
        </w:rPr>
        <w:t>2020</w:t>
      </w:r>
      <w:r w:rsidRPr="00A07F4D">
        <w:t xml:space="preserve"> (potentially linked to the COVID-19 pandemic) and </w:t>
      </w:r>
      <w:r w:rsidRPr="00A07F4D">
        <w:rPr>
          <w:b/>
          <w:bCs/>
        </w:rPr>
        <w:t>2024–2025</w:t>
      </w:r>
      <w:r w:rsidRPr="00A07F4D">
        <w:t>, indicating increased demand for gold during times of economic uncertainty.</w:t>
      </w:r>
    </w:p>
    <w:p w14:paraId="251F6DA6" w14:textId="77777777" w:rsidR="00A07F4D" w:rsidRPr="00A07F4D" w:rsidRDefault="00A07F4D" w:rsidP="005B3006">
      <w:pPr>
        <w:numPr>
          <w:ilvl w:val="0"/>
          <w:numId w:val="9"/>
        </w:numPr>
        <w:spacing w:line="276" w:lineRule="auto"/>
      </w:pPr>
      <w:r w:rsidRPr="00A07F4D">
        <w:t>The steep rise in prices toward 2025 suggests heightened market instability or geopolitical events driving gold's value higher.</w:t>
      </w:r>
    </w:p>
    <w:p w14:paraId="41BE3B18" w14:textId="1892AFFB" w:rsidR="00A07F4D" w:rsidRPr="00A07F4D" w:rsidRDefault="00A07F4D" w:rsidP="005B3006">
      <w:pPr>
        <w:spacing w:line="276" w:lineRule="auto"/>
        <w:rPr>
          <w:b/>
          <w:bCs/>
        </w:rPr>
      </w:pPr>
      <w:r w:rsidRPr="00A07F4D">
        <w:rPr>
          <w:b/>
          <w:bCs/>
        </w:rPr>
        <w:t>DXY (U.S. Dollar Index)</w:t>
      </w:r>
    </w:p>
    <w:p w14:paraId="39EDCDA1" w14:textId="3BFAC4C2" w:rsidR="00A07F4D" w:rsidRPr="00A07F4D" w:rsidRDefault="00CD515A" w:rsidP="005B3006">
      <w:pPr>
        <w:numPr>
          <w:ilvl w:val="0"/>
          <w:numId w:val="10"/>
        </w:numPr>
        <w:spacing w:line="276" w:lineRule="auto"/>
      </w:pPr>
      <w:r w:rsidRPr="00A07F4D">
        <w:t>DXY</w:t>
      </w:r>
      <w:r w:rsidR="00A07F4D" w:rsidRPr="00A07F4D">
        <w:t xml:space="preserve"> exhibits cyclical fluctuations, with peaks around </w:t>
      </w:r>
      <w:r w:rsidR="00A07F4D" w:rsidRPr="00A07F4D">
        <w:rPr>
          <w:b/>
          <w:bCs/>
        </w:rPr>
        <w:t>2017</w:t>
      </w:r>
      <w:r w:rsidR="00A07F4D" w:rsidRPr="00A07F4D">
        <w:t xml:space="preserve"> and </w:t>
      </w:r>
      <w:r w:rsidR="00A07F4D" w:rsidRPr="00A07F4D">
        <w:rPr>
          <w:b/>
          <w:bCs/>
        </w:rPr>
        <w:t>2022</w:t>
      </w:r>
      <w:r w:rsidR="00A07F4D" w:rsidRPr="00A07F4D">
        <w:t>, followed by declines and subsequent recoveries.</w:t>
      </w:r>
    </w:p>
    <w:p w14:paraId="36E5EAF3" w14:textId="7E1B6AF2" w:rsidR="00A07F4D" w:rsidRDefault="00A07F4D" w:rsidP="005B3006">
      <w:pPr>
        <w:numPr>
          <w:ilvl w:val="0"/>
          <w:numId w:val="10"/>
        </w:numPr>
        <w:spacing w:line="276" w:lineRule="auto"/>
      </w:pPr>
      <w:r w:rsidRPr="00A07F4D">
        <w:t xml:space="preserve">A sharp dip is observed around </w:t>
      </w:r>
      <w:r w:rsidRPr="00A07F4D">
        <w:rPr>
          <w:b/>
          <w:bCs/>
        </w:rPr>
        <w:t>2020</w:t>
      </w:r>
      <w:r w:rsidRPr="00A07F4D">
        <w:t>, likely tied to the pandemic’s impact on the global economy.</w:t>
      </w:r>
    </w:p>
    <w:p w14:paraId="42E8C35B" w14:textId="7E3402C5" w:rsidR="00DD74B8" w:rsidRDefault="00E60B6F" w:rsidP="005B3006">
      <w:pPr>
        <w:spacing w:line="276" w:lineRule="auto"/>
        <w:rPr>
          <w:b/>
          <w:bCs/>
        </w:rPr>
      </w:pPr>
      <w:r w:rsidRPr="00E60B6F">
        <w:rPr>
          <w:b/>
          <w:bCs/>
        </w:rPr>
        <w:t>Decomposition</w:t>
      </w:r>
    </w:p>
    <w:p w14:paraId="6713C720" w14:textId="77777777" w:rsidR="0028216F" w:rsidRDefault="008328ED" w:rsidP="005B3006">
      <w:pPr>
        <w:spacing w:line="276" w:lineRule="auto"/>
      </w:pPr>
      <w:r w:rsidRPr="00A975C3">
        <w:t>Decomposition is a statistical method used in time series analysis to break down a series into its key components. This helps in understanding the underlying patterns and behaviors within the data</w:t>
      </w:r>
      <w:r w:rsidR="0028216F">
        <w:t>.</w:t>
      </w:r>
    </w:p>
    <w:p w14:paraId="74D5DEF5" w14:textId="77777777" w:rsidR="00804EB8" w:rsidRDefault="0028216F" w:rsidP="005B3006">
      <w:pPr>
        <w:spacing w:line="276" w:lineRule="auto"/>
        <w:rPr>
          <w:b/>
          <w:bCs/>
        </w:rPr>
      </w:pPr>
      <w:r>
        <w:t xml:space="preserve">We will look at the </w:t>
      </w:r>
      <w:r w:rsidR="0074376A">
        <w:t xml:space="preserve">seasonal decomposition of our predictor feature </w:t>
      </w:r>
      <w:r w:rsidR="0074376A" w:rsidRPr="0074376A">
        <w:rPr>
          <w:b/>
          <w:bCs/>
        </w:rPr>
        <w:t>Dollar Price Index.</w:t>
      </w:r>
      <w:r w:rsidR="0074376A">
        <w:t xml:space="preserve"> </w:t>
      </w:r>
    </w:p>
    <w:p w14:paraId="6749D5DB" w14:textId="77777777" w:rsidR="00804EB8" w:rsidRDefault="00804EB8" w:rsidP="005B3006">
      <w:pPr>
        <w:spacing w:line="276" w:lineRule="auto"/>
        <w:rPr>
          <w:b/>
          <w:bCs/>
        </w:rPr>
      </w:pPr>
      <w:r w:rsidRPr="006C6921">
        <w:rPr>
          <w:noProof/>
        </w:rPr>
        <w:lastRenderedPageBreak/>
        <w:drawing>
          <wp:inline distT="0" distB="0" distL="0" distR="0" wp14:anchorId="1D3FAD1C" wp14:editId="4AA34CB2">
            <wp:extent cx="4216400" cy="3155542"/>
            <wp:effectExtent l="0" t="0" r="0" b="6985"/>
            <wp:docPr id="136704425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7393" name="Picture 1" descr="A graph of a graph of a graph&#10;&#10;Description automatically generated with medium confidence"/>
                    <pic:cNvPicPr/>
                  </pic:nvPicPr>
                  <pic:blipFill>
                    <a:blip r:embed="rId16"/>
                    <a:stretch>
                      <a:fillRect/>
                    </a:stretch>
                  </pic:blipFill>
                  <pic:spPr>
                    <a:xfrm>
                      <a:off x="0" y="0"/>
                      <a:ext cx="4294267" cy="3213817"/>
                    </a:xfrm>
                    <a:prstGeom prst="rect">
                      <a:avLst/>
                    </a:prstGeom>
                  </pic:spPr>
                </pic:pic>
              </a:graphicData>
            </a:graphic>
          </wp:inline>
        </w:drawing>
      </w:r>
      <w:r w:rsidRPr="00804EB8">
        <w:rPr>
          <w:b/>
          <w:bCs/>
        </w:rPr>
        <w:t xml:space="preserve"> </w:t>
      </w:r>
    </w:p>
    <w:p w14:paraId="69513A1E" w14:textId="09493212" w:rsidR="00804EB8" w:rsidRPr="00625FCC" w:rsidRDefault="00804EB8" w:rsidP="005B3006">
      <w:pPr>
        <w:spacing w:line="276" w:lineRule="auto"/>
        <w:rPr>
          <w:b/>
          <w:bCs/>
        </w:rPr>
      </w:pPr>
      <w:r w:rsidRPr="00804EB8">
        <w:rPr>
          <w:b/>
          <w:bCs/>
        </w:rPr>
        <w:t>Observed (</w:t>
      </w:r>
      <w:proofErr w:type="spellStart"/>
      <w:r w:rsidRPr="00804EB8">
        <w:rPr>
          <w:b/>
          <w:bCs/>
        </w:rPr>
        <w:t>dxy_close</w:t>
      </w:r>
      <w:proofErr w:type="spellEnd"/>
      <w:r w:rsidRPr="00804EB8">
        <w:rPr>
          <w:b/>
          <w:bCs/>
        </w:rPr>
        <w:t>):</w:t>
      </w:r>
      <w:r w:rsidR="00625FCC" w:rsidRPr="00625FCC">
        <w:rPr>
          <w:b/>
          <w:bCs/>
        </w:rPr>
        <w:t xml:space="preserve"> </w:t>
      </w:r>
      <w:r w:rsidRPr="00804EB8">
        <w:t xml:space="preserve">The top plot shows the original time series, which is the </w:t>
      </w:r>
      <w:proofErr w:type="spellStart"/>
      <w:r w:rsidRPr="00804EB8">
        <w:rPr>
          <w:b/>
          <w:bCs/>
          <w:i/>
          <w:iCs/>
        </w:rPr>
        <w:t>dxy_close</w:t>
      </w:r>
      <w:proofErr w:type="spellEnd"/>
      <w:r w:rsidRPr="00804EB8">
        <w:t xml:space="preserve"> values over time. It displays the overall behavior of the series, including trends, seasonality, and irregular components.</w:t>
      </w:r>
    </w:p>
    <w:p w14:paraId="28493CCE" w14:textId="109C6732" w:rsidR="00804EB8" w:rsidRPr="00625FCC" w:rsidRDefault="00804EB8" w:rsidP="005B3006">
      <w:pPr>
        <w:spacing w:line="276" w:lineRule="auto"/>
        <w:rPr>
          <w:b/>
          <w:bCs/>
        </w:rPr>
      </w:pPr>
      <w:r w:rsidRPr="00804EB8">
        <w:rPr>
          <w:b/>
          <w:bCs/>
        </w:rPr>
        <w:t>Trend:</w:t>
      </w:r>
      <w:r w:rsidR="00625FCC" w:rsidRPr="00625FCC">
        <w:rPr>
          <w:b/>
          <w:bCs/>
        </w:rPr>
        <w:t xml:space="preserve"> </w:t>
      </w:r>
      <w:r w:rsidRPr="00804EB8">
        <w:t>The second plot represents the trend component. It reflects the long-term movement or direction in the data, excluding short-term fluctuations and seasonal patterns.</w:t>
      </w:r>
      <w:r w:rsidR="0033736B">
        <w:t xml:space="preserve"> </w:t>
      </w:r>
      <w:r w:rsidRPr="00804EB8">
        <w:t>In this case, there is a clear upward trend from 2020 to 2022, followed by a slight decline in 2023.</w:t>
      </w:r>
    </w:p>
    <w:p w14:paraId="6961E95A" w14:textId="35781E0F" w:rsidR="00804EB8" w:rsidRPr="00625FCC" w:rsidRDefault="00804EB8" w:rsidP="005B3006">
      <w:pPr>
        <w:spacing w:line="276" w:lineRule="auto"/>
        <w:rPr>
          <w:b/>
          <w:bCs/>
        </w:rPr>
      </w:pPr>
      <w:r w:rsidRPr="00804EB8">
        <w:rPr>
          <w:b/>
          <w:bCs/>
        </w:rPr>
        <w:t>Seasonal:</w:t>
      </w:r>
      <w:r w:rsidR="00625FCC" w:rsidRPr="00625FCC">
        <w:rPr>
          <w:b/>
          <w:bCs/>
        </w:rPr>
        <w:t xml:space="preserve"> </w:t>
      </w:r>
      <w:r w:rsidRPr="00804EB8">
        <w:t>The third plot captures the repeating seasonal patterns in the data. This component highlights periodic fluctuations, which could be driven by recurring factors, such as market cycles or seasonal economic behavior.</w:t>
      </w:r>
    </w:p>
    <w:p w14:paraId="6C421010" w14:textId="77777777" w:rsidR="00804EB8" w:rsidRPr="00804EB8" w:rsidRDefault="00804EB8" w:rsidP="005B3006">
      <w:pPr>
        <w:spacing w:line="276" w:lineRule="auto"/>
      </w:pPr>
      <w:r w:rsidRPr="00804EB8">
        <w:t>Here, the seasonal component is regular and stable over the years, showing periodic ups and downs that recur consistently.</w:t>
      </w:r>
    </w:p>
    <w:p w14:paraId="459304D5" w14:textId="4DA0351E" w:rsidR="00804EB8" w:rsidRPr="00625FCC" w:rsidRDefault="00804EB8" w:rsidP="005B3006">
      <w:pPr>
        <w:spacing w:line="276" w:lineRule="auto"/>
        <w:rPr>
          <w:b/>
          <w:bCs/>
        </w:rPr>
      </w:pPr>
      <w:r w:rsidRPr="00804EB8">
        <w:rPr>
          <w:b/>
          <w:bCs/>
        </w:rPr>
        <w:t>Residual (Noise):</w:t>
      </w:r>
      <w:r w:rsidR="00625FCC" w:rsidRPr="00625FCC">
        <w:rPr>
          <w:b/>
          <w:bCs/>
        </w:rPr>
        <w:t xml:space="preserve"> </w:t>
      </w:r>
      <w:r w:rsidRPr="00804EB8">
        <w:t>The bottom plot shows the residuals, which are the unexplained components after removing the trend and seasonal effects. These are random fluctuations or noise in the data.</w:t>
      </w:r>
      <w:r w:rsidR="0033736B">
        <w:t xml:space="preserve"> </w:t>
      </w:r>
      <w:r w:rsidRPr="00804EB8">
        <w:t>The residuals seem more volatile around 2020</w:t>
      </w:r>
      <w:r w:rsidR="009D6186">
        <w:t xml:space="preserve"> to the end of 2023, and this could be attributed to the COVID-19 Vaccine.</w:t>
      </w:r>
    </w:p>
    <w:p w14:paraId="550B961C" w14:textId="7C7A07B9" w:rsidR="00CE2EFC" w:rsidRDefault="00311013" w:rsidP="005B3006">
      <w:pPr>
        <w:spacing w:line="276" w:lineRule="auto"/>
      </w:pPr>
      <w:r>
        <w:rPr>
          <w:i/>
          <w:iCs/>
        </w:rPr>
        <w:t xml:space="preserve">NB: </w:t>
      </w:r>
      <w:r w:rsidR="005E59E4" w:rsidRPr="00311013">
        <w:rPr>
          <w:i/>
          <w:iCs/>
        </w:rPr>
        <w:t>Find seasonal decomposition for the 3 other commodities in the appendix.</w:t>
      </w:r>
    </w:p>
    <w:p w14:paraId="48A3A033" w14:textId="13F264A4" w:rsidR="009A0004" w:rsidRPr="00625FCC" w:rsidRDefault="00AB0824" w:rsidP="005B3006">
      <w:pPr>
        <w:pStyle w:val="Heading1"/>
        <w:spacing w:line="276" w:lineRule="auto"/>
        <w:rPr>
          <w:rFonts w:asciiTheme="minorHAnsi" w:hAnsiTheme="minorHAnsi"/>
          <w:b/>
          <w:bCs/>
          <w:color w:val="auto"/>
          <w:sz w:val="24"/>
          <w:szCs w:val="24"/>
        </w:rPr>
      </w:pPr>
      <w:bookmarkStart w:id="22" w:name="_Toc183953134"/>
      <w:bookmarkStart w:id="23" w:name="_Toc183981951"/>
      <w:r w:rsidRPr="00625FCC">
        <w:rPr>
          <w:rFonts w:asciiTheme="minorHAnsi" w:hAnsiTheme="minorHAnsi"/>
          <w:b/>
          <w:bCs/>
          <w:color w:val="auto"/>
          <w:sz w:val="24"/>
          <w:szCs w:val="24"/>
        </w:rPr>
        <w:lastRenderedPageBreak/>
        <w:t>DATA PREPARATION</w:t>
      </w:r>
      <w:bookmarkEnd w:id="22"/>
      <w:bookmarkEnd w:id="23"/>
    </w:p>
    <w:p w14:paraId="39EB6EB4" w14:textId="48025FFA" w:rsidR="00C71BF9" w:rsidRPr="00625FCC" w:rsidRDefault="00C71BF9" w:rsidP="005B3006">
      <w:pPr>
        <w:pStyle w:val="Heading2"/>
        <w:spacing w:line="276" w:lineRule="auto"/>
        <w:rPr>
          <w:rFonts w:asciiTheme="minorHAnsi" w:hAnsiTheme="minorHAnsi"/>
          <w:sz w:val="24"/>
          <w:szCs w:val="24"/>
        </w:rPr>
      </w:pPr>
      <w:bookmarkStart w:id="24" w:name="_Toc183953135"/>
      <w:bookmarkStart w:id="25" w:name="_Toc183981952"/>
      <w:r w:rsidRPr="00625FCC">
        <w:rPr>
          <w:rFonts w:asciiTheme="minorHAnsi" w:hAnsiTheme="minorHAnsi"/>
          <w:sz w:val="24"/>
          <w:szCs w:val="24"/>
        </w:rPr>
        <w:t>Feature Engineering</w:t>
      </w:r>
      <w:bookmarkEnd w:id="24"/>
      <w:bookmarkEnd w:id="25"/>
    </w:p>
    <w:p w14:paraId="495015AB" w14:textId="77777777" w:rsidR="00A923B8" w:rsidRDefault="00E74674" w:rsidP="005B3006">
      <w:pPr>
        <w:spacing w:line="276" w:lineRule="auto"/>
      </w:pPr>
      <w:r w:rsidRPr="00E74674">
        <w:t xml:space="preserve">In the complex landscape of financial markets, effective feature engineering is crucial for distilling raw data into insights. This section outlines our methodology for developing key features tailored to </w:t>
      </w:r>
      <w:r w:rsidR="00C117CA">
        <w:t>enhance the model</w:t>
      </w:r>
      <w:r w:rsidRPr="00E74674">
        <w:t xml:space="preserve">. Each subset of engineered features is meticulously described, detailing the transformation processes applied and their relevance to the overall modeling effort. These descriptions are complemented by visualizations that demonstrate the behavioral patterns of each feature, providing a clearer understanding of their dynamics and potential utility in predictive modeling. While not all features may survive the rigors of feature selection or overcome challenges like multicollinearity, their inception was grounded in comprehensive exploratory data analysis. </w:t>
      </w:r>
    </w:p>
    <w:p w14:paraId="305D060B" w14:textId="6646C960" w:rsidR="00F73399" w:rsidRDefault="00E74674" w:rsidP="005B3006">
      <w:pPr>
        <w:spacing w:line="276" w:lineRule="auto"/>
      </w:pPr>
      <w:r w:rsidRPr="00E74674">
        <w:t xml:space="preserve">To streamline this documentation, the placeholder </w:t>
      </w:r>
      <w:r w:rsidRPr="00625FCC">
        <w:rPr>
          <w:rFonts w:cs="Consolas"/>
        </w:rPr>
        <w:t>{asset}</w:t>
      </w:r>
      <w:r w:rsidRPr="00E74674">
        <w:t xml:space="preserve"> is used throughout this section to denote features that are applicable across four major financial indicators: Bitcoin (BTC), gold, oil, and the Dollar Index (DXY). This notation facilitates a concise and consistent presentation of feature engineering efforts across different assets</w:t>
      </w:r>
      <w:r w:rsidR="008C04A2">
        <w:t>.</w:t>
      </w:r>
      <w:r w:rsidR="008778A7">
        <w:t xml:space="preserve"> </w:t>
      </w:r>
    </w:p>
    <w:p w14:paraId="1A80B9B5" w14:textId="20993398" w:rsidR="00C31952" w:rsidRDefault="00803CC1" w:rsidP="005B3006">
      <w:pPr>
        <w:pStyle w:val="ListParagraph"/>
        <w:numPr>
          <w:ilvl w:val="0"/>
          <w:numId w:val="28"/>
        </w:numPr>
        <w:spacing w:line="276" w:lineRule="auto"/>
        <w:rPr>
          <w:b/>
          <w:bCs/>
        </w:rPr>
      </w:pPr>
      <w:r w:rsidRPr="00F73399">
        <w:rPr>
          <w:b/>
          <w:bCs/>
        </w:rPr>
        <w:t>Monthly and weekly Ro</w:t>
      </w:r>
      <w:r w:rsidR="00027B51" w:rsidRPr="00F73399">
        <w:rPr>
          <w:b/>
          <w:bCs/>
        </w:rPr>
        <w:t>lling averages</w:t>
      </w:r>
    </w:p>
    <w:p w14:paraId="56328C81" w14:textId="3E4A066C" w:rsidR="008A22E1" w:rsidRPr="00625FCC" w:rsidRDefault="008A22E1" w:rsidP="005B3006">
      <w:pPr>
        <w:spacing w:line="276" w:lineRule="auto"/>
        <w:rPr>
          <w:rFonts w:cs="Consolas"/>
        </w:rPr>
      </w:pPr>
      <w:r w:rsidRPr="009645CC">
        <w:rPr>
          <w:u w:val="single"/>
        </w:rPr>
        <w:t>Feature</w:t>
      </w:r>
      <w:r w:rsidRPr="009645CC">
        <w:rPr>
          <w:u w:val="single"/>
        </w:rPr>
        <w:t>s</w:t>
      </w:r>
      <w:r w:rsidR="00C03572">
        <w:rPr>
          <w:u w:val="single"/>
        </w:rPr>
        <w:t>’</w:t>
      </w:r>
      <w:r w:rsidRPr="009645CC">
        <w:rPr>
          <w:u w:val="single"/>
        </w:rPr>
        <w:t xml:space="preserve"> Name</w:t>
      </w:r>
      <w:r w:rsidRPr="009645CC">
        <w:rPr>
          <w:u w:val="single"/>
        </w:rPr>
        <w:t>:</w:t>
      </w:r>
      <w:r>
        <w:t xml:space="preserve"> </w:t>
      </w:r>
      <w:r w:rsidRPr="00625FCC">
        <w:rPr>
          <w:rFonts w:cs="Consolas"/>
        </w:rPr>
        <w:t>{asset}_</w:t>
      </w:r>
      <w:proofErr w:type="spellStart"/>
      <w:r w:rsidRPr="00625FCC">
        <w:rPr>
          <w:rFonts w:cs="Consolas"/>
        </w:rPr>
        <w:t>weekly_avg</w:t>
      </w:r>
      <w:proofErr w:type="spellEnd"/>
      <w:r w:rsidR="002B178A" w:rsidRPr="00625FCC">
        <w:rPr>
          <w:rFonts w:cs="Consolas"/>
        </w:rPr>
        <w:t xml:space="preserve">, </w:t>
      </w:r>
      <w:r w:rsidR="002B178A" w:rsidRPr="00625FCC">
        <w:rPr>
          <w:rFonts w:cs="Consolas"/>
        </w:rPr>
        <w:t>{asset}_</w:t>
      </w:r>
      <w:proofErr w:type="spellStart"/>
      <w:r w:rsidR="002B178A" w:rsidRPr="00625FCC">
        <w:rPr>
          <w:rFonts w:cs="Consolas"/>
        </w:rPr>
        <w:t>monthly_avg</w:t>
      </w:r>
      <w:proofErr w:type="spellEnd"/>
      <w:r w:rsidR="002B178A" w:rsidRPr="00625FCC">
        <w:rPr>
          <w:rFonts w:cs="Consolas"/>
        </w:rPr>
        <w:tab/>
      </w:r>
    </w:p>
    <w:p w14:paraId="0B147B3C" w14:textId="6A89C28F" w:rsidR="009645CC" w:rsidRDefault="009645CC" w:rsidP="005B3006">
      <w:pPr>
        <w:spacing w:line="276" w:lineRule="auto"/>
      </w:pPr>
      <w:r w:rsidRPr="00620FEC">
        <w:rPr>
          <w:u w:val="single"/>
        </w:rPr>
        <w:t>Description</w:t>
      </w:r>
      <w:r w:rsidRPr="00620FEC">
        <w:rPr>
          <w:u w:val="single"/>
        </w:rPr>
        <w:t>:</w:t>
      </w:r>
      <w:r>
        <w:t xml:space="preserve"> </w:t>
      </w:r>
      <w:r w:rsidR="00620FEC" w:rsidRPr="00620FEC">
        <w:t>Weekly</w:t>
      </w:r>
      <w:r w:rsidR="002B178A">
        <w:t xml:space="preserve"> and monthly</w:t>
      </w:r>
      <w:r w:rsidR="00620FEC" w:rsidRPr="00620FEC">
        <w:t xml:space="preserve"> moving averages of </w:t>
      </w:r>
      <w:r w:rsidR="00FA5E03" w:rsidRPr="00625FCC">
        <w:rPr>
          <w:rFonts w:cs="Consolas"/>
        </w:rPr>
        <w:t>{asset}_close</w:t>
      </w:r>
      <w:r w:rsidR="00FA5E03" w:rsidRPr="00620FEC">
        <w:t xml:space="preserve"> </w:t>
      </w:r>
      <w:r w:rsidR="00620FEC" w:rsidRPr="00620FEC">
        <w:t>to smooth out daily fluctuations and reveal longer-term trends.</w:t>
      </w:r>
    </w:p>
    <w:p w14:paraId="53FEB305" w14:textId="06AD822E" w:rsidR="00620FEC" w:rsidRDefault="00620FEC" w:rsidP="005B3006">
      <w:pPr>
        <w:spacing w:line="276" w:lineRule="auto"/>
      </w:pPr>
      <w:r w:rsidRPr="00620FEC">
        <w:rPr>
          <w:u w:val="single"/>
        </w:rPr>
        <w:t>Transformation Logic</w:t>
      </w:r>
      <w:r w:rsidRPr="00620FEC">
        <w:rPr>
          <w:u w:val="single"/>
        </w:rPr>
        <w:t>:</w:t>
      </w:r>
      <w:r w:rsidR="00C37837">
        <w:rPr>
          <w:u w:val="single"/>
        </w:rPr>
        <w:t xml:space="preserve"> </w:t>
      </w:r>
      <w:r w:rsidR="00C37837" w:rsidRPr="00C37837">
        <w:t>Calculated as the rolling mean</w:t>
      </w:r>
      <w:r w:rsidR="00FC772B">
        <w:t>s</w:t>
      </w:r>
      <w:r w:rsidR="00C37837" w:rsidRPr="00C37837">
        <w:t xml:space="preserve"> over a 7-day </w:t>
      </w:r>
      <w:r w:rsidR="002B178A">
        <w:t xml:space="preserve">and </w:t>
      </w:r>
      <w:r w:rsidR="00FC772B">
        <w:t xml:space="preserve">30-day </w:t>
      </w:r>
      <w:r w:rsidR="00C37837" w:rsidRPr="00C37837">
        <w:t>window.</w:t>
      </w:r>
    </w:p>
    <w:p w14:paraId="27597A2D" w14:textId="2FF441BB" w:rsidR="00C37837" w:rsidRDefault="00C37837" w:rsidP="005B3006">
      <w:pPr>
        <w:spacing w:line="276" w:lineRule="auto"/>
      </w:pPr>
      <w:r w:rsidRPr="003A568E">
        <w:rPr>
          <w:u w:val="single"/>
        </w:rPr>
        <w:t>Datatype and missing values</w:t>
      </w:r>
      <w:r w:rsidR="00E870EB" w:rsidRPr="003A568E">
        <w:rPr>
          <w:u w:val="single"/>
        </w:rPr>
        <w:t>:</w:t>
      </w:r>
      <w:r w:rsidR="00E870EB">
        <w:t xml:space="preserve"> </w:t>
      </w:r>
      <w:r w:rsidR="009F1244" w:rsidRPr="009F1244">
        <w:t>Numeric</w:t>
      </w:r>
      <w:r w:rsidR="009F1244">
        <w:t xml:space="preserve">, </w:t>
      </w:r>
      <w:r w:rsidR="00FC772B" w:rsidRPr="00517BC2">
        <w:t>first</w:t>
      </w:r>
      <w:r w:rsidR="00517BC2" w:rsidRPr="00517BC2">
        <w:t xml:space="preserve"> value calculated after the first complete window.</w:t>
      </w:r>
    </w:p>
    <w:p w14:paraId="450B880D" w14:textId="28FED79B" w:rsidR="00620FEC" w:rsidRDefault="00AD49F3" w:rsidP="005B3006">
      <w:pPr>
        <w:spacing w:line="276" w:lineRule="auto"/>
      </w:pPr>
      <w:r w:rsidRPr="00FF6064">
        <w:rPr>
          <w:u w:val="single"/>
        </w:rPr>
        <w:t>Visualization:</w:t>
      </w:r>
      <w:r>
        <w:t xml:space="preserve"> </w:t>
      </w:r>
      <w:r w:rsidR="00FF6064" w:rsidRPr="00FF6064">
        <w:t>The plot illustrates how rolling averages effectively smoothed out the volatility in daily prices, highlighting the underlying trend.</w:t>
      </w:r>
    </w:p>
    <w:p w14:paraId="65762C1E" w14:textId="78BF0F46" w:rsidR="00FF6064" w:rsidRDefault="003C7EE9" w:rsidP="005B3006">
      <w:pPr>
        <w:spacing w:line="276" w:lineRule="auto"/>
        <w:jc w:val="center"/>
        <w:rPr>
          <w:b/>
          <w:bCs/>
        </w:rPr>
      </w:pPr>
      <w:r w:rsidRPr="003C7EE9">
        <w:rPr>
          <w:b/>
          <w:bCs/>
        </w:rPr>
        <w:lastRenderedPageBreak/>
        <w:drawing>
          <wp:inline distT="0" distB="0" distL="0" distR="0" wp14:anchorId="54B9FB1F" wp14:editId="18E02F40">
            <wp:extent cx="5400000" cy="3592500"/>
            <wp:effectExtent l="0" t="0" r="0" b="1905"/>
            <wp:docPr id="2034399541"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99541" name="Picture 1" descr="A graph of a stock market&#10;&#10;Description automatically generated with medium confidence"/>
                    <pic:cNvPicPr/>
                  </pic:nvPicPr>
                  <pic:blipFill>
                    <a:blip r:embed="rId17"/>
                    <a:stretch>
                      <a:fillRect/>
                    </a:stretch>
                  </pic:blipFill>
                  <pic:spPr>
                    <a:xfrm>
                      <a:off x="0" y="0"/>
                      <a:ext cx="5400000" cy="3592500"/>
                    </a:xfrm>
                    <a:prstGeom prst="rect">
                      <a:avLst/>
                    </a:prstGeom>
                  </pic:spPr>
                </pic:pic>
              </a:graphicData>
            </a:graphic>
          </wp:inline>
        </w:drawing>
      </w:r>
    </w:p>
    <w:p w14:paraId="739F7FE9" w14:textId="3272EE9C" w:rsidR="003C7EE9" w:rsidRDefault="00CA665D" w:rsidP="005B3006">
      <w:pPr>
        <w:pStyle w:val="ListParagraph"/>
        <w:numPr>
          <w:ilvl w:val="0"/>
          <w:numId w:val="28"/>
        </w:numPr>
        <w:spacing w:line="276" w:lineRule="auto"/>
        <w:rPr>
          <w:b/>
          <w:bCs/>
        </w:rPr>
      </w:pPr>
      <w:r>
        <w:rPr>
          <w:b/>
          <w:bCs/>
        </w:rPr>
        <w:t xml:space="preserve">Percentage changes in </w:t>
      </w:r>
      <w:r w:rsidR="003C7EE9" w:rsidRPr="00F73399">
        <w:rPr>
          <w:b/>
          <w:bCs/>
        </w:rPr>
        <w:t>Monthly and weekly Rolling averages</w:t>
      </w:r>
    </w:p>
    <w:p w14:paraId="32DC6E6D" w14:textId="71AD3A17" w:rsidR="00417E33" w:rsidRPr="00417E33" w:rsidRDefault="00417E33" w:rsidP="005B3006">
      <w:pPr>
        <w:spacing w:line="276" w:lineRule="auto"/>
        <w:rPr>
          <w:rFonts w:cs="Consolas"/>
        </w:rPr>
      </w:pPr>
      <w:r w:rsidRPr="00417E33">
        <w:rPr>
          <w:u w:val="single"/>
        </w:rPr>
        <w:t>Features</w:t>
      </w:r>
      <w:r w:rsidR="00C03572">
        <w:rPr>
          <w:u w:val="single"/>
        </w:rPr>
        <w:t>’</w:t>
      </w:r>
      <w:r w:rsidRPr="00417E33">
        <w:rPr>
          <w:u w:val="single"/>
        </w:rPr>
        <w:t xml:space="preserve"> Name:</w:t>
      </w:r>
      <w:r>
        <w:t xml:space="preserve"> </w:t>
      </w:r>
      <w:r w:rsidR="006D3728" w:rsidRPr="00625FCC">
        <w:rPr>
          <w:rFonts w:cs="Consolas"/>
        </w:rPr>
        <w:t>{asset}_</w:t>
      </w:r>
      <w:proofErr w:type="spellStart"/>
      <w:r w:rsidR="006D3728" w:rsidRPr="00625FCC">
        <w:rPr>
          <w:rFonts w:cs="Consolas"/>
        </w:rPr>
        <w:t>weekly_avg_pct_change</w:t>
      </w:r>
      <w:proofErr w:type="spellEnd"/>
      <w:r w:rsidR="006D3728" w:rsidRPr="00625FCC">
        <w:rPr>
          <w:rFonts w:cs="Consolas"/>
        </w:rPr>
        <w:t>,</w:t>
      </w:r>
      <w:r w:rsidR="00E16930" w:rsidRPr="00625FCC">
        <w:rPr>
          <w:rFonts w:cs="Consolas"/>
        </w:rPr>
        <w:t xml:space="preserve"> </w:t>
      </w:r>
      <w:r w:rsidR="006D3728" w:rsidRPr="00625FCC">
        <w:rPr>
          <w:rFonts w:cs="Consolas"/>
        </w:rPr>
        <w:t>{asset}_</w:t>
      </w:r>
      <w:proofErr w:type="spellStart"/>
      <w:r w:rsidR="006D3728" w:rsidRPr="00625FCC">
        <w:rPr>
          <w:rFonts w:cs="Consolas"/>
        </w:rPr>
        <w:t>monthly_avg_pct_change</w:t>
      </w:r>
      <w:proofErr w:type="spellEnd"/>
      <w:r w:rsidRPr="00417E33">
        <w:rPr>
          <w:rFonts w:cs="Consolas"/>
        </w:rPr>
        <w:tab/>
      </w:r>
    </w:p>
    <w:p w14:paraId="4D850764" w14:textId="2E76366C" w:rsidR="00417E33" w:rsidRDefault="00417E33" w:rsidP="005B3006">
      <w:pPr>
        <w:spacing w:line="276" w:lineRule="auto"/>
      </w:pPr>
      <w:r w:rsidRPr="00417E33">
        <w:rPr>
          <w:u w:val="single"/>
        </w:rPr>
        <w:t>Description:</w:t>
      </w:r>
      <w:r>
        <w:t xml:space="preserve"> </w:t>
      </w:r>
      <w:r w:rsidR="00A21F2A" w:rsidRPr="00A21F2A">
        <w:t>Measures the rate of change in the weekly/monthly moving averages, indicating the strength and direction of the trend.</w:t>
      </w:r>
    </w:p>
    <w:p w14:paraId="03795F39" w14:textId="4A8C1D1F" w:rsidR="00417E33" w:rsidRDefault="00417E33" w:rsidP="005B3006">
      <w:pPr>
        <w:spacing w:line="276" w:lineRule="auto"/>
      </w:pPr>
      <w:r w:rsidRPr="00417E33">
        <w:rPr>
          <w:u w:val="single"/>
        </w:rPr>
        <w:t xml:space="preserve">Transformation Logic: </w:t>
      </w:r>
      <w:r w:rsidR="00C704A1" w:rsidRPr="00C704A1">
        <w:t xml:space="preserve">Percentage change between consecutive </w:t>
      </w:r>
      <w:r w:rsidR="003758C7" w:rsidRPr="00625FCC">
        <w:rPr>
          <w:rFonts w:cs="Consolas"/>
        </w:rPr>
        <w:t>{asset}_</w:t>
      </w:r>
      <w:proofErr w:type="spellStart"/>
      <w:r w:rsidR="003758C7" w:rsidRPr="00625FCC">
        <w:rPr>
          <w:rFonts w:cs="Consolas"/>
        </w:rPr>
        <w:t>weekly_avg</w:t>
      </w:r>
      <w:proofErr w:type="spellEnd"/>
      <w:r w:rsidR="003758C7" w:rsidRPr="00625FCC">
        <w:rPr>
          <w:rFonts w:cs="Consolas"/>
        </w:rPr>
        <w:t>, {asset}_</w:t>
      </w:r>
      <w:proofErr w:type="spellStart"/>
      <w:r w:rsidR="003758C7" w:rsidRPr="00625FCC">
        <w:rPr>
          <w:rFonts w:cs="Consolas"/>
        </w:rPr>
        <w:t>monthly_avg</w:t>
      </w:r>
      <w:proofErr w:type="spellEnd"/>
      <w:r w:rsidR="00C704A1" w:rsidRPr="00C704A1">
        <w:t>.</w:t>
      </w:r>
    </w:p>
    <w:p w14:paraId="6246C3A7" w14:textId="77777777" w:rsidR="00417E33" w:rsidRDefault="00417E33" w:rsidP="005B3006">
      <w:pPr>
        <w:spacing w:line="276" w:lineRule="auto"/>
      </w:pPr>
      <w:r w:rsidRPr="00417E33">
        <w:rPr>
          <w:u w:val="single"/>
        </w:rPr>
        <w:t>Datatype and missing values:</w:t>
      </w:r>
      <w:r>
        <w:t xml:space="preserve"> </w:t>
      </w:r>
      <w:r w:rsidRPr="009F1244">
        <w:t>Numeric</w:t>
      </w:r>
      <w:r>
        <w:t xml:space="preserve">, </w:t>
      </w:r>
      <w:r w:rsidRPr="00517BC2">
        <w:t>first value calculated after the first complete window.</w:t>
      </w:r>
    </w:p>
    <w:p w14:paraId="4FCCD57A" w14:textId="6E27EB07" w:rsidR="00417E33" w:rsidRDefault="00417E33" w:rsidP="005B3006">
      <w:pPr>
        <w:spacing w:line="276" w:lineRule="auto"/>
      </w:pPr>
      <w:r w:rsidRPr="00417E33">
        <w:rPr>
          <w:u w:val="single"/>
        </w:rPr>
        <w:t>Visualization:</w:t>
      </w:r>
      <w:r>
        <w:t xml:space="preserve"> </w:t>
      </w:r>
      <w:r w:rsidR="00C41086" w:rsidRPr="00C41086">
        <w:t>The plots depict the frequency of different percentage changes in weekly and monthly average prices for each asset. The narrower distribution of monthly average price changes indicates a lower degree of fluctuation over longer time periods.</w:t>
      </w:r>
    </w:p>
    <w:p w14:paraId="3F4FCE06" w14:textId="77777777" w:rsidR="003C7EE9" w:rsidRPr="008A22E1" w:rsidRDefault="003C7EE9" w:rsidP="005B3006">
      <w:pPr>
        <w:spacing w:line="276" w:lineRule="auto"/>
        <w:rPr>
          <w:b/>
          <w:bCs/>
        </w:rPr>
      </w:pPr>
    </w:p>
    <w:p w14:paraId="637E400E" w14:textId="35E4186A" w:rsidR="0064711E" w:rsidRDefault="00044EBC" w:rsidP="005B3006">
      <w:pPr>
        <w:spacing w:line="276" w:lineRule="auto"/>
        <w:jc w:val="center"/>
      </w:pPr>
      <w:r w:rsidRPr="00044EBC">
        <w:lastRenderedPageBreak/>
        <w:drawing>
          <wp:inline distT="0" distB="0" distL="0" distR="0" wp14:anchorId="0A896717" wp14:editId="183F2459">
            <wp:extent cx="5400000" cy="4500000"/>
            <wp:effectExtent l="0" t="0" r="0" b="0"/>
            <wp:docPr id="1476595583" name="Picture 1" descr="A graph of different chan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95583" name="Picture 1" descr="A graph of different changes&#10;&#10;Description automatically generated with medium confidence"/>
                    <pic:cNvPicPr/>
                  </pic:nvPicPr>
                  <pic:blipFill>
                    <a:blip r:embed="rId18"/>
                    <a:stretch>
                      <a:fillRect/>
                    </a:stretch>
                  </pic:blipFill>
                  <pic:spPr>
                    <a:xfrm>
                      <a:off x="0" y="0"/>
                      <a:ext cx="5400000" cy="4500000"/>
                    </a:xfrm>
                    <a:prstGeom prst="rect">
                      <a:avLst/>
                    </a:prstGeom>
                  </pic:spPr>
                </pic:pic>
              </a:graphicData>
            </a:graphic>
          </wp:inline>
        </w:drawing>
      </w:r>
    </w:p>
    <w:p w14:paraId="03E6826E" w14:textId="77777777" w:rsidR="00065B4C" w:rsidRDefault="00065B4C" w:rsidP="005B3006">
      <w:pPr>
        <w:pStyle w:val="ListParagraph"/>
        <w:numPr>
          <w:ilvl w:val="0"/>
          <w:numId w:val="28"/>
        </w:numPr>
        <w:spacing w:line="276" w:lineRule="auto"/>
        <w:rPr>
          <w:b/>
          <w:bCs/>
        </w:rPr>
      </w:pPr>
      <w:r>
        <w:rPr>
          <w:b/>
          <w:bCs/>
        </w:rPr>
        <w:t xml:space="preserve">Percentage changes in </w:t>
      </w:r>
      <w:r w:rsidRPr="00F73399">
        <w:rPr>
          <w:b/>
          <w:bCs/>
        </w:rPr>
        <w:t>Monthly and weekly Rolling averages</w:t>
      </w:r>
    </w:p>
    <w:p w14:paraId="2FB441A6" w14:textId="78D83CBC" w:rsidR="00065B4C" w:rsidRPr="00065B4C" w:rsidRDefault="00065B4C" w:rsidP="005B3006">
      <w:pPr>
        <w:spacing w:line="276" w:lineRule="auto"/>
        <w:rPr>
          <w:rFonts w:cs="Consolas"/>
        </w:rPr>
      </w:pPr>
      <w:r w:rsidRPr="00065B4C">
        <w:rPr>
          <w:u w:val="single"/>
        </w:rPr>
        <w:t>Features</w:t>
      </w:r>
      <w:r w:rsidR="00C03572">
        <w:rPr>
          <w:u w:val="single"/>
        </w:rPr>
        <w:t>’</w:t>
      </w:r>
      <w:r w:rsidRPr="00065B4C">
        <w:rPr>
          <w:u w:val="single"/>
        </w:rPr>
        <w:t xml:space="preserve"> Name:</w:t>
      </w:r>
      <w:r>
        <w:t xml:space="preserve"> </w:t>
      </w:r>
      <w:r w:rsidR="00611B8F" w:rsidRPr="00625FCC">
        <w:rPr>
          <w:rFonts w:cs="Consolas"/>
        </w:rPr>
        <w:t>{asset}_</w:t>
      </w:r>
      <w:proofErr w:type="spellStart"/>
      <w:r w:rsidR="00611B8F" w:rsidRPr="00625FCC">
        <w:rPr>
          <w:rFonts w:cs="Consolas"/>
        </w:rPr>
        <w:t>Daily_ocpercentage</w:t>
      </w:r>
      <w:proofErr w:type="spellEnd"/>
      <w:r w:rsidR="00611B8F" w:rsidRPr="00625FCC">
        <w:rPr>
          <w:rFonts w:cs="Consolas"/>
        </w:rPr>
        <w:t>, {asset}_</w:t>
      </w:r>
      <w:proofErr w:type="spellStart"/>
      <w:r w:rsidR="00611B8F" w:rsidRPr="00625FCC">
        <w:rPr>
          <w:rFonts w:cs="Consolas"/>
        </w:rPr>
        <w:t>Daily_max_percentage</w:t>
      </w:r>
      <w:proofErr w:type="spellEnd"/>
      <w:r w:rsidR="00611B8F" w:rsidRPr="00625FCC">
        <w:rPr>
          <w:rFonts w:cs="Consolas"/>
        </w:rPr>
        <w:t>, {asset}_</w:t>
      </w:r>
      <w:proofErr w:type="spellStart"/>
      <w:r w:rsidR="00611B8F" w:rsidRPr="00625FCC">
        <w:rPr>
          <w:rFonts w:cs="Consolas"/>
        </w:rPr>
        <w:t>Daily_min_percentage</w:t>
      </w:r>
      <w:proofErr w:type="spellEnd"/>
      <w:r w:rsidRPr="00065B4C">
        <w:rPr>
          <w:rFonts w:cs="Consolas"/>
        </w:rPr>
        <w:tab/>
      </w:r>
    </w:p>
    <w:p w14:paraId="73E97393" w14:textId="59DF2135" w:rsidR="00BE510B" w:rsidRDefault="00065B4C" w:rsidP="005B3006">
      <w:pPr>
        <w:spacing w:line="276" w:lineRule="auto"/>
      </w:pPr>
      <w:r w:rsidRPr="00065B4C">
        <w:rPr>
          <w:u w:val="single"/>
        </w:rPr>
        <w:t>Description:</w:t>
      </w:r>
      <w:r>
        <w:t xml:space="preserve"> </w:t>
      </w:r>
      <w:r w:rsidR="00481DBE" w:rsidRPr="00481DBE">
        <w:t>Percentage changes in daily open, close, high, and low prices to quantify the magnitude and frequency of price swings</w:t>
      </w:r>
      <w:r w:rsidR="00BE510B" w:rsidRPr="00BE510B">
        <w:t>.</w:t>
      </w:r>
    </w:p>
    <w:p w14:paraId="188DDC20" w14:textId="61246EC6" w:rsidR="00065B4C" w:rsidRDefault="00065B4C" w:rsidP="005B3006">
      <w:pPr>
        <w:spacing w:line="276" w:lineRule="auto"/>
      </w:pPr>
      <w:r w:rsidRPr="00065B4C">
        <w:rPr>
          <w:u w:val="single"/>
        </w:rPr>
        <w:t xml:space="preserve">Transformation Logic: </w:t>
      </w:r>
      <w:r w:rsidR="00E2076A" w:rsidRPr="00625FCC">
        <w:rPr>
          <w:rFonts w:cs="Consolas"/>
        </w:rPr>
        <w:t>{asset}_</w:t>
      </w:r>
      <w:r w:rsidR="00E2076A" w:rsidRPr="00625FCC">
        <w:rPr>
          <w:rFonts w:cs="Consolas"/>
        </w:rPr>
        <w:t>open</w:t>
      </w:r>
      <w:r w:rsidR="00FA097C" w:rsidRPr="00FA097C">
        <w:t xml:space="preserve"> to </w:t>
      </w:r>
      <w:r w:rsidR="00E2076A" w:rsidRPr="00625FCC">
        <w:rPr>
          <w:rFonts w:cs="Consolas"/>
        </w:rPr>
        <w:t>{asset}_close</w:t>
      </w:r>
      <w:r w:rsidR="00FA097C" w:rsidRPr="00FA097C">
        <w:t xml:space="preserve">, </w:t>
      </w:r>
      <w:r w:rsidR="003758C7" w:rsidRPr="00625FCC">
        <w:rPr>
          <w:rFonts w:cs="Consolas"/>
        </w:rPr>
        <w:t>{asset}_close</w:t>
      </w:r>
      <w:r w:rsidR="00FA097C" w:rsidRPr="00FA097C">
        <w:t xml:space="preserve"> to </w:t>
      </w:r>
      <w:r w:rsidR="003758C7" w:rsidRPr="00625FCC">
        <w:rPr>
          <w:rFonts w:cs="Consolas"/>
        </w:rPr>
        <w:t>{asset}_</w:t>
      </w:r>
      <w:r w:rsidR="003758C7" w:rsidRPr="00625FCC">
        <w:rPr>
          <w:rFonts w:cs="Consolas"/>
        </w:rPr>
        <w:t>high</w:t>
      </w:r>
      <w:r w:rsidR="00FA097C" w:rsidRPr="00FA097C">
        <w:t xml:space="preserve">, and </w:t>
      </w:r>
      <w:r w:rsidR="003758C7" w:rsidRPr="00625FCC">
        <w:rPr>
          <w:rFonts w:cs="Consolas"/>
        </w:rPr>
        <w:t>{asset}_close</w:t>
      </w:r>
      <w:r w:rsidR="00FA097C" w:rsidRPr="00FA097C">
        <w:t xml:space="preserve"> to </w:t>
      </w:r>
      <w:r w:rsidR="003758C7" w:rsidRPr="00625FCC">
        <w:rPr>
          <w:rFonts w:cs="Consolas"/>
        </w:rPr>
        <w:t>{asset}_</w:t>
      </w:r>
      <w:r w:rsidR="003758C7" w:rsidRPr="00625FCC">
        <w:rPr>
          <w:rFonts w:cs="Consolas"/>
        </w:rPr>
        <w:t>low</w:t>
      </w:r>
      <w:r w:rsidR="00FA097C" w:rsidRPr="00FA097C">
        <w:t xml:space="preserve"> percentage changes.</w:t>
      </w:r>
    </w:p>
    <w:p w14:paraId="15427751" w14:textId="10150E88" w:rsidR="00065B4C" w:rsidRDefault="00065B4C" w:rsidP="005B3006">
      <w:pPr>
        <w:spacing w:line="276" w:lineRule="auto"/>
      </w:pPr>
      <w:r w:rsidRPr="00065B4C">
        <w:rPr>
          <w:u w:val="single"/>
        </w:rPr>
        <w:t>Datatype and missing values:</w:t>
      </w:r>
      <w:r>
        <w:t xml:space="preserve"> </w:t>
      </w:r>
      <w:r w:rsidRPr="009F1244">
        <w:t>Numeric</w:t>
      </w:r>
      <w:r>
        <w:t xml:space="preserve">, </w:t>
      </w:r>
      <w:r w:rsidR="00FA097C">
        <w:t>No missing.</w:t>
      </w:r>
    </w:p>
    <w:p w14:paraId="09E07B4A" w14:textId="34A800FB" w:rsidR="00065B4C" w:rsidRDefault="00065B4C" w:rsidP="005B3006">
      <w:pPr>
        <w:spacing w:line="276" w:lineRule="auto"/>
      </w:pPr>
      <w:r w:rsidRPr="00065B4C">
        <w:rPr>
          <w:u w:val="single"/>
        </w:rPr>
        <w:t>Visualization:</w:t>
      </w:r>
      <w:r>
        <w:t xml:space="preserve"> </w:t>
      </w:r>
      <w:r w:rsidR="00D236D5" w:rsidRPr="00D236D5">
        <w:t xml:space="preserve">The histograms visualize the distribution of </w:t>
      </w:r>
      <w:r w:rsidR="00D236D5">
        <w:t>the new features for each asset</w:t>
      </w:r>
      <w:r w:rsidR="00D236D5" w:rsidRPr="00D236D5">
        <w:t>. The plots reveal that Bitcoin and Oil exhibit higher volatility compared to Gold and the Dollar Index, with wider distributions and more frequent extreme price movements.</w:t>
      </w:r>
    </w:p>
    <w:p w14:paraId="6307F3E6" w14:textId="0FE07691" w:rsidR="00A841CA" w:rsidRDefault="00614F53" w:rsidP="005B3006">
      <w:pPr>
        <w:spacing w:line="276" w:lineRule="auto"/>
        <w:jc w:val="center"/>
      </w:pPr>
      <w:r w:rsidRPr="00614F53">
        <w:lastRenderedPageBreak/>
        <w:drawing>
          <wp:inline distT="0" distB="0" distL="0" distR="0" wp14:anchorId="31316481" wp14:editId="611E2FA4">
            <wp:extent cx="5400000" cy="4500000"/>
            <wp:effectExtent l="0" t="0" r="0" b="0"/>
            <wp:docPr id="12075493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49350" name="Picture 1" descr="A graph of different colored lines&#10;&#10;Description automatically generated with medium confidence"/>
                    <pic:cNvPicPr/>
                  </pic:nvPicPr>
                  <pic:blipFill>
                    <a:blip r:embed="rId19"/>
                    <a:stretch>
                      <a:fillRect/>
                    </a:stretch>
                  </pic:blipFill>
                  <pic:spPr>
                    <a:xfrm>
                      <a:off x="0" y="0"/>
                      <a:ext cx="5400000" cy="4500000"/>
                    </a:xfrm>
                    <a:prstGeom prst="rect">
                      <a:avLst/>
                    </a:prstGeom>
                  </pic:spPr>
                </pic:pic>
              </a:graphicData>
            </a:graphic>
          </wp:inline>
        </w:drawing>
      </w:r>
    </w:p>
    <w:p w14:paraId="4C63516F" w14:textId="77777777" w:rsidR="00D62390" w:rsidRDefault="00D62390" w:rsidP="005B3006">
      <w:pPr>
        <w:pStyle w:val="ListParagraph"/>
        <w:numPr>
          <w:ilvl w:val="0"/>
          <w:numId w:val="28"/>
        </w:numPr>
        <w:spacing w:line="276" w:lineRule="auto"/>
        <w:rPr>
          <w:b/>
          <w:bCs/>
        </w:rPr>
      </w:pPr>
      <w:r>
        <w:rPr>
          <w:b/>
          <w:bCs/>
        </w:rPr>
        <w:t xml:space="preserve">Percentage changes in </w:t>
      </w:r>
      <w:r w:rsidRPr="00F73399">
        <w:rPr>
          <w:b/>
          <w:bCs/>
        </w:rPr>
        <w:t>Monthly and weekly Rolling averages</w:t>
      </w:r>
    </w:p>
    <w:p w14:paraId="57093410" w14:textId="3E18BB74" w:rsidR="00D62390" w:rsidRPr="00D62390" w:rsidRDefault="00D62390" w:rsidP="005B3006">
      <w:pPr>
        <w:spacing w:line="276" w:lineRule="auto"/>
        <w:rPr>
          <w:rFonts w:cs="Consolas"/>
        </w:rPr>
      </w:pPr>
      <w:r w:rsidRPr="00D62390">
        <w:rPr>
          <w:u w:val="single"/>
        </w:rPr>
        <w:t>Feature</w:t>
      </w:r>
      <w:r>
        <w:rPr>
          <w:u w:val="single"/>
        </w:rPr>
        <w:t>’</w:t>
      </w:r>
      <w:r w:rsidRPr="00D62390">
        <w:rPr>
          <w:u w:val="single"/>
        </w:rPr>
        <w:t>s Name</w:t>
      </w:r>
      <w:r>
        <w:rPr>
          <w:u w:val="single"/>
        </w:rPr>
        <w:t>:</w:t>
      </w:r>
      <w:r w:rsidR="000C0076" w:rsidRPr="00625FCC">
        <w:rPr>
          <w:rFonts w:cs="Consolas"/>
        </w:rPr>
        <w:t xml:space="preserve"> </w:t>
      </w:r>
      <w:r w:rsidR="00CF52F3" w:rsidRPr="00625FCC">
        <w:rPr>
          <w:rFonts w:cs="Consolas"/>
        </w:rPr>
        <w:t>{asset}_</w:t>
      </w:r>
      <w:proofErr w:type="spellStart"/>
      <w:r w:rsidR="00CF52F3" w:rsidRPr="00625FCC">
        <w:rPr>
          <w:rFonts w:cs="Consolas"/>
        </w:rPr>
        <w:t>intraday_volatility</w:t>
      </w:r>
      <w:proofErr w:type="spellEnd"/>
    </w:p>
    <w:p w14:paraId="171F2F6B" w14:textId="7DAEE2B3" w:rsidR="00D62390" w:rsidRDefault="00D62390" w:rsidP="005B3006">
      <w:pPr>
        <w:spacing w:line="276" w:lineRule="auto"/>
      </w:pPr>
      <w:r w:rsidRPr="00D62390">
        <w:rPr>
          <w:u w:val="single"/>
        </w:rPr>
        <w:t>Description:</w:t>
      </w:r>
      <w:r>
        <w:t xml:space="preserve"> </w:t>
      </w:r>
      <w:r w:rsidR="00475325" w:rsidRPr="00475325">
        <w:t>Calculates the percentage difference between the daily high and low prices, providing a measure of the magnitude of price swings within a single trading day.</w:t>
      </w:r>
    </w:p>
    <w:p w14:paraId="226ADB0A" w14:textId="08ABF091" w:rsidR="00D62390" w:rsidRDefault="00D62390" w:rsidP="005B3006">
      <w:pPr>
        <w:spacing w:line="276" w:lineRule="auto"/>
      </w:pPr>
      <w:r w:rsidRPr="00D62390">
        <w:rPr>
          <w:u w:val="single"/>
        </w:rPr>
        <w:t xml:space="preserve">Transformation Logic: </w:t>
      </w:r>
      <w:r w:rsidR="00905354" w:rsidRPr="00905354">
        <w:t xml:space="preserve">Calculated as the percentage difference between the </w:t>
      </w:r>
      <w:r w:rsidR="00E2076A" w:rsidRPr="00625FCC">
        <w:rPr>
          <w:rFonts w:cs="Consolas"/>
        </w:rPr>
        <w:t>{asset}_</w:t>
      </w:r>
      <w:r w:rsidR="00E2076A" w:rsidRPr="00625FCC">
        <w:rPr>
          <w:rFonts w:cs="Consolas"/>
        </w:rPr>
        <w:t>high</w:t>
      </w:r>
      <w:r w:rsidR="00905354" w:rsidRPr="00905354">
        <w:t xml:space="preserve"> and </w:t>
      </w:r>
      <w:r w:rsidR="00E2076A" w:rsidRPr="00625FCC">
        <w:rPr>
          <w:rFonts w:cs="Consolas"/>
        </w:rPr>
        <w:t>{asset}_</w:t>
      </w:r>
      <w:r w:rsidR="00E2076A" w:rsidRPr="00625FCC">
        <w:rPr>
          <w:rFonts w:cs="Consolas"/>
        </w:rPr>
        <w:t>low</w:t>
      </w:r>
      <w:r w:rsidR="00905354" w:rsidRPr="00905354">
        <w:t xml:space="preserve"> divided by the </w:t>
      </w:r>
      <w:r w:rsidR="00E2076A" w:rsidRPr="00625FCC">
        <w:rPr>
          <w:rFonts w:cs="Consolas"/>
        </w:rPr>
        <w:t>{asset}_close</w:t>
      </w:r>
      <w:r w:rsidR="00905354" w:rsidRPr="00905354">
        <w:t>.</w:t>
      </w:r>
    </w:p>
    <w:p w14:paraId="7861C6D3" w14:textId="38DD9037" w:rsidR="00D62390" w:rsidRDefault="00D62390" w:rsidP="005B3006">
      <w:pPr>
        <w:spacing w:line="276" w:lineRule="auto"/>
      </w:pPr>
      <w:r w:rsidRPr="00D62390">
        <w:rPr>
          <w:u w:val="single"/>
        </w:rPr>
        <w:t>Datatype and missing values:</w:t>
      </w:r>
      <w:r>
        <w:t xml:space="preserve"> </w:t>
      </w:r>
      <w:r w:rsidR="00C40D7B" w:rsidRPr="009F1244">
        <w:t>Numeric</w:t>
      </w:r>
      <w:r w:rsidR="00C40D7B">
        <w:t>, No missing.</w:t>
      </w:r>
    </w:p>
    <w:p w14:paraId="0EF5A5EC" w14:textId="1E1DFC06" w:rsidR="00D62390" w:rsidRDefault="00D62390" w:rsidP="005B3006">
      <w:pPr>
        <w:spacing w:line="276" w:lineRule="auto"/>
      </w:pPr>
      <w:r w:rsidRPr="00D62390">
        <w:rPr>
          <w:u w:val="single"/>
        </w:rPr>
        <w:t>Visualization:</w:t>
      </w:r>
      <w:r>
        <w:t xml:space="preserve"> </w:t>
      </w:r>
      <w:r w:rsidR="00C778C5" w:rsidRPr="00C778C5">
        <w:t>The plots show that Bitcoin and Oil exhibit significantly higher intraday volatility compared to Gold and the Dollar Index, with wider distributions and more frequent occurrences of extreme price swings within a single trading day.</w:t>
      </w:r>
    </w:p>
    <w:p w14:paraId="56D1A3A9" w14:textId="3D16A312" w:rsidR="006418FF" w:rsidRDefault="002D154C" w:rsidP="005B3006">
      <w:pPr>
        <w:spacing w:line="276" w:lineRule="auto"/>
        <w:jc w:val="center"/>
      </w:pPr>
      <w:r w:rsidRPr="002D154C">
        <w:lastRenderedPageBreak/>
        <w:drawing>
          <wp:inline distT="0" distB="0" distL="0" distR="0" wp14:anchorId="287AADBA" wp14:editId="3A9D8277">
            <wp:extent cx="5400000" cy="4500000"/>
            <wp:effectExtent l="0" t="0" r="0" b="0"/>
            <wp:docPr id="695396607" name="Picture 1" descr="A group of graphs showing different types of volati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6607" name="Picture 1" descr="A group of graphs showing different types of volatility&#10;&#10;Description automatically generated"/>
                    <pic:cNvPicPr/>
                  </pic:nvPicPr>
                  <pic:blipFill>
                    <a:blip r:embed="rId20"/>
                    <a:stretch>
                      <a:fillRect/>
                    </a:stretch>
                  </pic:blipFill>
                  <pic:spPr>
                    <a:xfrm>
                      <a:off x="0" y="0"/>
                      <a:ext cx="5400000" cy="4500000"/>
                    </a:xfrm>
                    <a:prstGeom prst="rect">
                      <a:avLst/>
                    </a:prstGeom>
                  </pic:spPr>
                </pic:pic>
              </a:graphicData>
            </a:graphic>
          </wp:inline>
        </w:drawing>
      </w:r>
    </w:p>
    <w:p w14:paraId="24EE3E42" w14:textId="2C6FB1F3" w:rsidR="003A519E" w:rsidRDefault="00B85B23" w:rsidP="005B3006">
      <w:pPr>
        <w:pStyle w:val="ListParagraph"/>
        <w:numPr>
          <w:ilvl w:val="0"/>
          <w:numId w:val="28"/>
        </w:numPr>
        <w:spacing w:line="276" w:lineRule="auto"/>
        <w:rPr>
          <w:b/>
          <w:bCs/>
        </w:rPr>
      </w:pPr>
      <w:r>
        <w:rPr>
          <w:b/>
          <w:bCs/>
        </w:rPr>
        <w:t>Day to</w:t>
      </w:r>
      <w:r w:rsidR="00520F77">
        <w:rPr>
          <w:b/>
          <w:bCs/>
        </w:rPr>
        <w:t xml:space="preserve"> d</w:t>
      </w:r>
      <w:r>
        <w:rPr>
          <w:b/>
          <w:bCs/>
        </w:rPr>
        <w:t xml:space="preserve">ay </w:t>
      </w:r>
      <w:r w:rsidR="003A519E">
        <w:rPr>
          <w:b/>
          <w:bCs/>
        </w:rPr>
        <w:t xml:space="preserve">Percentage changes in </w:t>
      </w:r>
      <w:r w:rsidR="00253672">
        <w:rPr>
          <w:b/>
          <w:bCs/>
        </w:rPr>
        <w:t>prices</w:t>
      </w:r>
      <w:r w:rsidR="00520F77">
        <w:rPr>
          <w:b/>
          <w:bCs/>
        </w:rPr>
        <w:t xml:space="preserve"> (</w:t>
      </w:r>
      <w:r w:rsidR="009C2033">
        <w:rPr>
          <w:b/>
          <w:bCs/>
        </w:rPr>
        <w:t xml:space="preserve">% </w:t>
      </w:r>
      <w:r w:rsidR="00520F77">
        <w:rPr>
          <w:b/>
          <w:bCs/>
        </w:rPr>
        <w:t>Return</w:t>
      </w:r>
      <w:r w:rsidR="009C2033">
        <w:rPr>
          <w:b/>
          <w:bCs/>
        </w:rPr>
        <w:t>)</w:t>
      </w:r>
    </w:p>
    <w:p w14:paraId="62D740BE" w14:textId="6B452AA6" w:rsidR="003A519E" w:rsidRPr="00D62390" w:rsidRDefault="003A519E" w:rsidP="005B3006">
      <w:pPr>
        <w:spacing w:line="276" w:lineRule="auto"/>
        <w:rPr>
          <w:rFonts w:cs="Consolas"/>
        </w:rPr>
      </w:pPr>
      <w:r w:rsidRPr="00D62390">
        <w:rPr>
          <w:u w:val="single"/>
        </w:rPr>
        <w:t>Feature</w:t>
      </w:r>
      <w:r>
        <w:rPr>
          <w:u w:val="single"/>
        </w:rPr>
        <w:t>’</w:t>
      </w:r>
      <w:r w:rsidRPr="00D62390">
        <w:rPr>
          <w:u w:val="single"/>
        </w:rPr>
        <w:t>s Name</w:t>
      </w:r>
      <w:r>
        <w:rPr>
          <w:u w:val="single"/>
        </w:rPr>
        <w:t>:</w:t>
      </w:r>
      <w:r w:rsidRPr="00625FCC">
        <w:rPr>
          <w:rFonts w:cs="Consolas"/>
        </w:rPr>
        <w:t xml:space="preserve"> </w:t>
      </w:r>
      <w:r w:rsidR="00B81E93" w:rsidRPr="00625FCC">
        <w:rPr>
          <w:rFonts w:cs="Consolas"/>
        </w:rPr>
        <w:t>{asset}_daily_percentage</w:t>
      </w:r>
    </w:p>
    <w:p w14:paraId="76DB9FE6" w14:textId="25DE82B3" w:rsidR="003A519E" w:rsidRDefault="003A519E" w:rsidP="005B3006">
      <w:pPr>
        <w:spacing w:line="276" w:lineRule="auto"/>
      </w:pPr>
      <w:r w:rsidRPr="00D62390">
        <w:rPr>
          <w:u w:val="single"/>
        </w:rPr>
        <w:t>Description:</w:t>
      </w:r>
      <w:r>
        <w:t xml:space="preserve"> </w:t>
      </w:r>
      <w:r w:rsidR="008D6841" w:rsidRPr="008D6841">
        <w:t>Percentage change in the daily closing price to quantify the daily performance and volatility of the asset</w:t>
      </w:r>
      <w:r w:rsidRPr="00475325">
        <w:t>.</w:t>
      </w:r>
    </w:p>
    <w:p w14:paraId="62922374" w14:textId="23F4D2BD" w:rsidR="003A519E" w:rsidRDefault="003A519E" w:rsidP="005B3006">
      <w:pPr>
        <w:spacing w:line="276" w:lineRule="auto"/>
      </w:pPr>
      <w:r w:rsidRPr="00D62390">
        <w:rPr>
          <w:u w:val="single"/>
        </w:rPr>
        <w:t xml:space="preserve">Transformation Logic: </w:t>
      </w:r>
      <w:r w:rsidR="008648A2" w:rsidRPr="008648A2">
        <w:t xml:space="preserve">Percentage difference between today’s </w:t>
      </w:r>
      <w:r w:rsidR="00E2076A" w:rsidRPr="00625FCC">
        <w:rPr>
          <w:rFonts w:cs="Consolas"/>
        </w:rPr>
        <w:t>{asset}_</w:t>
      </w:r>
      <w:r w:rsidR="00E2076A" w:rsidRPr="00625FCC">
        <w:rPr>
          <w:rFonts w:cs="Consolas"/>
        </w:rPr>
        <w:t>close</w:t>
      </w:r>
      <w:r w:rsidR="008648A2" w:rsidRPr="008648A2">
        <w:t xml:space="preserve"> and yesterday’s </w:t>
      </w:r>
      <w:r w:rsidR="00E2076A" w:rsidRPr="00625FCC">
        <w:rPr>
          <w:rFonts w:cs="Consolas"/>
        </w:rPr>
        <w:t>{asset}_close</w:t>
      </w:r>
      <w:r w:rsidR="008648A2" w:rsidRPr="008648A2">
        <w:t>.</w:t>
      </w:r>
    </w:p>
    <w:p w14:paraId="002E3818" w14:textId="77777777" w:rsidR="006B44FA" w:rsidRDefault="003A519E" w:rsidP="005B3006">
      <w:pPr>
        <w:spacing w:line="276" w:lineRule="auto"/>
      </w:pPr>
      <w:r w:rsidRPr="00D62390">
        <w:rPr>
          <w:u w:val="single"/>
        </w:rPr>
        <w:t>Datatype and missing values:</w:t>
      </w:r>
      <w:r>
        <w:t xml:space="preserve"> </w:t>
      </w:r>
      <w:r w:rsidRPr="009F1244">
        <w:t>Numeric</w:t>
      </w:r>
      <w:r>
        <w:t xml:space="preserve">, </w:t>
      </w:r>
      <w:r w:rsidR="006B44FA" w:rsidRPr="006B44FA">
        <w:t>Forward fill for the first day's missing value.</w:t>
      </w:r>
    </w:p>
    <w:p w14:paraId="59394532" w14:textId="5FFCCC15" w:rsidR="003A519E" w:rsidRDefault="003A519E" w:rsidP="005B3006">
      <w:pPr>
        <w:spacing w:line="276" w:lineRule="auto"/>
      </w:pPr>
      <w:r w:rsidRPr="00D62390">
        <w:rPr>
          <w:u w:val="single"/>
        </w:rPr>
        <w:t>Visualization:</w:t>
      </w:r>
      <w:r>
        <w:t xml:space="preserve"> </w:t>
      </w:r>
      <w:r w:rsidRPr="00C778C5">
        <w:t>The plots show that Bitcoin and Oil exhibit significantly higher intraday volatility compared to Gold and the Dollar Index, with wider distributions and more frequent occurrences of extreme price swings within a single trading day.</w:t>
      </w:r>
    </w:p>
    <w:p w14:paraId="342067B7" w14:textId="5449F5BE" w:rsidR="003A519E" w:rsidRDefault="009C2033" w:rsidP="005B3006">
      <w:pPr>
        <w:spacing w:line="276" w:lineRule="auto"/>
        <w:jc w:val="center"/>
      </w:pPr>
      <w:r w:rsidRPr="009C2033">
        <w:lastRenderedPageBreak/>
        <w:drawing>
          <wp:inline distT="0" distB="0" distL="0" distR="0" wp14:anchorId="41241000" wp14:editId="761E5615">
            <wp:extent cx="5400000" cy="3580385"/>
            <wp:effectExtent l="0" t="0" r="0" b="1270"/>
            <wp:docPr id="435850884"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0884" name="Picture 1" descr="A graph of different types of graphs&#10;&#10;Description automatically generated with medium confidence"/>
                    <pic:cNvPicPr/>
                  </pic:nvPicPr>
                  <pic:blipFill>
                    <a:blip r:embed="rId21"/>
                    <a:stretch>
                      <a:fillRect/>
                    </a:stretch>
                  </pic:blipFill>
                  <pic:spPr>
                    <a:xfrm>
                      <a:off x="0" y="0"/>
                      <a:ext cx="5400000" cy="3580385"/>
                    </a:xfrm>
                    <a:prstGeom prst="rect">
                      <a:avLst/>
                    </a:prstGeom>
                  </pic:spPr>
                </pic:pic>
              </a:graphicData>
            </a:graphic>
          </wp:inline>
        </w:drawing>
      </w:r>
    </w:p>
    <w:p w14:paraId="63B7B0AD" w14:textId="19348940" w:rsidR="0099454C" w:rsidRDefault="0099454C" w:rsidP="005B3006">
      <w:pPr>
        <w:pStyle w:val="ListParagraph"/>
        <w:numPr>
          <w:ilvl w:val="0"/>
          <w:numId w:val="28"/>
        </w:numPr>
        <w:spacing w:line="276" w:lineRule="auto"/>
        <w:rPr>
          <w:b/>
          <w:bCs/>
        </w:rPr>
      </w:pPr>
      <w:r>
        <w:rPr>
          <w:b/>
          <w:bCs/>
        </w:rPr>
        <w:t xml:space="preserve">Weekly and Monthly </w:t>
      </w:r>
      <w:r w:rsidR="001106F1">
        <w:rPr>
          <w:b/>
          <w:bCs/>
        </w:rPr>
        <w:t>Volatilities</w:t>
      </w:r>
    </w:p>
    <w:p w14:paraId="1901C766" w14:textId="565C4176" w:rsidR="0099454C" w:rsidRPr="00D62390" w:rsidRDefault="0099454C" w:rsidP="005B3006">
      <w:pPr>
        <w:spacing w:line="276" w:lineRule="auto"/>
        <w:rPr>
          <w:rFonts w:cs="Consolas"/>
        </w:rPr>
      </w:pPr>
      <w:r w:rsidRPr="00D62390">
        <w:rPr>
          <w:u w:val="single"/>
        </w:rPr>
        <w:t>Features</w:t>
      </w:r>
      <w:r w:rsidR="00C6376A">
        <w:rPr>
          <w:u w:val="single"/>
        </w:rPr>
        <w:t>’</w:t>
      </w:r>
      <w:r w:rsidRPr="00D62390">
        <w:rPr>
          <w:u w:val="single"/>
        </w:rPr>
        <w:t xml:space="preserve"> Name</w:t>
      </w:r>
      <w:r>
        <w:rPr>
          <w:u w:val="single"/>
        </w:rPr>
        <w:t>:</w:t>
      </w:r>
      <w:r w:rsidRPr="00625FCC">
        <w:rPr>
          <w:rFonts w:cs="Consolas"/>
        </w:rPr>
        <w:t xml:space="preserve"> </w:t>
      </w:r>
      <w:r w:rsidR="00592F23" w:rsidRPr="00625FCC">
        <w:rPr>
          <w:rFonts w:cs="Consolas"/>
        </w:rPr>
        <w:t>{asset}_rolling_volatility_7, {asset}_rolling_volatility_30</w:t>
      </w:r>
    </w:p>
    <w:p w14:paraId="14E9AFC3" w14:textId="162C0BE1" w:rsidR="00BB703F" w:rsidRDefault="0099454C" w:rsidP="005B3006">
      <w:pPr>
        <w:spacing w:line="276" w:lineRule="auto"/>
      </w:pPr>
      <w:r w:rsidRPr="00D62390">
        <w:rPr>
          <w:u w:val="single"/>
        </w:rPr>
        <w:t>Description:</w:t>
      </w:r>
      <w:r>
        <w:t xml:space="preserve"> </w:t>
      </w:r>
      <w:r w:rsidR="00E25F99" w:rsidRPr="00E25F99">
        <w:t>7-day and 30-day rolling volatility measures the fluctuations in daily price changes over specific time windows. This metric helps gauge short-term and medium-term market risk</w:t>
      </w:r>
      <w:r w:rsidR="00BB703F" w:rsidRPr="00BB703F">
        <w:t>.</w:t>
      </w:r>
    </w:p>
    <w:p w14:paraId="08B32AAF" w14:textId="53754889" w:rsidR="0099454C" w:rsidRDefault="0099454C" w:rsidP="005B3006">
      <w:pPr>
        <w:spacing w:line="276" w:lineRule="auto"/>
      </w:pPr>
      <w:r w:rsidRPr="00D62390">
        <w:rPr>
          <w:u w:val="single"/>
        </w:rPr>
        <w:t>Transformation Logic:</w:t>
      </w:r>
      <w:r w:rsidRPr="004D2BEE">
        <w:t xml:space="preserve"> </w:t>
      </w:r>
      <w:r w:rsidR="004D2BEE" w:rsidRPr="004D2BEE">
        <w:t xml:space="preserve"> </w:t>
      </w:r>
      <w:r w:rsidR="004D2BEE" w:rsidRPr="004D2BEE">
        <w:t xml:space="preserve">Standard deviation of </w:t>
      </w:r>
      <w:r w:rsidR="004D2BEE" w:rsidRPr="00625FCC">
        <w:rPr>
          <w:rFonts w:cs="Consolas"/>
        </w:rPr>
        <w:t>{asset}_daily_percentage</w:t>
      </w:r>
      <w:r w:rsidR="004D2BEE" w:rsidRPr="004D2BEE">
        <w:t xml:space="preserve"> </w:t>
      </w:r>
      <w:r w:rsidR="004D2BEE" w:rsidRPr="004D2BEE">
        <w:t>over 7-day and 30-day windows.</w:t>
      </w:r>
    </w:p>
    <w:p w14:paraId="5C792A41" w14:textId="77777777" w:rsidR="0099454C" w:rsidRDefault="0099454C" w:rsidP="005B3006">
      <w:pPr>
        <w:spacing w:line="276" w:lineRule="auto"/>
      </w:pPr>
      <w:r w:rsidRPr="00D62390">
        <w:rPr>
          <w:u w:val="single"/>
        </w:rPr>
        <w:t>Datatype and missing values:</w:t>
      </w:r>
      <w:r>
        <w:t xml:space="preserve"> </w:t>
      </w:r>
      <w:r w:rsidRPr="009F1244">
        <w:t>Numeric</w:t>
      </w:r>
      <w:r>
        <w:t xml:space="preserve">, </w:t>
      </w:r>
      <w:r w:rsidRPr="006B44FA">
        <w:t>Forward fill for the first day's missing value.</w:t>
      </w:r>
    </w:p>
    <w:p w14:paraId="2F56DFAC" w14:textId="5100ACFA" w:rsidR="0099454C" w:rsidRDefault="0099454C" w:rsidP="005B3006">
      <w:pPr>
        <w:spacing w:line="276" w:lineRule="auto"/>
      </w:pPr>
      <w:r w:rsidRPr="00D62390">
        <w:rPr>
          <w:u w:val="single"/>
        </w:rPr>
        <w:t>Visualization:</w:t>
      </w:r>
      <w:r>
        <w:t xml:space="preserve"> </w:t>
      </w:r>
      <w:r w:rsidR="00701379" w:rsidRPr="00701379">
        <w:t>The plots show that Bitcoin and Oil exhibit significantly higher volatility compared to Gold and the Dollar Index, with wider distributions and more frequent occurrences of extreme volatility periods.</w:t>
      </w:r>
    </w:p>
    <w:p w14:paraId="0B5166CF" w14:textId="12C00F93" w:rsidR="00701379" w:rsidRDefault="00701379" w:rsidP="005B3006">
      <w:pPr>
        <w:spacing w:line="276" w:lineRule="auto"/>
        <w:jc w:val="center"/>
      </w:pPr>
      <w:r w:rsidRPr="00701379">
        <w:lastRenderedPageBreak/>
        <w:drawing>
          <wp:inline distT="0" distB="0" distL="0" distR="0" wp14:anchorId="6D224328" wp14:editId="5A8284CE">
            <wp:extent cx="5400000" cy="3851539"/>
            <wp:effectExtent l="0" t="0" r="0" b="0"/>
            <wp:docPr id="217016171"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16171" name="Picture 1" descr="A graph of different colored lines&#10;&#10;Description automatically generated with medium confidence"/>
                    <pic:cNvPicPr/>
                  </pic:nvPicPr>
                  <pic:blipFill>
                    <a:blip r:embed="rId22"/>
                    <a:stretch>
                      <a:fillRect/>
                    </a:stretch>
                  </pic:blipFill>
                  <pic:spPr>
                    <a:xfrm>
                      <a:off x="0" y="0"/>
                      <a:ext cx="5400000" cy="3851539"/>
                    </a:xfrm>
                    <a:prstGeom prst="rect">
                      <a:avLst/>
                    </a:prstGeom>
                  </pic:spPr>
                </pic:pic>
              </a:graphicData>
            </a:graphic>
          </wp:inline>
        </w:drawing>
      </w:r>
    </w:p>
    <w:p w14:paraId="4FD83CCD" w14:textId="56989711" w:rsidR="00AD75CE" w:rsidRDefault="0012437F" w:rsidP="005B3006">
      <w:pPr>
        <w:pStyle w:val="ListParagraph"/>
        <w:numPr>
          <w:ilvl w:val="0"/>
          <w:numId w:val="28"/>
        </w:numPr>
        <w:spacing w:line="276" w:lineRule="auto"/>
        <w:rPr>
          <w:b/>
          <w:bCs/>
        </w:rPr>
      </w:pPr>
      <w:r>
        <w:rPr>
          <w:b/>
          <w:bCs/>
        </w:rPr>
        <w:t xml:space="preserve">Interaction </w:t>
      </w:r>
      <w:r w:rsidR="000370D7">
        <w:rPr>
          <w:b/>
          <w:bCs/>
        </w:rPr>
        <w:t>Features</w:t>
      </w:r>
      <w:r w:rsidR="000071D5">
        <w:rPr>
          <w:b/>
          <w:bCs/>
        </w:rPr>
        <w:t>: Ratios</w:t>
      </w:r>
    </w:p>
    <w:p w14:paraId="35A16AFA" w14:textId="71AB9CAF" w:rsidR="00AD75CE" w:rsidRPr="00D62390" w:rsidRDefault="00AD75CE" w:rsidP="005B3006">
      <w:pPr>
        <w:spacing w:line="276" w:lineRule="auto"/>
        <w:rPr>
          <w:rFonts w:cs="Consolas"/>
        </w:rPr>
      </w:pPr>
      <w:r w:rsidRPr="00D62390">
        <w:rPr>
          <w:u w:val="single"/>
        </w:rPr>
        <w:t>Features</w:t>
      </w:r>
      <w:r w:rsidR="00C6376A">
        <w:rPr>
          <w:u w:val="single"/>
        </w:rPr>
        <w:t>’</w:t>
      </w:r>
      <w:r w:rsidRPr="00D62390">
        <w:rPr>
          <w:u w:val="single"/>
        </w:rPr>
        <w:t xml:space="preserve"> Name</w:t>
      </w:r>
      <w:r>
        <w:rPr>
          <w:u w:val="single"/>
        </w:rPr>
        <w:t>:</w:t>
      </w:r>
      <w:r w:rsidRPr="00625FCC">
        <w:rPr>
          <w:rFonts w:cs="Consolas"/>
        </w:rPr>
        <w:t xml:space="preserve"> </w:t>
      </w:r>
      <w:proofErr w:type="spellStart"/>
      <w:r w:rsidR="00586AF0" w:rsidRPr="00625FCC">
        <w:rPr>
          <w:rFonts w:cs="Consolas"/>
        </w:rPr>
        <w:t>gold_oil_ratio</w:t>
      </w:r>
      <w:proofErr w:type="spellEnd"/>
      <w:r w:rsidR="00586AF0" w:rsidRPr="00625FCC">
        <w:rPr>
          <w:rFonts w:cs="Consolas"/>
        </w:rPr>
        <w:t xml:space="preserve">, </w:t>
      </w:r>
      <w:proofErr w:type="spellStart"/>
      <w:r w:rsidR="00586AF0" w:rsidRPr="00625FCC">
        <w:rPr>
          <w:rFonts w:cs="Consolas"/>
        </w:rPr>
        <w:t>gold_btc_ratio</w:t>
      </w:r>
      <w:proofErr w:type="spellEnd"/>
      <w:r w:rsidR="00586AF0" w:rsidRPr="00625FCC">
        <w:rPr>
          <w:rFonts w:cs="Consolas"/>
        </w:rPr>
        <w:t xml:space="preserve">, </w:t>
      </w:r>
      <w:proofErr w:type="spellStart"/>
      <w:r w:rsidR="00586AF0" w:rsidRPr="00625FCC">
        <w:rPr>
          <w:rFonts w:cs="Consolas"/>
        </w:rPr>
        <w:t>oil_btc_ratio</w:t>
      </w:r>
      <w:proofErr w:type="spellEnd"/>
    </w:p>
    <w:p w14:paraId="0C91BEE2" w14:textId="49EE28DC" w:rsidR="00AD75CE" w:rsidRDefault="00AD75CE" w:rsidP="005B3006">
      <w:pPr>
        <w:spacing w:line="276" w:lineRule="auto"/>
      </w:pPr>
      <w:r w:rsidRPr="00D62390">
        <w:rPr>
          <w:u w:val="single"/>
        </w:rPr>
        <w:t>Description:</w:t>
      </w:r>
      <w:r>
        <w:t xml:space="preserve"> </w:t>
      </w:r>
      <w:r w:rsidR="00F82F90" w:rsidRPr="00F82F90">
        <w:t>These features calculate the ratios between the closing prices of gold, oil, and Bitcoin. These ratios help to understand the relative strength and weakness of each asset compared to the others.</w:t>
      </w:r>
    </w:p>
    <w:p w14:paraId="4E549135" w14:textId="12E2833E" w:rsidR="00AD75CE" w:rsidRDefault="00AD75CE" w:rsidP="005B3006">
      <w:pPr>
        <w:spacing w:line="276" w:lineRule="auto"/>
      </w:pPr>
      <w:r w:rsidRPr="00D62390">
        <w:rPr>
          <w:u w:val="single"/>
        </w:rPr>
        <w:t>Transformation Logic:</w:t>
      </w:r>
      <w:r w:rsidRPr="004D2BEE">
        <w:t xml:space="preserve">  </w:t>
      </w:r>
      <w:r w:rsidR="009275B9" w:rsidRPr="009275B9">
        <w:t xml:space="preserve">Division of the respective </w:t>
      </w:r>
      <w:r w:rsidR="00F82F90" w:rsidRPr="00625FCC">
        <w:rPr>
          <w:rFonts w:cs="Consolas"/>
        </w:rPr>
        <w:t>{asset}_clos</w:t>
      </w:r>
      <w:r w:rsidR="00F82F90" w:rsidRPr="00625FCC">
        <w:rPr>
          <w:rFonts w:cs="Consolas"/>
        </w:rPr>
        <w:t>e</w:t>
      </w:r>
      <w:r w:rsidR="009275B9" w:rsidRPr="009275B9">
        <w:t>.</w:t>
      </w:r>
    </w:p>
    <w:p w14:paraId="1D53856F" w14:textId="2D7B5C1E" w:rsidR="00AD75CE" w:rsidRDefault="00AD75CE" w:rsidP="005B3006">
      <w:pPr>
        <w:spacing w:line="276" w:lineRule="auto"/>
      </w:pPr>
      <w:r w:rsidRPr="00D62390">
        <w:rPr>
          <w:u w:val="single"/>
        </w:rPr>
        <w:t>Datatype and missing values:</w:t>
      </w:r>
      <w:r>
        <w:t xml:space="preserve"> </w:t>
      </w:r>
      <w:r w:rsidRPr="009F1244">
        <w:t>Numeric</w:t>
      </w:r>
      <w:r>
        <w:t xml:space="preserve">, </w:t>
      </w:r>
      <w:r w:rsidR="007362E5" w:rsidRPr="007362E5">
        <w:t>Forward fill to handle any sporadic missing values in daily data</w:t>
      </w:r>
      <w:r w:rsidRPr="006B44FA">
        <w:t>.</w:t>
      </w:r>
    </w:p>
    <w:p w14:paraId="639F56DF" w14:textId="77777777" w:rsidR="00AD75CE" w:rsidRDefault="00AD75CE" w:rsidP="005B3006">
      <w:pPr>
        <w:spacing w:line="276" w:lineRule="auto"/>
      </w:pPr>
      <w:r w:rsidRPr="00D62390">
        <w:rPr>
          <w:u w:val="single"/>
        </w:rPr>
        <w:t>Visualization:</w:t>
      </w:r>
      <w:r>
        <w:t xml:space="preserve"> </w:t>
      </w:r>
      <w:r w:rsidR="002427BF" w:rsidRPr="002427BF">
        <w:t>The plots show that the relationships are not linear, indicating potential non-linear interactions between these assets. This justifies the use of ratio features to capture these complex relationships and improve model performance.</w:t>
      </w:r>
    </w:p>
    <w:p w14:paraId="2563CAEC" w14:textId="00F9F7B8" w:rsidR="003A519E" w:rsidRDefault="00A766C9" w:rsidP="009B146A">
      <w:pPr>
        <w:spacing w:line="276" w:lineRule="auto"/>
        <w:jc w:val="center"/>
      </w:pPr>
      <w:r w:rsidRPr="00A766C9">
        <w:lastRenderedPageBreak/>
        <w:drawing>
          <wp:inline distT="0" distB="0" distL="0" distR="0" wp14:anchorId="6252EA01" wp14:editId="608726D5">
            <wp:extent cx="2864485" cy="4319905"/>
            <wp:effectExtent l="0" t="0" r="5715" b="0"/>
            <wp:docPr id="1267632819" name="Picture 1" descr="A group of graphs showing different colored dot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7632819" name="Picture 1" descr="A group of graphs showing different colored do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4485" cy="4319905"/>
                    </a:xfrm>
                    <a:prstGeom prst="rect">
                      <a:avLst/>
                    </a:prstGeom>
                  </pic:spPr>
                </pic:pic>
              </a:graphicData>
            </a:graphic>
          </wp:inline>
        </w:drawing>
      </w:r>
    </w:p>
    <w:p w14:paraId="0078B3B5" w14:textId="12F020D1" w:rsidR="000071D5" w:rsidRDefault="000071D5" w:rsidP="009B146A">
      <w:pPr>
        <w:pStyle w:val="ListParagraph"/>
        <w:spacing w:line="276" w:lineRule="auto"/>
        <w:ind w:left="0"/>
        <w:jc w:val="both"/>
        <w:rPr>
          <w:b/>
          <w:bCs/>
        </w:rPr>
      </w:pPr>
      <w:r>
        <w:rPr>
          <w:b/>
          <w:bCs/>
        </w:rPr>
        <w:t xml:space="preserve">Interaction Features: </w:t>
      </w:r>
      <w:r w:rsidR="00E6778F">
        <w:rPr>
          <w:b/>
          <w:bCs/>
        </w:rPr>
        <w:t>Differences</w:t>
      </w:r>
    </w:p>
    <w:p w14:paraId="3192D270" w14:textId="301A4159" w:rsidR="000071D5" w:rsidRPr="00D62390" w:rsidRDefault="000071D5" w:rsidP="005B3006">
      <w:pPr>
        <w:spacing w:line="276" w:lineRule="auto"/>
        <w:rPr>
          <w:rFonts w:cs="Consolas"/>
        </w:rPr>
      </w:pPr>
      <w:r w:rsidRPr="00D62390">
        <w:rPr>
          <w:b/>
          <w:bCs/>
        </w:rPr>
        <w:t>Features</w:t>
      </w:r>
      <w:r w:rsidR="00C6376A" w:rsidRPr="00625FCC">
        <w:rPr>
          <w:b/>
          <w:bCs/>
        </w:rPr>
        <w:t>’</w:t>
      </w:r>
      <w:r w:rsidRPr="00D62390">
        <w:rPr>
          <w:b/>
          <w:bCs/>
        </w:rPr>
        <w:t xml:space="preserve"> Name</w:t>
      </w:r>
      <w:r w:rsidRPr="00625FCC">
        <w:rPr>
          <w:b/>
          <w:bCs/>
        </w:rPr>
        <w:t>:</w:t>
      </w:r>
      <w:r w:rsidRPr="00625FCC">
        <w:rPr>
          <w:rFonts w:cs="Consolas"/>
        </w:rPr>
        <w:t xml:space="preserve"> </w:t>
      </w:r>
      <w:proofErr w:type="spellStart"/>
      <w:r w:rsidR="002212BD" w:rsidRPr="00625FCC">
        <w:rPr>
          <w:rFonts w:cs="Consolas"/>
        </w:rPr>
        <w:t>dxy_gold_pct_diff</w:t>
      </w:r>
      <w:proofErr w:type="spellEnd"/>
      <w:r w:rsidR="002212BD" w:rsidRPr="00625FCC">
        <w:rPr>
          <w:rFonts w:cs="Consolas"/>
        </w:rPr>
        <w:t xml:space="preserve">, </w:t>
      </w:r>
      <w:proofErr w:type="spellStart"/>
      <w:r w:rsidR="002212BD" w:rsidRPr="00625FCC">
        <w:rPr>
          <w:rFonts w:cs="Consolas"/>
        </w:rPr>
        <w:t>dxy_oil_pct_diff</w:t>
      </w:r>
      <w:proofErr w:type="spellEnd"/>
      <w:r w:rsidR="002212BD" w:rsidRPr="00625FCC">
        <w:rPr>
          <w:rFonts w:cs="Consolas"/>
        </w:rPr>
        <w:t xml:space="preserve">, </w:t>
      </w:r>
      <w:proofErr w:type="spellStart"/>
      <w:r w:rsidR="002212BD" w:rsidRPr="00625FCC">
        <w:rPr>
          <w:rFonts w:cs="Consolas"/>
        </w:rPr>
        <w:t>dxy_btc_pct_diff</w:t>
      </w:r>
      <w:proofErr w:type="spellEnd"/>
    </w:p>
    <w:p w14:paraId="689FE88E" w14:textId="263C0690" w:rsidR="000071D5" w:rsidRDefault="000071D5" w:rsidP="005B3006">
      <w:pPr>
        <w:spacing w:line="276" w:lineRule="auto"/>
      </w:pPr>
      <w:r w:rsidRPr="00D62390">
        <w:t>Description:</w:t>
      </w:r>
      <w:r>
        <w:t xml:space="preserve"> </w:t>
      </w:r>
      <w:r w:rsidR="00C32A1A" w:rsidRPr="00C32A1A">
        <w:t>These features calculate the daily percentage difference between the Dollar Index (DXY) and other assets (Gold, Oil, and Bitcoin).</w:t>
      </w:r>
    </w:p>
    <w:p w14:paraId="6513CF23" w14:textId="288DA1B0" w:rsidR="00D85252" w:rsidRDefault="000071D5" w:rsidP="005B3006">
      <w:pPr>
        <w:spacing w:line="276" w:lineRule="auto"/>
      </w:pPr>
      <w:r w:rsidRPr="00D62390">
        <w:rPr>
          <w:b/>
          <w:bCs/>
        </w:rPr>
        <w:t>Transformation Logic:</w:t>
      </w:r>
      <w:r w:rsidRPr="004D2BEE">
        <w:t xml:space="preserve"> </w:t>
      </w:r>
      <w:r w:rsidR="00D85252">
        <w:t>D</w:t>
      </w:r>
      <w:r w:rsidR="00D85252" w:rsidRPr="00D21840">
        <w:t xml:space="preserve">ifferences between </w:t>
      </w:r>
      <w:proofErr w:type="spellStart"/>
      <w:r w:rsidR="00D85252" w:rsidRPr="00625FCC">
        <w:rPr>
          <w:rFonts w:cs="Consolas"/>
        </w:rPr>
        <w:t>dxy_daily_percentage</w:t>
      </w:r>
      <w:proofErr w:type="spellEnd"/>
      <w:r w:rsidR="00D85252" w:rsidRPr="00D21840">
        <w:t xml:space="preserve"> and </w:t>
      </w:r>
      <w:r w:rsidR="00D85252">
        <w:t xml:space="preserve">other </w:t>
      </w:r>
      <w:r w:rsidR="00D85252" w:rsidRPr="00625FCC">
        <w:rPr>
          <w:rFonts w:cs="Consolas"/>
        </w:rPr>
        <w:t>{asset}_daily_percentage</w:t>
      </w:r>
      <w:r w:rsidR="00D85252" w:rsidRPr="00D21840">
        <w:t xml:space="preserve"> to capture their relative performance each day.</w:t>
      </w:r>
    </w:p>
    <w:p w14:paraId="55E33DDA" w14:textId="59649F93" w:rsidR="000071D5" w:rsidRDefault="000071D5" w:rsidP="005B3006">
      <w:pPr>
        <w:spacing w:line="276" w:lineRule="auto"/>
      </w:pPr>
      <w:proofErr w:type="spellStart"/>
      <w:r w:rsidRPr="00D62390">
        <w:rPr>
          <w:b/>
          <w:bCs/>
        </w:rPr>
        <w:t>Datatyp</w:t>
      </w:r>
      <w:proofErr w:type="spellEnd"/>
      <w:r w:rsidRPr="00D62390">
        <w:rPr>
          <w:b/>
          <w:bCs/>
        </w:rPr>
        <w:t>e and missing values:</w:t>
      </w:r>
      <w:r>
        <w:t xml:space="preserve"> </w:t>
      </w:r>
      <w:r w:rsidRPr="009F1244">
        <w:t>Numeric</w:t>
      </w:r>
      <w:r>
        <w:t xml:space="preserve">, </w:t>
      </w:r>
      <w:r w:rsidR="00CD46F8">
        <w:t>No Missing</w:t>
      </w:r>
      <w:r w:rsidRPr="006B44FA">
        <w:t>.</w:t>
      </w:r>
    </w:p>
    <w:p w14:paraId="261C5B33" w14:textId="6B6924D7" w:rsidR="00DF01E1" w:rsidRDefault="000071D5" w:rsidP="009B146A">
      <w:pPr>
        <w:spacing w:line="276" w:lineRule="auto"/>
      </w:pPr>
      <w:r w:rsidRPr="00D62390">
        <w:rPr>
          <w:b/>
          <w:bCs/>
        </w:rPr>
        <w:t>Visualization:</w:t>
      </w:r>
      <w:r w:rsidR="00632D01" w:rsidRPr="00625FCC">
        <w:t xml:space="preserve"> </w:t>
      </w:r>
      <w:r w:rsidR="00FC51D4" w:rsidRPr="00FC51D4">
        <w:t xml:space="preserve">The line plots visualize the daily percentage changes of Gold, Bitcoin, and Oil relative to DXY over time. These plots highlight periods of relative strength and weakness for each asset compared to DXY, suggesting that these difference features can capture valuable information for </w:t>
      </w:r>
      <w:r w:rsidR="00FC51D4">
        <w:t>the relationship between these commodities and DXY</w:t>
      </w:r>
      <w:r w:rsidR="00FC51D4" w:rsidRPr="00FC51D4">
        <w:t>.</w:t>
      </w:r>
    </w:p>
    <w:p w14:paraId="264DFA59" w14:textId="45C02F56" w:rsidR="00F7276D" w:rsidRDefault="00F7276D" w:rsidP="009B146A">
      <w:pPr>
        <w:spacing w:line="276" w:lineRule="auto"/>
        <w:jc w:val="center"/>
        <w:rPr>
          <w:b/>
          <w:bCs/>
        </w:rPr>
      </w:pPr>
      <w:r w:rsidRPr="00625FCC">
        <w:rPr>
          <w:noProof/>
        </w:rPr>
        <w:drawing>
          <wp:inline distT="0" distB="0" distL="0" distR="0" wp14:anchorId="049513A5" wp14:editId="154748AA">
            <wp:extent cx="3761740" cy="3768090"/>
            <wp:effectExtent l="0" t="0" r="0" b="3810"/>
            <wp:docPr id="2228690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9067" name="Picture 1"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1740" cy="3768090"/>
                    </a:xfrm>
                    <a:prstGeom prst="rect">
                      <a:avLst/>
                    </a:prstGeom>
                  </pic:spPr>
                </pic:pic>
              </a:graphicData>
            </a:graphic>
          </wp:inline>
        </w:drawing>
      </w:r>
    </w:p>
    <w:p w14:paraId="7625539A" w14:textId="35A8C302" w:rsidR="00FC51D4" w:rsidRDefault="00FC51D4" w:rsidP="005B3006">
      <w:pPr>
        <w:spacing w:line="276" w:lineRule="auto"/>
        <w:rPr>
          <w:b/>
          <w:bCs/>
        </w:rPr>
      </w:pPr>
      <w:r>
        <w:rPr>
          <w:b/>
          <w:bCs/>
        </w:rPr>
        <w:t>Interaction Features: Differences</w:t>
      </w:r>
    </w:p>
    <w:p w14:paraId="11053FA6" w14:textId="49A27632" w:rsidR="00FC51D4" w:rsidRPr="00D62390" w:rsidRDefault="00FC51D4" w:rsidP="005B3006">
      <w:pPr>
        <w:spacing w:line="276" w:lineRule="auto"/>
        <w:rPr>
          <w:rFonts w:cs="Consolas"/>
        </w:rPr>
      </w:pPr>
      <w:r w:rsidRPr="00D62390">
        <w:t>Features</w:t>
      </w:r>
      <w:r w:rsidR="00C6376A" w:rsidRPr="00F7276D">
        <w:t>’</w:t>
      </w:r>
      <w:r w:rsidRPr="00D62390">
        <w:t xml:space="preserve"> Name</w:t>
      </w:r>
      <w:r w:rsidRPr="00F7276D">
        <w:t>:</w:t>
      </w:r>
      <w:r w:rsidRPr="00625FCC">
        <w:rPr>
          <w:rFonts w:cs="Consolas"/>
        </w:rPr>
        <w:t xml:space="preserve"> </w:t>
      </w:r>
      <w:r w:rsidR="00C6376A" w:rsidRPr="00625FCC">
        <w:rPr>
          <w:rFonts w:cs="Consolas"/>
        </w:rPr>
        <w:t>{asset}_</w:t>
      </w:r>
      <w:proofErr w:type="spellStart"/>
      <w:r w:rsidR="00C6376A" w:rsidRPr="00625FCC">
        <w:rPr>
          <w:rFonts w:cs="Consolas"/>
        </w:rPr>
        <w:t>yesterday_Daily_ocpercentage</w:t>
      </w:r>
      <w:proofErr w:type="spellEnd"/>
      <w:r w:rsidR="00C6376A" w:rsidRPr="00625FCC">
        <w:rPr>
          <w:rFonts w:cs="Consolas"/>
        </w:rPr>
        <w:t xml:space="preserve">, </w:t>
      </w:r>
      <w:r w:rsidR="00C6376A" w:rsidRPr="00625FCC">
        <w:rPr>
          <w:rFonts w:cs="Consolas"/>
        </w:rPr>
        <w:br/>
        <w:t>{asset}_</w:t>
      </w:r>
      <w:proofErr w:type="spellStart"/>
      <w:r w:rsidR="00C6376A" w:rsidRPr="00625FCC">
        <w:rPr>
          <w:rFonts w:cs="Consolas"/>
        </w:rPr>
        <w:t>yesterday_intraday_volatility</w:t>
      </w:r>
      <w:proofErr w:type="spellEnd"/>
      <w:r w:rsidR="00C6376A" w:rsidRPr="00625FCC">
        <w:rPr>
          <w:rFonts w:cs="Consolas"/>
        </w:rPr>
        <w:t xml:space="preserve">, </w:t>
      </w:r>
      <w:r w:rsidR="00C6376A" w:rsidRPr="00625FCC">
        <w:rPr>
          <w:rFonts w:cs="Consolas"/>
        </w:rPr>
        <w:br/>
        <w:t>{asset}_</w:t>
      </w:r>
      <w:proofErr w:type="spellStart"/>
      <w:r w:rsidR="00C6376A" w:rsidRPr="00625FCC">
        <w:rPr>
          <w:rFonts w:cs="Consolas"/>
        </w:rPr>
        <w:t>yesterday_daily_percentage</w:t>
      </w:r>
      <w:proofErr w:type="spellEnd"/>
      <w:r w:rsidR="00C6376A" w:rsidRPr="00625FCC">
        <w:rPr>
          <w:rFonts w:cs="Consolas"/>
        </w:rPr>
        <w:t xml:space="preserve">, </w:t>
      </w:r>
      <w:r w:rsidR="00C6376A" w:rsidRPr="00625FCC">
        <w:rPr>
          <w:rFonts w:cs="Consolas"/>
        </w:rPr>
        <w:br/>
        <w:t>{asset}_</w:t>
      </w:r>
      <w:proofErr w:type="spellStart"/>
      <w:r w:rsidR="00C6376A" w:rsidRPr="00625FCC">
        <w:rPr>
          <w:rFonts w:cs="Consolas"/>
        </w:rPr>
        <w:t>yesterday_weekly_avg_pct_change</w:t>
      </w:r>
      <w:proofErr w:type="spellEnd"/>
      <w:r w:rsidR="00C6376A" w:rsidRPr="00625FCC">
        <w:rPr>
          <w:rFonts w:cs="Consolas"/>
        </w:rPr>
        <w:t xml:space="preserve">, </w:t>
      </w:r>
      <w:r w:rsidR="00C6376A" w:rsidRPr="00625FCC">
        <w:rPr>
          <w:rFonts w:cs="Consolas"/>
        </w:rPr>
        <w:br/>
        <w:t>{asset}_</w:t>
      </w:r>
      <w:proofErr w:type="spellStart"/>
      <w:r w:rsidR="00C6376A" w:rsidRPr="00625FCC">
        <w:rPr>
          <w:rFonts w:cs="Consolas"/>
        </w:rPr>
        <w:t>yesterday_monthly_avg_pct_change</w:t>
      </w:r>
      <w:proofErr w:type="spellEnd"/>
    </w:p>
    <w:p w14:paraId="11676ACC" w14:textId="02581435" w:rsidR="00FC51D4" w:rsidRDefault="00FC51D4" w:rsidP="005B3006">
      <w:pPr>
        <w:spacing w:line="276" w:lineRule="auto"/>
      </w:pPr>
      <w:r w:rsidRPr="00D62390">
        <w:rPr>
          <w:u w:val="single"/>
        </w:rPr>
        <w:t>Description:</w:t>
      </w:r>
      <w:r>
        <w:t xml:space="preserve"> </w:t>
      </w:r>
      <w:r w:rsidR="0050472C" w:rsidRPr="0050472C">
        <w:t>Each feature is shifted by one day to capture the previous day's value.</w:t>
      </w:r>
    </w:p>
    <w:p w14:paraId="4778BD05" w14:textId="41198F11" w:rsidR="00FC51D4" w:rsidRDefault="00FC51D4" w:rsidP="005B3006">
      <w:pPr>
        <w:spacing w:line="276" w:lineRule="auto"/>
      </w:pPr>
      <w:r w:rsidRPr="00D62390">
        <w:rPr>
          <w:u w:val="single"/>
        </w:rPr>
        <w:t>Transformation Logic:</w:t>
      </w:r>
      <w:r w:rsidRPr="004D2BEE">
        <w:t xml:space="preserve"> </w:t>
      </w:r>
      <w:r>
        <w:t>D</w:t>
      </w:r>
      <w:r w:rsidRPr="00D21840">
        <w:t xml:space="preserve">ifferences between </w:t>
      </w:r>
      <w:proofErr w:type="spellStart"/>
      <w:r w:rsidRPr="00625FCC">
        <w:rPr>
          <w:rFonts w:cs="Consolas"/>
        </w:rPr>
        <w:t>dxy_daily_percentage</w:t>
      </w:r>
      <w:proofErr w:type="spellEnd"/>
      <w:r w:rsidRPr="00D21840">
        <w:t xml:space="preserve"> and </w:t>
      </w:r>
      <w:r>
        <w:t xml:space="preserve">other </w:t>
      </w:r>
      <w:r w:rsidRPr="00625FCC">
        <w:rPr>
          <w:rFonts w:cs="Consolas"/>
        </w:rPr>
        <w:t>{asset}_daily_percentage</w:t>
      </w:r>
      <w:r w:rsidRPr="00D21840">
        <w:t xml:space="preserve"> to capture their relative performance each day.</w:t>
      </w:r>
    </w:p>
    <w:p w14:paraId="7DF84965" w14:textId="4953A871" w:rsidR="00FC51D4" w:rsidRDefault="00FC51D4" w:rsidP="005B3006">
      <w:pPr>
        <w:spacing w:line="276" w:lineRule="auto"/>
      </w:pPr>
      <w:r w:rsidRPr="00D62390">
        <w:rPr>
          <w:u w:val="single"/>
        </w:rPr>
        <w:t>Datatype and missing values:</w:t>
      </w:r>
      <w:r>
        <w:t xml:space="preserve"> </w:t>
      </w:r>
      <w:r w:rsidRPr="009F1244">
        <w:t>Numeric</w:t>
      </w:r>
      <w:r>
        <w:t xml:space="preserve">, </w:t>
      </w:r>
      <w:r w:rsidR="000409DB" w:rsidRPr="000409DB">
        <w:t>Missing values for the first entry are filled with the next available value</w:t>
      </w:r>
      <w:r w:rsidRPr="006B44FA">
        <w:t>.</w:t>
      </w:r>
    </w:p>
    <w:p w14:paraId="05720592" w14:textId="4953A871" w:rsidR="00C71BF9" w:rsidRPr="00625FCC" w:rsidRDefault="00C71BF9" w:rsidP="005B3006">
      <w:pPr>
        <w:pStyle w:val="Heading2"/>
        <w:spacing w:line="276" w:lineRule="auto"/>
        <w:rPr>
          <w:rFonts w:asciiTheme="minorHAnsi" w:hAnsiTheme="minorHAnsi"/>
          <w:sz w:val="24"/>
          <w:szCs w:val="24"/>
        </w:rPr>
      </w:pPr>
      <w:bookmarkStart w:id="26" w:name="_Toc183953136"/>
      <w:bookmarkStart w:id="27" w:name="_Toc183981953"/>
      <w:r w:rsidRPr="00625FCC">
        <w:rPr>
          <w:rFonts w:asciiTheme="minorHAnsi" w:hAnsiTheme="minorHAnsi"/>
          <w:sz w:val="24"/>
          <w:szCs w:val="24"/>
        </w:rPr>
        <w:t>Preprocessing &amp; Pipelines</w:t>
      </w:r>
      <w:bookmarkEnd w:id="26"/>
      <w:bookmarkEnd w:id="27"/>
    </w:p>
    <w:p w14:paraId="383A1E8A" w14:textId="0C2CB38A" w:rsidR="009A0004" w:rsidRPr="00625FCC" w:rsidRDefault="00AB0824" w:rsidP="005B3006">
      <w:pPr>
        <w:pStyle w:val="Heading1"/>
        <w:spacing w:line="276" w:lineRule="auto"/>
        <w:rPr>
          <w:rFonts w:asciiTheme="minorHAnsi" w:hAnsiTheme="minorHAnsi"/>
          <w:b/>
          <w:bCs/>
          <w:color w:val="auto"/>
          <w:sz w:val="24"/>
          <w:szCs w:val="24"/>
        </w:rPr>
      </w:pPr>
      <w:bookmarkStart w:id="28" w:name="_Toc183953137"/>
      <w:bookmarkStart w:id="29" w:name="_Toc183981954"/>
      <w:r w:rsidRPr="00625FCC">
        <w:rPr>
          <w:rFonts w:asciiTheme="minorHAnsi" w:hAnsiTheme="minorHAnsi"/>
          <w:b/>
          <w:bCs/>
          <w:color w:val="auto"/>
          <w:sz w:val="24"/>
          <w:szCs w:val="24"/>
        </w:rPr>
        <w:t>MODELLING</w:t>
      </w:r>
      <w:r w:rsidR="00CF612D" w:rsidRPr="00625FCC">
        <w:rPr>
          <w:rFonts w:asciiTheme="minorHAnsi" w:hAnsiTheme="minorHAnsi"/>
          <w:b/>
          <w:bCs/>
          <w:color w:val="auto"/>
          <w:sz w:val="24"/>
          <w:szCs w:val="24"/>
        </w:rPr>
        <w:t xml:space="preserve"> &amp; EVALUATION</w:t>
      </w:r>
      <w:bookmarkEnd w:id="28"/>
      <w:bookmarkEnd w:id="29"/>
    </w:p>
    <w:p w14:paraId="0D2ED4B6" w14:textId="06795E02" w:rsidR="009066DA" w:rsidRPr="00625FCC" w:rsidRDefault="009066DA" w:rsidP="005B3006">
      <w:pPr>
        <w:pStyle w:val="Heading2"/>
        <w:spacing w:line="276" w:lineRule="auto"/>
        <w:rPr>
          <w:rFonts w:asciiTheme="minorHAnsi" w:hAnsiTheme="minorHAnsi"/>
          <w:sz w:val="24"/>
          <w:szCs w:val="24"/>
        </w:rPr>
      </w:pPr>
      <w:bookmarkStart w:id="30" w:name="_Toc183953138"/>
      <w:bookmarkStart w:id="31" w:name="_Toc183981955"/>
      <w:r w:rsidRPr="00625FCC">
        <w:rPr>
          <w:rFonts w:asciiTheme="minorHAnsi" w:hAnsiTheme="minorHAnsi"/>
          <w:sz w:val="24"/>
          <w:szCs w:val="24"/>
        </w:rPr>
        <w:t>Training</w:t>
      </w:r>
      <w:bookmarkEnd w:id="30"/>
      <w:bookmarkEnd w:id="31"/>
    </w:p>
    <w:p w14:paraId="494C5D9D" w14:textId="5126BB15" w:rsidR="00E02DB0" w:rsidRPr="00625FCC" w:rsidRDefault="00D84935" w:rsidP="005B3006">
      <w:pPr>
        <w:pStyle w:val="Heading2"/>
        <w:spacing w:line="276" w:lineRule="auto"/>
        <w:rPr>
          <w:rFonts w:asciiTheme="minorHAnsi" w:hAnsiTheme="minorHAnsi"/>
          <w:sz w:val="24"/>
          <w:szCs w:val="24"/>
        </w:rPr>
      </w:pPr>
      <w:bookmarkStart w:id="32" w:name="_Toc183981956"/>
      <w:r w:rsidRPr="00625FCC">
        <w:rPr>
          <w:rFonts w:asciiTheme="minorHAnsi" w:hAnsiTheme="minorHAnsi"/>
          <w:sz w:val="24"/>
          <w:szCs w:val="24"/>
        </w:rPr>
        <w:t>Evalua</w:t>
      </w:r>
      <w:r w:rsidR="008734DB" w:rsidRPr="00625FCC">
        <w:rPr>
          <w:rFonts w:asciiTheme="minorHAnsi" w:hAnsiTheme="minorHAnsi"/>
          <w:sz w:val="24"/>
          <w:szCs w:val="24"/>
        </w:rPr>
        <w:t>tio</w:t>
      </w:r>
      <w:r w:rsidR="0009599E" w:rsidRPr="00625FCC">
        <w:rPr>
          <w:rFonts w:asciiTheme="minorHAnsi" w:hAnsiTheme="minorHAnsi"/>
          <w:sz w:val="24"/>
          <w:szCs w:val="24"/>
        </w:rPr>
        <w:t>n</w:t>
      </w:r>
      <w:bookmarkEnd w:id="32"/>
    </w:p>
    <w:p w14:paraId="0AC2909B" w14:textId="65323AEF" w:rsidR="00650B60" w:rsidRDefault="00650B60" w:rsidP="005B3006">
      <w:pPr>
        <w:spacing w:line="276" w:lineRule="auto"/>
      </w:pPr>
      <w:r w:rsidRPr="00650B60">
        <w:t>The analysis of feature importance in predictive modeling offers a window into understanding which variables most influence the model's predictions. For the models which had the best performance in this study—Random Forest and Stacking Classifier—we extracted the effect of each feature on the model.</w:t>
      </w:r>
    </w:p>
    <w:p w14:paraId="70393597" w14:textId="15CE0DFF" w:rsidR="00194B2D" w:rsidRPr="00BF72E5" w:rsidRDefault="00194B2D" w:rsidP="005B3006">
      <w:pPr>
        <w:spacing w:line="276" w:lineRule="auto"/>
        <w:rPr>
          <w:b/>
          <w:bCs/>
        </w:rPr>
      </w:pPr>
      <w:r w:rsidRPr="00BF72E5">
        <w:rPr>
          <w:b/>
          <w:bCs/>
        </w:rPr>
        <w:t>Random Forest</w:t>
      </w:r>
    </w:p>
    <w:p w14:paraId="65139649" w14:textId="0AFF4979" w:rsidR="00194B2D" w:rsidRDefault="005F5E81" w:rsidP="005B3006">
      <w:pPr>
        <w:pStyle w:val="ListParagraph"/>
        <w:numPr>
          <w:ilvl w:val="0"/>
          <w:numId w:val="28"/>
        </w:numPr>
        <w:spacing w:line="276" w:lineRule="auto"/>
      </w:pPr>
      <w:r w:rsidRPr="004D7BFD">
        <w:rPr>
          <w:b/>
          <w:bCs/>
        </w:rPr>
        <w:t>Feature importance Mechanism:</w:t>
      </w:r>
      <w:r w:rsidRPr="00BF72E5">
        <w:t xml:space="preserve"> </w:t>
      </w:r>
      <w:r w:rsidRPr="00475D5C">
        <w:t xml:space="preserve">In the Random Forest model, the effect of each feature on the model's predictions is quantified using the </w:t>
      </w:r>
      <w:r w:rsidRPr="00BF72E5">
        <w:rPr>
          <w:rFonts w:ascii="Consolas" w:hAnsi="Consolas" w:cs="Consolas"/>
        </w:rPr>
        <w:t>.</w:t>
      </w:r>
      <w:proofErr w:type="spellStart"/>
      <w:r w:rsidRPr="00BF72E5">
        <w:rPr>
          <w:rFonts w:ascii="Consolas" w:hAnsi="Consolas" w:cs="Consolas"/>
        </w:rPr>
        <w:t>feature_importances</w:t>
      </w:r>
      <w:proofErr w:type="spellEnd"/>
      <w:r w:rsidRPr="00BF72E5">
        <w:rPr>
          <w:rFonts w:ascii="Consolas" w:hAnsi="Consolas" w:cs="Consolas"/>
        </w:rPr>
        <w:t>_</w:t>
      </w:r>
      <w:r w:rsidRPr="00475D5C">
        <w:t xml:space="preserve"> method, which calculates the importance by looking at how much each feature decreases the impurity of a split in the trees that make up the forest. This measure is computed during the training phase and represents the average decrease in impurity caused by the splits that include the feature across all trees.</w:t>
      </w:r>
    </w:p>
    <w:p w14:paraId="1EB7B291" w14:textId="74013F22" w:rsidR="003D6187" w:rsidRPr="00CD0CBB" w:rsidRDefault="00A21888" w:rsidP="005B3006">
      <w:pPr>
        <w:spacing w:line="276" w:lineRule="auto"/>
        <w:jc w:val="center"/>
        <w:rPr>
          <w:u w:val="single"/>
        </w:rPr>
      </w:pPr>
      <w:r w:rsidRPr="00A21888">
        <w:drawing>
          <wp:inline distT="0" distB="0" distL="0" distR="0" wp14:anchorId="6EDFFE06" wp14:editId="1528FCB3">
            <wp:extent cx="5359400" cy="2743200"/>
            <wp:effectExtent l="0" t="0" r="0" b="0"/>
            <wp:docPr id="2139903448"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3448" name="Picture 1" descr="A graph of a number of different colored bars&#10;&#10;Description automatically generated with medium confidence"/>
                    <pic:cNvPicPr/>
                  </pic:nvPicPr>
                  <pic:blipFill>
                    <a:blip r:embed="rId25"/>
                    <a:stretch>
                      <a:fillRect/>
                    </a:stretch>
                  </pic:blipFill>
                  <pic:spPr>
                    <a:xfrm>
                      <a:off x="0" y="0"/>
                      <a:ext cx="5359400" cy="2743200"/>
                    </a:xfrm>
                    <a:prstGeom prst="rect">
                      <a:avLst/>
                    </a:prstGeom>
                  </pic:spPr>
                </pic:pic>
              </a:graphicData>
            </a:graphic>
          </wp:inline>
        </w:drawing>
      </w:r>
    </w:p>
    <w:p w14:paraId="106AE754" w14:textId="70A0C5AE" w:rsidR="00194B2D" w:rsidRDefault="00194B2D" w:rsidP="005B3006">
      <w:pPr>
        <w:pStyle w:val="ListParagraph"/>
        <w:numPr>
          <w:ilvl w:val="0"/>
          <w:numId w:val="28"/>
        </w:numPr>
        <w:spacing w:line="276" w:lineRule="auto"/>
      </w:pPr>
      <w:r w:rsidRPr="00BF72E5">
        <w:rPr>
          <w:b/>
          <w:bCs/>
        </w:rPr>
        <w:t>High Importance:</w:t>
      </w:r>
      <w:r w:rsidR="00BF72E5">
        <w:t xml:space="preserve"> </w:t>
      </w:r>
      <w:r w:rsidRPr="00CD0CBB">
        <w:t xml:space="preserve">The Random Forest model exhibits a pronounced preference for features associated with gold and oil percentage changes and volatilities, such as </w:t>
      </w:r>
      <w:proofErr w:type="spellStart"/>
      <w:r w:rsidRPr="00BF72E5">
        <w:rPr>
          <w:rFonts w:ascii="Consolas" w:hAnsi="Consolas" w:cs="Consolas"/>
          <w:sz w:val="21"/>
          <w:szCs w:val="21"/>
        </w:rPr>
        <w:t>gold_daily_percentage</w:t>
      </w:r>
      <w:proofErr w:type="spellEnd"/>
      <w:r w:rsidRPr="00CD0CBB">
        <w:t xml:space="preserve">, </w:t>
      </w:r>
      <w:proofErr w:type="spellStart"/>
      <w:r w:rsidRPr="00BF72E5">
        <w:rPr>
          <w:rFonts w:ascii="Consolas" w:hAnsi="Consolas" w:cs="Consolas"/>
          <w:sz w:val="21"/>
          <w:szCs w:val="21"/>
        </w:rPr>
        <w:t>oil_daily_percentage</w:t>
      </w:r>
      <w:proofErr w:type="spellEnd"/>
      <w:r w:rsidRPr="00CD0CBB">
        <w:t>, and their intraday volatilities. These features appear to capture significant predictive power, likely due to their direct impact on market behaviors and price movements.</w:t>
      </w:r>
    </w:p>
    <w:p w14:paraId="7C7055E3" w14:textId="6F9F7056" w:rsidR="00CD0CBB" w:rsidRPr="00CD0CBB" w:rsidRDefault="00BF72E5" w:rsidP="005B3006">
      <w:pPr>
        <w:numPr>
          <w:ilvl w:val="0"/>
          <w:numId w:val="31"/>
        </w:numPr>
        <w:spacing w:line="276" w:lineRule="auto"/>
      </w:pPr>
      <w:r w:rsidRPr="00CD0CBB">
        <w:rPr>
          <w:b/>
          <w:bCs/>
        </w:rPr>
        <w:t>Low Importance</w:t>
      </w:r>
      <w:r w:rsidRPr="00CD0CBB">
        <w:t xml:space="preserve">: Time-related features like </w:t>
      </w:r>
      <w:r w:rsidRPr="00CD0CBB">
        <w:rPr>
          <w:rFonts w:ascii="Consolas" w:hAnsi="Consolas" w:cs="Consolas"/>
          <w:sz w:val="21"/>
          <w:szCs w:val="21"/>
        </w:rPr>
        <w:t>Month</w:t>
      </w:r>
      <w:r w:rsidRPr="00CD0CBB">
        <w:t xml:space="preserve">, </w:t>
      </w:r>
      <w:r w:rsidRPr="00CD0CBB">
        <w:rPr>
          <w:rFonts w:ascii="Consolas" w:hAnsi="Consolas" w:cs="Consolas"/>
          <w:sz w:val="21"/>
          <w:szCs w:val="21"/>
        </w:rPr>
        <w:t>Year</w:t>
      </w:r>
      <w:r w:rsidRPr="00CD0CBB">
        <w:t xml:space="preserve">, and </w:t>
      </w:r>
      <w:proofErr w:type="spellStart"/>
      <w:r w:rsidRPr="00CD0CBB">
        <w:rPr>
          <w:rFonts w:ascii="Consolas" w:hAnsi="Consolas" w:cs="Consolas"/>
          <w:sz w:val="21"/>
          <w:szCs w:val="21"/>
        </w:rPr>
        <w:t>is_holiday</w:t>
      </w:r>
      <w:proofErr w:type="spellEnd"/>
      <w:r w:rsidRPr="00CD0CBB">
        <w:rPr>
          <w:sz w:val="21"/>
          <w:szCs w:val="21"/>
        </w:rPr>
        <w:t xml:space="preserve"> </w:t>
      </w:r>
      <w:r w:rsidRPr="00CD0CBB">
        <w:t>show minimal influence on predictions. This suggests that the model, which likely focuses on shorter-term fluctuations rather than seasonal or annual trends, finds limited predictive value in these broader time indicators.</w:t>
      </w:r>
    </w:p>
    <w:p w14:paraId="06267C95" w14:textId="77777777" w:rsidR="00CD0CBB" w:rsidRPr="00CD0CBB" w:rsidRDefault="00CD0CBB" w:rsidP="005B3006">
      <w:pPr>
        <w:spacing w:line="276" w:lineRule="auto"/>
      </w:pPr>
      <w:r w:rsidRPr="00CD0CBB">
        <w:rPr>
          <w:b/>
          <w:bCs/>
        </w:rPr>
        <w:t>Stacking Classifier:</w:t>
      </w:r>
    </w:p>
    <w:p w14:paraId="6FE5D98C" w14:textId="1213FA85" w:rsidR="004B1158" w:rsidRDefault="004B1158" w:rsidP="005B3006">
      <w:pPr>
        <w:numPr>
          <w:ilvl w:val="0"/>
          <w:numId w:val="32"/>
        </w:numPr>
        <w:spacing w:line="276" w:lineRule="auto"/>
      </w:pPr>
      <w:r w:rsidRPr="004D7BFD">
        <w:rPr>
          <w:b/>
          <w:bCs/>
        </w:rPr>
        <w:t>Feature importance Mechanism:</w:t>
      </w:r>
      <w:r w:rsidRPr="00BF72E5">
        <w:t xml:space="preserve"> </w:t>
      </w:r>
      <w:r w:rsidRPr="00475D5C">
        <w:t xml:space="preserve">For the Stacking Classifier, the method to determine feature importance is not directly inherent but can be deduced from the base learners that make up the stack. Initially, we extract </w:t>
      </w:r>
      <w:r>
        <w:t>the</w:t>
      </w:r>
      <w:r w:rsidRPr="00475D5C">
        <w:t xml:space="preserve"> feature importance</w:t>
      </w:r>
      <w:r>
        <w:t xml:space="preserve"> of each </w:t>
      </w:r>
      <w:r w:rsidRPr="00475D5C">
        <w:t xml:space="preserve">of the base learners. Each base learner's importance is considered in the context of its contribution to the final prediction. </w:t>
      </w:r>
      <w:r>
        <w:t xml:space="preserve">Then, </w:t>
      </w:r>
      <w:proofErr w:type="gramStart"/>
      <w:r w:rsidRPr="00475D5C">
        <w:t>We</w:t>
      </w:r>
      <w:proofErr w:type="gramEnd"/>
      <w:r w:rsidRPr="00475D5C">
        <w:t xml:space="preserve"> also extract the meta-learner coefficients, which are then averaged across all classes if the model is a multi-class classifier. These averaged coefficients represent the weight each base learner contributes to the final decision. The overall feature importances for the Stacking Classifier are then calculated by multiplying each base learner's feature importances by their respective weights from the meta-learner and summing them up. The results are normalized </w:t>
      </w:r>
      <w:r w:rsidR="00301622">
        <w:t>(dividing by the mean)</w:t>
      </w:r>
      <w:r w:rsidRPr="00475D5C">
        <w:t xml:space="preserve"> to provide a scale for comparison, producing a comprehensive list of features ranked by their weighted importance in the stacked model.</w:t>
      </w:r>
    </w:p>
    <w:p w14:paraId="5DD6C92F" w14:textId="2D62338B" w:rsidR="004B1158" w:rsidRPr="004B1158" w:rsidRDefault="008C0C7B" w:rsidP="005B3006">
      <w:pPr>
        <w:spacing w:line="276" w:lineRule="auto"/>
        <w:jc w:val="center"/>
      </w:pPr>
      <w:r w:rsidRPr="008C0C7B">
        <w:drawing>
          <wp:inline distT="0" distB="0" distL="0" distR="0" wp14:anchorId="2B601A5D" wp14:editId="52E69712">
            <wp:extent cx="5295900" cy="2743200"/>
            <wp:effectExtent l="0" t="0" r="0" b="0"/>
            <wp:docPr id="1068654302"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54302" name="Picture 1" descr="A graph of a number of different colored bars&#10;&#10;Description automatically generated with medium confidence"/>
                    <pic:cNvPicPr/>
                  </pic:nvPicPr>
                  <pic:blipFill>
                    <a:blip r:embed="rId26"/>
                    <a:stretch>
                      <a:fillRect/>
                    </a:stretch>
                  </pic:blipFill>
                  <pic:spPr>
                    <a:xfrm>
                      <a:off x="0" y="0"/>
                      <a:ext cx="5295900" cy="2743200"/>
                    </a:xfrm>
                    <a:prstGeom prst="rect">
                      <a:avLst/>
                    </a:prstGeom>
                  </pic:spPr>
                </pic:pic>
              </a:graphicData>
            </a:graphic>
          </wp:inline>
        </w:drawing>
      </w:r>
    </w:p>
    <w:p w14:paraId="11B2C6A6" w14:textId="5620E361" w:rsidR="00443E21" w:rsidRPr="00443E21" w:rsidRDefault="00CD0CBB" w:rsidP="006D1F5A">
      <w:pPr>
        <w:numPr>
          <w:ilvl w:val="0"/>
          <w:numId w:val="32"/>
        </w:numPr>
        <w:spacing w:line="276" w:lineRule="auto"/>
      </w:pPr>
      <w:r w:rsidRPr="00CD0CBB">
        <w:rPr>
          <w:b/>
          <w:bCs/>
        </w:rPr>
        <w:t>High Importance</w:t>
      </w:r>
      <w:r w:rsidRPr="00CD0CBB">
        <w:t xml:space="preserve">: The Stacking Classifier similarly emphasizes the importance of daily percentage changes and volatility, especially for gold and oil. Features like </w:t>
      </w:r>
      <w:proofErr w:type="spellStart"/>
      <w:r w:rsidRPr="00CD0CBB">
        <w:t>gold_daily_percentage</w:t>
      </w:r>
      <w:proofErr w:type="spellEnd"/>
      <w:r w:rsidRPr="00CD0CBB">
        <w:t xml:space="preserve"> and </w:t>
      </w:r>
      <w:proofErr w:type="spellStart"/>
      <w:r w:rsidRPr="00CD0CBB">
        <w:t>oil_intraday_volatility</w:t>
      </w:r>
      <w:proofErr w:type="spellEnd"/>
      <w:r w:rsidRPr="00CD0CBB">
        <w:t xml:space="preserve"> dominate, highlighting their relevance in predicting market dynamics.</w:t>
      </w:r>
    </w:p>
    <w:p w14:paraId="6A3543CA" w14:textId="2CB0B23E" w:rsidR="00CD0CBB" w:rsidRPr="00CD0CBB" w:rsidRDefault="00CD0CBB" w:rsidP="005B3006">
      <w:pPr>
        <w:numPr>
          <w:ilvl w:val="0"/>
          <w:numId w:val="32"/>
        </w:numPr>
        <w:spacing w:line="276" w:lineRule="auto"/>
      </w:pPr>
      <w:r w:rsidRPr="00CD0CBB">
        <w:t>Both models underline the reduced importance of date-related features. Their negligible influence aligns with the focus on more immediate market indicators that offer real-time predictive value.</w:t>
      </w:r>
    </w:p>
    <w:p w14:paraId="191CFB45" w14:textId="77777777" w:rsidR="00CD0CBB" w:rsidRPr="00CD0CBB" w:rsidRDefault="00CD0CBB" w:rsidP="005B3006">
      <w:pPr>
        <w:numPr>
          <w:ilvl w:val="0"/>
          <w:numId w:val="33"/>
        </w:numPr>
        <w:spacing w:line="276" w:lineRule="auto"/>
      </w:pPr>
      <w:r w:rsidRPr="00CD0CBB">
        <w:t>The overlap in high-importance features between the two models reinforces the notion that certain market dynamics, particularly those related to gold and oil, are critical for prediction.</w:t>
      </w:r>
    </w:p>
    <w:p w14:paraId="65AFA049" w14:textId="00C97265" w:rsidR="004D57B5" w:rsidRDefault="004E4239" w:rsidP="004D57B5">
      <w:pPr>
        <w:spacing w:line="276" w:lineRule="auto"/>
        <w:jc w:val="center"/>
      </w:pPr>
      <w:r w:rsidRPr="004E4239">
        <w:drawing>
          <wp:inline distT="0" distB="0" distL="0" distR="0" wp14:anchorId="4B363CB8" wp14:editId="54478BC7">
            <wp:extent cx="4320000" cy="3393219"/>
            <wp:effectExtent l="0" t="0" r="0" b="0"/>
            <wp:docPr id="730350766"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50766" name="Picture 1" descr="A graph with numbers and dots&#10;&#10;Description automatically generated"/>
                    <pic:cNvPicPr/>
                  </pic:nvPicPr>
                  <pic:blipFill>
                    <a:blip r:embed="rId27"/>
                    <a:stretch>
                      <a:fillRect/>
                    </a:stretch>
                  </pic:blipFill>
                  <pic:spPr>
                    <a:xfrm>
                      <a:off x="0" y="0"/>
                      <a:ext cx="4320000" cy="3393219"/>
                    </a:xfrm>
                    <a:prstGeom prst="rect">
                      <a:avLst/>
                    </a:prstGeom>
                  </pic:spPr>
                </pic:pic>
              </a:graphicData>
            </a:graphic>
          </wp:inline>
        </w:drawing>
      </w:r>
    </w:p>
    <w:p w14:paraId="3CA92F29" w14:textId="32AEF18D" w:rsidR="00CD0CBB" w:rsidRDefault="0031341C" w:rsidP="0031341C">
      <w:pPr>
        <w:spacing w:line="276" w:lineRule="auto"/>
        <w:rPr>
          <w:b/>
        </w:rPr>
      </w:pPr>
      <w:r w:rsidRPr="0031341C">
        <w:rPr>
          <w:b/>
          <w:bCs/>
        </w:rPr>
        <w:t>Feature Analysis by Asset Category</w:t>
      </w:r>
    </w:p>
    <w:p w14:paraId="405EC58A" w14:textId="77777777" w:rsidR="00176DD2" w:rsidRDefault="00176DD2" w:rsidP="00176DD2">
      <w:pPr>
        <w:spacing w:line="276" w:lineRule="auto"/>
      </w:pPr>
      <w:r w:rsidRPr="00176DD2">
        <w:t xml:space="preserve">The bar chart illustrates the relative importance of features associated with Gold, Oil, and Bitcoin, as assessed by Random Forest and Stacking Classifier models. Notably, both models consistently rank </w:t>
      </w:r>
      <w:proofErr w:type="gramStart"/>
      <w:r w:rsidRPr="00176DD2">
        <w:t>Gold</w:t>
      </w:r>
      <w:proofErr w:type="gramEnd"/>
      <w:r w:rsidRPr="00176DD2">
        <w:t xml:space="preserve"> features as most influential, with the Stacking Classifier attributing slightly greater significance (40.01%) compared to the Random Forest (36.11%). This suggests that fluctuations in </w:t>
      </w:r>
      <w:proofErr w:type="gramStart"/>
      <w:r w:rsidRPr="00176DD2">
        <w:t>Gold</w:t>
      </w:r>
      <w:proofErr w:type="gramEnd"/>
      <w:r w:rsidRPr="00176DD2">
        <w:t xml:space="preserve"> prices may have a substantial impact on DXY price movements, followed by Oil and Bitcoin.</w:t>
      </w:r>
    </w:p>
    <w:p w14:paraId="58E25248" w14:textId="0AC8472A" w:rsidR="00CD0CBB" w:rsidRDefault="00846E30" w:rsidP="00176DD2">
      <w:pPr>
        <w:spacing w:line="276" w:lineRule="auto"/>
        <w:jc w:val="center"/>
      </w:pPr>
      <w:r w:rsidRPr="00846E30">
        <w:drawing>
          <wp:inline distT="0" distB="0" distL="0" distR="0" wp14:anchorId="27AFA0AB" wp14:editId="5D57AB1C">
            <wp:extent cx="4320000" cy="3152795"/>
            <wp:effectExtent l="0" t="0" r="0" b="0"/>
            <wp:docPr id="83473423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34231" name="Picture 1" descr="A graph of different colored bars&#10;&#10;Description automatically generated"/>
                    <pic:cNvPicPr/>
                  </pic:nvPicPr>
                  <pic:blipFill>
                    <a:blip r:embed="rId28"/>
                    <a:stretch>
                      <a:fillRect/>
                    </a:stretch>
                  </pic:blipFill>
                  <pic:spPr>
                    <a:xfrm>
                      <a:off x="0" y="0"/>
                      <a:ext cx="4320000" cy="3152795"/>
                    </a:xfrm>
                    <a:prstGeom prst="rect">
                      <a:avLst/>
                    </a:prstGeom>
                  </pic:spPr>
                </pic:pic>
              </a:graphicData>
            </a:graphic>
          </wp:inline>
        </w:drawing>
      </w:r>
    </w:p>
    <w:p w14:paraId="57CBD6FE" w14:textId="61BD60BF" w:rsidR="00876D8E" w:rsidRDefault="0091107B" w:rsidP="0091107B">
      <w:pPr>
        <w:spacing w:line="276" w:lineRule="auto"/>
        <w:rPr>
          <w:b/>
          <w:bCs/>
        </w:rPr>
      </w:pPr>
      <w:r w:rsidRPr="0091107B">
        <w:rPr>
          <w:b/>
          <w:bCs/>
        </w:rPr>
        <w:t>Lagged Feature Impact Analysis</w:t>
      </w:r>
    </w:p>
    <w:p w14:paraId="5C2CF783" w14:textId="5B357EA4" w:rsidR="00A21698" w:rsidRPr="008B080F" w:rsidRDefault="008B080F" w:rsidP="008B080F">
      <w:pPr>
        <w:spacing w:line="276" w:lineRule="auto"/>
      </w:pPr>
      <w:r w:rsidRPr="008B080F">
        <w:t>The bar chart illustrates the relative importance of lagged features for both the Random Forest and Stacking Classifier models. Both models exhibit a similar reliance on lagged features, attributing approximately 40% of their predictive power to these historical data points. This suggests that both models leverage past information to inform future predictions, highlighting the significance of historical context in your analysis. The consistency across these diverse models underscores the robustness of lagged features as key indicators in your predictive framework.</w:t>
      </w:r>
    </w:p>
    <w:p w14:paraId="28F546B8" w14:textId="77777777" w:rsidR="008B080F" w:rsidRDefault="008B080F" w:rsidP="0091107B">
      <w:pPr>
        <w:spacing w:line="276" w:lineRule="auto"/>
        <w:rPr>
          <w:b/>
          <w:bCs/>
        </w:rPr>
      </w:pPr>
    </w:p>
    <w:p w14:paraId="27337458" w14:textId="52938D74" w:rsidR="0091107B" w:rsidRPr="00876D8E" w:rsidRDefault="00A21698" w:rsidP="00A21698">
      <w:pPr>
        <w:spacing w:line="276" w:lineRule="auto"/>
        <w:jc w:val="center"/>
        <w:rPr>
          <w:b/>
          <w:bCs/>
        </w:rPr>
      </w:pPr>
      <w:r w:rsidRPr="00A21698">
        <w:rPr>
          <w:b/>
          <w:bCs/>
        </w:rPr>
        <w:drawing>
          <wp:inline distT="0" distB="0" distL="0" distR="0" wp14:anchorId="01A676DB" wp14:editId="57E2245C">
            <wp:extent cx="3346315" cy="2547896"/>
            <wp:effectExtent l="0" t="0" r="0" b="5080"/>
            <wp:docPr id="5005698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9888" name="Picture 1" descr="A screenshot of a graph&#10;&#10;Description automatically generated"/>
                    <pic:cNvPicPr/>
                  </pic:nvPicPr>
                  <pic:blipFill>
                    <a:blip r:embed="rId29"/>
                    <a:stretch>
                      <a:fillRect/>
                    </a:stretch>
                  </pic:blipFill>
                  <pic:spPr>
                    <a:xfrm>
                      <a:off x="0" y="0"/>
                      <a:ext cx="3353384" cy="2553278"/>
                    </a:xfrm>
                    <a:prstGeom prst="rect">
                      <a:avLst/>
                    </a:prstGeom>
                  </pic:spPr>
                </pic:pic>
              </a:graphicData>
            </a:graphic>
          </wp:inline>
        </w:drawing>
      </w:r>
    </w:p>
    <w:p w14:paraId="2B1AF409" w14:textId="77777777" w:rsidR="00643A3A" w:rsidRPr="00643A3A" w:rsidRDefault="00643A3A" w:rsidP="00643A3A">
      <w:pPr>
        <w:spacing w:line="276" w:lineRule="auto"/>
        <w:rPr>
          <w:b/>
          <w:bCs/>
        </w:rPr>
      </w:pPr>
      <w:r w:rsidRPr="00643A3A">
        <w:rPr>
          <w:b/>
          <w:bCs/>
        </w:rPr>
        <w:t>Impact of Volatility Features on Model Performance</w:t>
      </w:r>
    </w:p>
    <w:p w14:paraId="3C964ECB" w14:textId="4870540B" w:rsidR="00643A3A" w:rsidRDefault="00127C64" w:rsidP="00127C64">
      <w:pPr>
        <w:spacing w:line="276" w:lineRule="auto"/>
      </w:pPr>
      <w:r w:rsidRPr="00127C64">
        <w:t xml:space="preserve">The bar chart illustrates the relative importance of volatility-related features for both the Random Forest and Stacking Classifier models. Random Forest attributes 41.81% of its predictive power to volatility features, slightly higher than the Stacking Classifier's 40.36%. This indicates that both models heavily rely on volatility measures, showcasing their role in capturing dynamic market movements. </w:t>
      </w:r>
      <w:r w:rsidR="003F25BE" w:rsidRPr="00127C64">
        <w:t>Similar</w:t>
      </w:r>
      <w:r w:rsidRPr="00127C64">
        <w:t xml:space="preserve"> dependency across models suggests the robustness of volatility-related features in explaining and predicting variations within the dataset.</w:t>
      </w:r>
    </w:p>
    <w:p w14:paraId="63F01F24" w14:textId="77777777" w:rsidR="0080059E" w:rsidRDefault="0080059E" w:rsidP="00876D8E">
      <w:pPr>
        <w:spacing w:line="276" w:lineRule="auto"/>
      </w:pPr>
    </w:p>
    <w:p w14:paraId="773249A3" w14:textId="5F4B33D0" w:rsidR="0080059E" w:rsidRDefault="0080059E" w:rsidP="0080059E">
      <w:pPr>
        <w:spacing w:line="276" w:lineRule="auto"/>
        <w:jc w:val="center"/>
      </w:pPr>
      <w:r w:rsidRPr="0080059E">
        <w:drawing>
          <wp:inline distT="0" distB="0" distL="0" distR="0" wp14:anchorId="630FA906" wp14:editId="0DE79E9E">
            <wp:extent cx="3619500" cy="2755900"/>
            <wp:effectExtent l="0" t="0" r="0" b="0"/>
            <wp:docPr id="495473747" name="Picture 1" descr="A graph of 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3747" name="Picture 1" descr="A graph of a graph with numbers and text&#10;&#10;Description automatically generated with medium confidence"/>
                    <pic:cNvPicPr/>
                  </pic:nvPicPr>
                  <pic:blipFill>
                    <a:blip r:embed="rId30"/>
                    <a:stretch>
                      <a:fillRect/>
                    </a:stretch>
                  </pic:blipFill>
                  <pic:spPr>
                    <a:xfrm>
                      <a:off x="0" y="0"/>
                      <a:ext cx="3619500" cy="2755900"/>
                    </a:xfrm>
                    <a:prstGeom prst="rect">
                      <a:avLst/>
                    </a:prstGeom>
                  </pic:spPr>
                </pic:pic>
              </a:graphicData>
            </a:graphic>
          </wp:inline>
        </w:drawing>
      </w:r>
    </w:p>
    <w:p w14:paraId="1F4896F9" w14:textId="52A6D541" w:rsidR="00643A3A" w:rsidRPr="00E74CF4" w:rsidRDefault="00B975B8" w:rsidP="00B975B8">
      <w:pPr>
        <w:spacing w:line="276" w:lineRule="auto"/>
      </w:pPr>
      <w:r w:rsidRPr="00B975B8">
        <w:t xml:space="preserve">In conclusion, the evaluation of feature importance across the Random Forest and Stacking Classifier models highlights the critical role of certain market indicators, particularly gold and oil-related features, in predicting DXY price movements. Both models consistently emphasize the importance of daily percentage changes, volatility measures, and lagged features, reflecting their reliance on dynamic and historical market behaviors. Conversely, date-related features such as Month, Year, and </w:t>
      </w:r>
      <w:proofErr w:type="spellStart"/>
      <w:r w:rsidRPr="00B975B8">
        <w:t>is_holiday</w:t>
      </w:r>
      <w:proofErr w:type="spellEnd"/>
      <w:r w:rsidRPr="00B975B8">
        <w:t xml:space="preserve"> were deemed less impactful, underscoring the models' focus on short-term and real-time predictors over broader seasonal trends. The overlap in high-importance features across models reinforces the robustness of these indicators, with volatility and lagged features emerging as pivotal components in the predictive framework. This alignment between models not only validates the choice of features but also enhances confidence in the reliability of their insights for market analysis.</w:t>
      </w:r>
    </w:p>
    <w:p w14:paraId="6414C94C" w14:textId="24214F61" w:rsidR="6139ACD9" w:rsidRPr="00625FCC" w:rsidRDefault="00AB0824" w:rsidP="005B3006">
      <w:pPr>
        <w:pStyle w:val="Heading1"/>
        <w:spacing w:line="276" w:lineRule="auto"/>
        <w:rPr>
          <w:rFonts w:asciiTheme="minorHAnsi" w:hAnsiTheme="minorHAnsi"/>
          <w:b/>
          <w:bCs/>
          <w:color w:val="auto"/>
          <w:sz w:val="24"/>
          <w:szCs w:val="24"/>
        </w:rPr>
      </w:pPr>
      <w:bookmarkStart w:id="33" w:name="_Toc183953141"/>
      <w:bookmarkStart w:id="34" w:name="_Toc183981957"/>
      <w:r w:rsidRPr="00625FCC">
        <w:rPr>
          <w:rFonts w:asciiTheme="minorHAnsi" w:hAnsiTheme="minorHAnsi"/>
          <w:b/>
          <w:bCs/>
          <w:color w:val="auto"/>
          <w:sz w:val="24"/>
          <w:szCs w:val="24"/>
        </w:rPr>
        <w:t>DEPLOYMENT</w:t>
      </w:r>
      <w:bookmarkEnd w:id="33"/>
      <w:bookmarkEnd w:id="34"/>
    </w:p>
    <w:p w14:paraId="087CF571" w14:textId="77777777" w:rsidR="00231A0A" w:rsidRPr="00625FCC" w:rsidRDefault="773A4F0A" w:rsidP="005B3006">
      <w:pPr>
        <w:pStyle w:val="Heading2"/>
        <w:spacing w:line="276" w:lineRule="auto"/>
        <w:rPr>
          <w:rFonts w:asciiTheme="minorHAnsi" w:hAnsiTheme="minorHAnsi"/>
          <w:sz w:val="24"/>
          <w:szCs w:val="24"/>
        </w:rPr>
      </w:pPr>
      <w:bookmarkStart w:id="35" w:name="_Toc183981958"/>
      <w:r w:rsidRPr="00625FCC">
        <w:rPr>
          <w:rFonts w:asciiTheme="minorHAnsi" w:hAnsiTheme="minorHAnsi"/>
          <w:sz w:val="24"/>
          <w:szCs w:val="24"/>
        </w:rPr>
        <w:t>Business Case</w:t>
      </w:r>
      <w:bookmarkEnd w:id="35"/>
    </w:p>
    <w:p w14:paraId="65B3F348" w14:textId="3E817BF3" w:rsidR="773A4F0A" w:rsidRPr="003E1175" w:rsidRDefault="773A4F0A" w:rsidP="005B3006">
      <w:pPr>
        <w:spacing w:line="276" w:lineRule="auto"/>
        <w:rPr>
          <w:b/>
          <w:bCs/>
          <w:i/>
          <w:iCs/>
        </w:rPr>
      </w:pPr>
      <w:r w:rsidRPr="003E1175">
        <w:rPr>
          <w:b/>
          <w:bCs/>
          <w:i/>
          <w:iCs/>
        </w:rPr>
        <w:t>Building Smarter Investment Portfolios</w:t>
      </w:r>
      <w:r w:rsidR="00525D94">
        <w:rPr>
          <w:b/>
          <w:bCs/>
          <w:i/>
          <w:iCs/>
        </w:rPr>
        <w:t xml:space="preserve"> using Movement in DXY</w:t>
      </w:r>
    </w:p>
    <w:p w14:paraId="6E47C20E" w14:textId="065A1FB1" w:rsidR="773A4F0A" w:rsidRDefault="773A4F0A" w:rsidP="005B3006">
      <w:pPr>
        <w:spacing w:line="276" w:lineRule="auto"/>
      </w:pPr>
      <w:r>
        <w:t xml:space="preserve">The U.S. Dollar Index (DXY) serves as an essential indicator of the overall strength of the U.S. Dollar against a basket of major currencies, and its movements can provide significant insights into broader economic trends. A strengthening USD typically indicates growing confidence in the U.S. economy, often driven by factors such as rising interest rates, increased global demand for dollars, or </w:t>
      </w:r>
      <w:proofErr w:type="gramStart"/>
      <w:r>
        <w:t>safe haven</w:t>
      </w:r>
      <w:proofErr w:type="gramEnd"/>
      <w:r>
        <w:t xml:space="preserve"> buying during times of market turmoil. Conversely, a weakening USD suggests reduced confidence, which may arise from concerns about inflation, lower interest rates, or a shift in investor focus on riskier assets like stocks or commodities.</w:t>
      </w:r>
      <w:r>
        <w:t xml:space="preserve"> </w:t>
      </w:r>
    </w:p>
    <w:p w14:paraId="39A95238" w14:textId="6F9A6784" w:rsidR="773A4F0A" w:rsidRDefault="773A4F0A" w:rsidP="005B3006">
      <w:pPr>
        <w:spacing w:line="276" w:lineRule="auto"/>
      </w:pPr>
      <w:r>
        <w:t>For investors, understanding the direction of the DXY is crucial, as it can inform decisions regarding the reallocation of funds into different assets that tend to perform well under varying market conditions. By analyzing historical data from assets like Bitcoin, Gold, and Oil, the model identifies vital patterns and relationships influencing DXY. Gold, for example, has traditionally been viewed as a hedge against a weak dollar; when the USD weakens, gold prices often rise as investors seek safer investment. Similarly, Oil, being priced in USD globally, can experience significant demand and price fluctuations influenced by changes in the dollar's value. On the other hand, Bitcoin, recognized for its volatility, often acts as a hedge during periods of economic uncertainty or instability in the USD.</w:t>
      </w:r>
    </w:p>
    <w:p w14:paraId="7EFE50D4" w14:textId="4B39FF32" w:rsidR="773A4F0A" w:rsidRDefault="773A4F0A" w:rsidP="005B3006">
      <w:pPr>
        <w:spacing w:line="276" w:lineRule="auto"/>
      </w:pPr>
      <w:r>
        <w:t xml:space="preserve">Through careful analysis of how these different assets interact with the DXY under various conditions, such as market volatility and price changes, the model </w:t>
      </w:r>
      <w:proofErr w:type="gramStart"/>
      <w:r>
        <w:t>is capable of predicting</w:t>
      </w:r>
      <w:proofErr w:type="gramEnd"/>
      <w:r>
        <w:t xml:space="preserve"> whether the USD will strengthen, weaken, or remain stable. This predictive capability ultimately empowers investors to make informed decisions about their investment strategies in response to evolving market circumstances.</w:t>
      </w:r>
    </w:p>
    <w:p w14:paraId="717CB9C1" w14:textId="2A457D04" w:rsidR="773A4F0A" w:rsidRDefault="773A4F0A" w:rsidP="005B3006">
      <w:pPr>
        <w:spacing w:line="276" w:lineRule="auto"/>
        <w:rPr>
          <w:b/>
          <w:bCs/>
        </w:rPr>
      </w:pPr>
      <w:r w:rsidRPr="773A4F0A">
        <w:rPr>
          <w:b/>
          <w:bCs/>
        </w:rPr>
        <w:t>Investment strategies</w:t>
      </w:r>
    </w:p>
    <w:p w14:paraId="07AB05F1" w14:textId="6F3B730C" w:rsidR="773A4F0A" w:rsidRDefault="773A4F0A" w:rsidP="005B3006">
      <w:pPr>
        <w:spacing w:line="276" w:lineRule="auto"/>
      </w:pPr>
      <w:r>
        <w:t>Once the model predicts the movement of the DXY (U.S. Dollar Index), the focus shifts to portfolio allocation. Two distinct strategies are proposed based on the prediction:</w:t>
      </w:r>
    </w:p>
    <w:p w14:paraId="22C164A5" w14:textId="0087AD22" w:rsidR="773A4F0A" w:rsidRPr="00E9217B" w:rsidRDefault="773A4F0A" w:rsidP="005B3006">
      <w:pPr>
        <w:pStyle w:val="ListParagraph"/>
        <w:numPr>
          <w:ilvl w:val="0"/>
          <w:numId w:val="30"/>
        </w:numPr>
        <w:spacing w:line="276" w:lineRule="auto"/>
        <w:rPr>
          <w:b/>
          <w:bCs/>
        </w:rPr>
      </w:pPr>
      <w:r w:rsidRPr="00525D94">
        <w:rPr>
          <w:b/>
          <w:bCs/>
        </w:rPr>
        <w:t>Minimizing risk</w:t>
      </w:r>
      <w:r w:rsidR="006C49AA">
        <w:rPr>
          <w:b/>
          <w:bCs/>
        </w:rPr>
        <w:t xml:space="preserve">: </w:t>
      </w:r>
      <w:r>
        <w:t>When the model predicts a weakening USD, it signals potential market uncertainty. In this scenario, the strategy prioritizes lower-risk investments:</w:t>
      </w:r>
    </w:p>
    <w:p w14:paraId="5BF19383" w14:textId="76DA5D8F" w:rsidR="773A4F0A" w:rsidRDefault="773A4F0A" w:rsidP="005B3006">
      <w:pPr>
        <w:pStyle w:val="ListParagraph"/>
        <w:numPr>
          <w:ilvl w:val="0"/>
          <w:numId w:val="21"/>
        </w:numPr>
        <w:spacing w:line="276" w:lineRule="auto"/>
        <w:ind w:left="1080"/>
      </w:pPr>
      <w:r>
        <w:t xml:space="preserve">During a period of a weak USD, riskier assets may become more volatile. To protect the investor, the portfolio shifts toward more stable options, such as Gold, which has historically acted as </w:t>
      </w:r>
      <w:proofErr w:type="gramStart"/>
      <w:r>
        <w:t>a safe haven</w:t>
      </w:r>
      <w:proofErr w:type="gramEnd"/>
      <w:r>
        <w:t xml:space="preserve"> during economic downturns.</w:t>
      </w:r>
    </w:p>
    <w:p w14:paraId="5DBFF0E7" w14:textId="497A3026" w:rsidR="773A4F0A" w:rsidRDefault="773A4F0A" w:rsidP="005B3006">
      <w:pPr>
        <w:pStyle w:val="ListParagraph"/>
        <w:spacing w:before="240" w:after="240" w:line="276" w:lineRule="auto"/>
        <w:ind w:left="1080"/>
      </w:pPr>
    </w:p>
    <w:p w14:paraId="173228D4" w14:textId="1F1B66F1" w:rsidR="773A4F0A" w:rsidRDefault="773A4F0A" w:rsidP="005B3006">
      <w:pPr>
        <w:pStyle w:val="ListParagraph"/>
        <w:numPr>
          <w:ilvl w:val="0"/>
          <w:numId w:val="21"/>
        </w:numPr>
        <w:spacing w:before="240" w:after="240" w:line="276" w:lineRule="auto"/>
        <w:ind w:left="1080"/>
      </w:pPr>
      <w:r w:rsidRPr="773A4F0A">
        <w:t>The asset weights are determined using the “inverse volatility” approach. This means that assets with lower price swings (lower volatility) receive a higher portion of the investment.</w:t>
      </w:r>
    </w:p>
    <w:p w14:paraId="72AC0C2E" w14:textId="6D87FA64" w:rsidR="773A4F0A" w:rsidRPr="00E9217B" w:rsidRDefault="773A4F0A" w:rsidP="005B3006">
      <w:pPr>
        <w:pStyle w:val="ListParagraph"/>
        <w:numPr>
          <w:ilvl w:val="0"/>
          <w:numId w:val="30"/>
        </w:numPr>
        <w:spacing w:line="276" w:lineRule="auto"/>
        <w:rPr>
          <w:b/>
          <w:bCs/>
        </w:rPr>
      </w:pPr>
      <w:r w:rsidRPr="00525D94">
        <w:rPr>
          <w:b/>
          <w:bCs/>
        </w:rPr>
        <w:t xml:space="preserve">Maximizing </w:t>
      </w:r>
      <w:r w:rsidRPr="00E9217B">
        <w:rPr>
          <w:b/>
          <w:bCs/>
        </w:rPr>
        <w:t>returns</w:t>
      </w:r>
      <w:r w:rsidR="006C49AA">
        <w:rPr>
          <w:b/>
          <w:bCs/>
        </w:rPr>
        <w:t xml:space="preserve">: </w:t>
      </w:r>
      <w:r w:rsidRPr="00625FCC">
        <w:t>When</w:t>
      </w:r>
      <w:r>
        <w:t xml:space="preserve"> the model predicts a strengthening USD, it indicates favorable conditions for the dollar, often associated with economic growth or increased global confidence. This creates opportunities to take on more risk for higher returns:</w:t>
      </w:r>
    </w:p>
    <w:p w14:paraId="7CBEA9D8" w14:textId="49892F7B" w:rsidR="773A4F0A" w:rsidRDefault="773A4F0A" w:rsidP="005B3006">
      <w:pPr>
        <w:pStyle w:val="ListParagraph"/>
        <w:numPr>
          <w:ilvl w:val="0"/>
          <w:numId w:val="18"/>
        </w:numPr>
        <w:spacing w:line="276" w:lineRule="auto"/>
        <w:ind w:left="1080"/>
      </w:pPr>
      <w:r>
        <w:t>With a strengthening USD, investors may capitalize on assets that perform well during periods of optimism or stability, such as Bitcoin, which offers higher potential returns despite its volatility.</w:t>
      </w:r>
    </w:p>
    <w:p w14:paraId="4354BC6C" w14:textId="73B8B846" w:rsidR="773A4F0A" w:rsidRDefault="773A4F0A" w:rsidP="005B3006">
      <w:pPr>
        <w:pStyle w:val="ListParagraph"/>
        <w:spacing w:before="240" w:after="240" w:line="276" w:lineRule="auto"/>
        <w:ind w:left="1080"/>
      </w:pPr>
    </w:p>
    <w:p w14:paraId="107A930E" w14:textId="624FAE09" w:rsidR="773A4F0A" w:rsidRDefault="773A4F0A" w:rsidP="005B3006">
      <w:pPr>
        <w:pStyle w:val="ListParagraph"/>
        <w:numPr>
          <w:ilvl w:val="0"/>
          <w:numId w:val="18"/>
        </w:numPr>
        <w:spacing w:line="276" w:lineRule="auto"/>
        <w:ind w:left="1080"/>
      </w:pPr>
      <w:r w:rsidRPr="773A4F0A">
        <w:t>The asset weights are based on “Sharpe ratios,” which measure the return an asset provides for each unit of risk. Assets with higher Sharpe ratios receive a larger allocation, reflecting their superior risk-adjusted performance.</w:t>
      </w:r>
    </w:p>
    <w:p w14:paraId="17A43DA0" w14:textId="37B9809C" w:rsidR="773A4F0A" w:rsidRPr="00FC2889" w:rsidRDefault="773A4F0A" w:rsidP="005B3006">
      <w:pPr>
        <w:pStyle w:val="Heading4"/>
        <w:spacing w:before="0" w:after="0" w:line="276" w:lineRule="auto"/>
        <w:rPr>
          <w:rFonts w:eastAsia="Aptos" w:cs="Aptos"/>
          <w:b/>
          <w:bCs/>
          <w:i w:val="0"/>
          <w:iCs w:val="0"/>
          <w:color w:val="0E101A"/>
        </w:rPr>
      </w:pPr>
      <w:r w:rsidRPr="00FC2889">
        <w:rPr>
          <w:rFonts w:eastAsia="Aptos" w:cs="Aptos"/>
          <w:b/>
          <w:bCs/>
          <w:i w:val="0"/>
          <w:iCs w:val="0"/>
          <w:color w:val="0E101A"/>
        </w:rPr>
        <w:t>Practical Examples</w:t>
      </w:r>
    </w:p>
    <w:p w14:paraId="01D37A57" w14:textId="6FB7B38C" w:rsidR="773A4F0A" w:rsidRDefault="773A4F0A" w:rsidP="005B3006">
      <w:pPr>
        <w:pStyle w:val="Heading4"/>
        <w:spacing w:before="0" w:after="0" w:line="276" w:lineRule="auto"/>
      </w:pPr>
      <w:r w:rsidRPr="00625FCC">
        <w:rPr>
          <w:rFonts w:eastAsia="Aptos" w:cs="Aptos"/>
          <w:b/>
          <w:bCs/>
          <w:color w:val="0E101A"/>
        </w:rPr>
        <w:t>Scenario 1: Minimizing Risk</w:t>
      </w:r>
    </w:p>
    <w:p w14:paraId="0AE8D4AF" w14:textId="320704BB" w:rsidR="773A4F0A" w:rsidRPr="00625FCC" w:rsidRDefault="773A4F0A" w:rsidP="005B3006">
      <w:pPr>
        <w:pStyle w:val="ListParagraph"/>
        <w:numPr>
          <w:ilvl w:val="0"/>
          <w:numId w:val="17"/>
        </w:numPr>
        <w:spacing w:after="0" w:line="276" w:lineRule="auto"/>
        <w:rPr>
          <w:rFonts w:eastAsia="Aptos" w:cs="Aptos"/>
          <w:color w:val="0E101A"/>
        </w:rPr>
      </w:pPr>
      <w:r w:rsidRPr="00625FCC">
        <w:rPr>
          <w:rFonts w:eastAsia="Aptos" w:cs="Aptos"/>
          <w:b/>
          <w:bCs/>
          <w:color w:val="0E101A"/>
        </w:rPr>
        <w:t>Date</w:t>
      </w:r>
      <w:r w:rsidRPr="00625FCC">
        <w:rPr>
          <w:rFonts w:eastAsia="Aptos" w:cs="Aptos"/>
          <w:color w:val="0E101A"/>
        </w:rPr>
        <w:t>: October 1, 2020</w:t>
      </w:r>
    </w:p>
    <w:p w14:paraId="49873393" w14:textId="132D9E99" w:rsidR="773A4F0A" w:rsidRPr="00625FCC" w:rsidRDefault="773A4F0A" w:rsidP="005B3006">
      <w:pPr>
        <w:pStyle w:val="ListParagraph"/>
        <w:numPr>
          <w:ilvl w:val="0"/>
          <w:numId w:val="17"/>
        </w:numPr>
        <w:spacing w:after="0" w:line="276" w:lineRule="auto"/>
        <w:rPr>
          <w:rFonts w:eastAsia="Aptos" w:cs="Aptos"/>
          <w:color w:val="0E101A"/>
        </w:rPr>
      </w:pPr>
      <w:r w:rsidRPr="00625FCC">
        <w:rPr>
          <w:rFonts w:eastAsia="Aptos" w:cs="Aptos"/>
          <w:b/>
          <w:bCs/>
          <w:color w:val="0E101A"/>
        </w:rPr>
        <w:t>Prediction</w:t>
      </w:r>
      <w:r w:rsidRPr="00625FCC">
        <w:rPr>
          <w:rFonts w:eastAsia="Aptos" w:cs="Aptos"/>
          <w:color w:val="0E101A"/>
        </w:rPr>
        <w:t>: Negative (USD Weakens)</w:t>
      </w:r>
    </w:p>
    <w:p w14:paraId="2E8D46C6" w14:textId="19F7EFFF" w:rsidR="773A4F0A" w:rsidRPr="00625FCC" w:rsidRDefault="773A4F0A" w:rsidP="005B3006">
      <w:pPr>
        <w:pStyle w:val="ListParagraph"/>
        <w:numPr>
          <w:ilvl w:val="0"/>
          <w:numId w:val="17"/>
        </w:numPr>
        <w:spacing w:after="0" w:line="276" w:lineRule="auto"/>
        <w:rPr>
          <w:rFonts w:eastAsia="Aptos" w:cs="Aptos"/>
          <w:color w:val="0E101A"/>
        </w:rPr>
      </w:pPr>
      <w:r w:rsidRPr="00625FCC">
        <w:rPr>
          <w:rFonts w:eastAsia="Aptos" w:cs="Aptos"/>
          <w:b/>
          <w:bCs/>
          <w:color w:val="0E101A"/>
        </w:rPr>
        <w:t>Strategy</w:t>
      </w:r>
      <w:r w:rsidRPr="00625FCC">
        <w:rPr>
          <w:rFonts w:eastAsia="Aptos" w:cs="Aptos"/>
          <w:color w:val="0E101A"/>
        </w:rPr>
        <w:t>: Allocate funds to prioritize stability and reduce exposure to volatile assets.</w:t>
      </w:r>
    </w:p>
    <w:p w14:paraId="098F95BA" w14:textId="1C331C7B" w:rsidR="773A4F0A" w:rsidRPr="00625FCC" w:rsidRDefault="773A4F0A" w:rsidP="005B3006">
      <w:pPr>
        <w:pStyle w:val="ListParagraph"/>
        <w:numPr>
          <w:ilvl w:val="0"/>
          <w:numId w:val="17"/>
        </w:numPr>
        <w:spacing w:after="0" w:line="276" w:lineRule="auto"/>
        <w:rPr>
          <w:rFonts w:eastAsia="Aptos" w:cs="Aptos"/>
          <w:color w:val="0E101A"/>
        </w:rPr>
      </w:pPr>
      <w:r w:rsidRPr="00625FCC">
        <w:rPr>
          <w:rFonts w:eastAsia="Aptos" w:cs="Aptos"/>
          <w:b/>
          <w:bCs/>
          <w:color w:val="0E101A"/>
        </w:rPr>
        <w:t>Outcome</w:t>
      </w:r>
      <w:r w:rsidRPr="00625FCC">
        <w:rPr>
          <w:rFonts w:eastAsia="Aptos" w:cs="Aptos"/>
          <w:color w:val="0E101A"/>
        </w:rPr>
        <w:t>:</w:t>
      </w:r>
    </w:p>
    <w:p w14:paraId="7E2C2E5C" w14:textId="6FFFEB96" w:rsidR="773A4F0A" w:rsidRPr="00625FCC" w:rsidRDefault="773A4F0A" w:rsidP="005B3006">
      <w:pPr>
        <w:pStyle w:val="ListParagraph"/>
        <w:numPr>
          <w:ilvl w:val="1"/>
          <w:numId w:val="17"/>
        </w:numPr>
        <w:spacing w:after="0" w:line="276" w:lineRule="auto"/>
        <w:rPr>
          <w:rFonts w:eastAsia="Aptos" w:cs="Aptos"/>
          <w:color w:val="0E101A"/>
        </w:rPr>
      </w:pPr>
      <w:r w:rsidRPr="00625FCC">
        <w:rPr>
          <w:rFonts w:eastAsia="Aptos" w:cs="Aptos"/>
          <w:b/>
          <w:bCs/>
          <w:color w:val="0E101A"/>
        </w:rPr>
        <w:t>Gold</w:t>
      </w:r>
      <w:r w:rsidRPr="00625FCC">
        <w:rPr>
          <w:rFonts w:eastAsia="Aptos" w:cs="Aptos"/>
          <w:color w:val="0E101A"/>
        </w:rPr>
        <w:t>: 64.17% ($577.54 of a $900 investment)</w:t>
      </w:r>
    </w:p>
    <w:p w14:paraId="7F25F6A6" w14:textId="27A8175E" w:rsidR="773A4F0A" w:rsidRPr="00625FCC" w:rsidRDefault="773A4F0A" w:rsidP="005B3006">
      <w:pPr>
        <w:pStyle w:val="ListParagraph"/>
        <w:numPr>
          <w:ilvl w:val="1"/>
          <w:numId w:val="17"/>
        </w:numPr>
        <w:spacing w:after="0" w:line="276" w:lineRule="auto"/>
        <w:rPr>
          <w:rFonts w:eastAsia="Aptos" w:cs="Aptos"/>
          <w:color w:val="0E101A"/>
        </w:rPr>
      </w:pPr>
      <w:r w:rsidRPr="00625FCC">
        <w:rPr>
          <w:rFonts w:eastAsia="Aptos" w:cs="Aptos"/>
          <w:b/>
          <w:bCs/>
          <w:color w:val="0E101A"/>
        </w:rPr>
        <w:t>Bitcoin</w:t>
      </w:r>
      <w:r w:rsidRPr="00625FCC">
        <w:rPr>
          <w:rFonts w:eastAsia="Aptos" w:cs="Aptos"/>
          <w:color w:val="0E101A"/>
        </w:rPr>
        <w:t>: 22.16% ($199.41)</w:t>
      </w:r>
    </w:p>
    <w:p w14:paraId="3C55D3B0" w14:textId="31EC456D" w:rsidR="773A4F0A" w:rsidRPr="00625FCC" w:rsidRDefault="773A4F0A" w:rsidP="005B3006">
      <w:pPr>
        <w:pStyle w:val="ListParagraph"/>
        <w:numPr>
          <w:ilvl w:val="1"/>
          <w:numId w:val="17"/>
        </w:numPr>
        <w:spacing w:after="0" w:line="276" w:lineRule="auto"/>
        <w:rPr>
          <w:rFonts w:eastAsia="Aptos" w:cs="Aptos"/>
          <w:color w:val="0E101A"/>
        </w:rPr>
      </w:pPr>
      <w:r w:rsidRPr="00625FCC">
        <w:rPr>
          <w:rFonts w:eastAsia="Aptos" w:cs="Aptos"/>
          <w:b/>
          <w:bCs/>
          <w:color w:val="0E101A"/>
        </w:rPr>
        <w:t>Oil</w:t>
      </w:r>
      <w:r w:rsidRPr="00625FCC">
        <w:rPr>
          <w:rFonts w:eastAsia="Aptos" w:cs="Aptos"/>
          <w:color w:val="0E101A"/>
        </w:rPr>
        <w:t>: 13.67% ($123.05)</w:t>
      </w:r>
    </w:p>
    <w:p w14:paraId="1BBC6939" w14:textId="27379E9C" w:rsidR="773A4F0A" w:rsidRPr="00625FCC" w:rsidRDefault="773A4F0A" w:rsidP="005B3006">
      <w:pPr>
        <w:spacing w:after="0" w:line="276" w:lineRule="auto"/>
        <w:rPr>
          <w:rFonts w:eastAsia="Aptos" w:cs="Aptos"/>
          <w:color w:val="0E101A"/>
        </w:rPr>
      </w:pPr>
    </w:p>
    <w:p w14:paraId="49834AE0" w14:textId="1F65D6E5" w:rsidR="773A4F0A" w:rsidRDefault="773A4F0A" w:rsidP="005B3006">
      <w:pPr>
        <w:pStyle w:val="Heading4"/>
        <w:spacing w:before="0" w:after="0" w:line="276" w:lineRule="auto"/>
      </w:pPr>
      <w:r w:rsidRPr="00625FCC">
        <w:rPr>
          <w:rFonts w:eastAsia="Aptos" w:cs="Aptos"/>
          <w:b/>
          <w:bCs/>
          <w:color w:val="0E101A"/>
        </w:rPr>
        <w:t>Scenario 2: Maximizing Returns</w:t>
      </w:r>
    </w:p>
    <w:p w14:paraId="5FC20171" w14:textId="6480A32E" w:rsidR="773A4F0A" w:rsidRPr="00625FCC" w:rsidRDefault="773A4F0A" w:rsidP="005B3006">
      <w:pPr>
        <w:pStyle w:val="ListParagraph"/>
        <w:numPr>
          <w:ilvl w:val="0"/>
          <w:numId w:val="16"/>
        </w:numPr>
        <w:spacing w:after="0" w:line="276" w:lineRule="auto"/>
        <w:rPr>
          <w:rFonts w:eastAsia="Aptos" w:cs="Aptos"/>
          <w:color w:val="0E101A"/>
        </w:rPr>
      </w:pPr>
      <w:r w:rsidRPr="00625FCC">
        <w:rPr>
          <w:rFonts w:eastAsia="Aptos" w:cs="Aptos"/>
          <w:b/>
          <w:bCs/>
          <w:color w:val="0E101A"/>
        </w:rPr>
        <w:t>Date</w:t>
      </w:r>
      <w:r w:rsidRPr="00625FCC">
        <w:rPr>
          <w:rFonts w:eastAsia="Aptos" w:cs="Aptos"/>
          <w:color w:val="0E101A"/>
        </w:rPr>
        <w:t>: January 3, 2024</w:t>
      </w:r>
    </w:p>
    <w:p w14:paraId="45B236B8" w14:textId="065157E2" w:rsidR="773A4F0A" w:rsidRPr="00625FCC" w:rsidRDefault="773A4F0A" w:rsidP="005B3006">
      <w:pPr>
        <w:pStyle w:val="ListParagraph"/>
        <w:numPr>
          <w:ilvl w:val="0"/>
          <w:numId w:val="16"/>
        </w:numPr>
        <w:spacing w:after="0" w:line="276" w:lineRule="auto"/>
        <w:rPr>
          <w:rFonts w:eastAsia="Aptos" w:cs="Aptos"/>
          <w:color w:val="0E101A"/>
        </w:rPr>
      </w:pPr>
      <w:r w:rsidRPr="00625FCC">
        <w:rPr>
          <w:rFonts w:eastAsia="Aptos" w:cs="Aptos"/>
          <w:b/>
          <w:bCs/>
          <w:color w:val="0E101A"/>
        </w:rPr>
        <w:t>Prediction</w:t>
      </w:r>
      <w:r w:rsidRPr="00625FCC">
        <w:rPr>
          <w:rFonts w:eastAsia="Aptos" w:cs="Aptos"/>
          <w:color w:val="0E101A"/>
        </w:rPr>
        <w:t>: Positive (USD Strengthens)</w:t>
      </w:r>
    </w:p>
    <w:p w14:paraId="020B4907" w14:textId="2E3C73A0" w:rsidR="773A4F0A" w:rsidRPr="00625FCC" w:rsidRDefault="773A4F0A" w:rsidP="005B3006">
      <w:pPr>
        <w:pStyle w:val="ListParagraph"/>
        <w:numPr>
          <w:ilvl w:val="0"/>
          <w:numId w:val="16"/>
        </w:numPr>
        <w:spacing w:after="0" w:line="276" w:lineRule="auto"/>
        <w:rPr>
          <w:rFonts w:eastAsia="Aptos" w:cs="Aptos"/>
          <w:color w:val="0E101A"/>
        </w:rPr>
      </w:pPr>
      <w:r w:rsidRPr="00625FCC">
        <w:rPr>
          <w:rFonts w:eastAsia="Aptos" w:cs="Aptos"/>
          <w:b/>
          <w:bCs/>
          <w:color w:val="0E101A"/>
        </w:rPr>
        <w:t>Strategy</w:t>
      </w:r>
      <w:r w:rsidRPr="00625FCC">
        <w:rPr>
          <w:rFonts w:eastAsia="Aptos" w:cs="Aptos"/>
          <w:color w:val="0E101A"/>
        </w:rPr>
        <w:t>: Allocate funds to assets with higher growth potential, accepting higher risk for greater rewards.</w:t>
      </w:r>
    </w:p>
    <w:p w14:paraId="560B6D20" w14:textId="3D4EEA41" w:rsidR="773A4F0A" w:rsidRPr="00625FCC" w:rsidRDefault="773A4F0A" w:rsidP="005B3006">
      <w:pPr>
        <w:pStyle w:val="ListParagraph"/>
        <w:numPr>
          <w:ilvl w:val="0"/>
          <w:numId w:val="16"/>
        </w:numPr>
        <w:spacing w:after="0" w:line="276" w:lineRule="auto"/>
        <w:rPr>
          <w:rFonts w:eastAsia="Aptos" w:cs="Aptos"/>
          <w:color w:val="0E101A"/>
        </w:rPr>
      </w:pPr>
      <w:r w:rsidRPr="00625FCC">
        <w:rPr>
          <w:rFonts w:eastAsia="Aptos" w:cs="Aptos"/>
          <w:b/>
          <w:bCs/>
          <w:color w:val="0E101A"/>
        </w:rPr>
        <w:t>Outcome</w:t>
      </w:r>
      <w:r w:rsidRPr="00625FCC">
        <w:rPr>
          <w:rFonts w:eastAsia="Aptos" w:cs="Aptos"/>
          <w:color w:val="0E101A"/>
        </w:rPr>
        <w:t>:</w:t>
      </w:r>
    </w:p>
    <w:p w14:paraId="76BE3992" w14:textId="7BAD087A" w:rsidR="773A4F0A" w:rsidRPr="00625FCC" w:rsidRDefault="773A4F0A" w:rsidP="005B3006">
      <w:pPr>
        <w:pStyle w:val="ListParagraph"/>
        <w:numPr>
          <w:ilvl w:val="1"/>
          <w:numId w:val="16"/>
        </w:numPr>
        <w:spacing w:after="0" w:line="276" w:lineRule="auto"/>
        <w:rPr>
          <w:rFonts w:eastAsia="Aptos" w:cs="Aptos"/>
          <w:color w:val="0E101A"/>
        </w:rPr>
      </w:pPr>
      <w:r w:rsidRPr="00625FCC">
        <w:rPr>
          <w:rFonts w:eastAsia="Aptos" w:cs="Aptos"/>
          <w:b/>
          <w:bCs/>
          <w:color w:val="0E101A"/>
        </w:rPr>
        <w:t>Bitcoin</w:t>
      </w:r>
      <w:r w:rsidRPr="00625FCC">
        <w:rPr>
          <w:rFonts w:eastAsia="Aptos" w:cs="Aptos"/>
          <w:color w:val="0E101A"/>
        </w:rPr>
        <w:t>: 69.24% ($623.19 of a $900 investment)</w:t>
      </w:r>
    </w:p>
    <w:p w14:paraId="4D32FA94" w14:textId="3F98FD15" w:rsidR="773A4F0A" w:rsidRPr="00625FCC" w:rsidRDefault="773A4F0A" w:rsidP="005B3006">
      <w:pPr>
        <w:pStyle w:val="ListParagraph"/>
        <w:numPr>
          <w:ilvl w:val="1"/>
          <w:numId w:val="16"/>
        </w:numPr>
        <w:spacing w:after="0" w:line="276" w:lineRule="auto"/>
        <w:rPr>
          <w:rFonts w:eastAsia="Aptos" w:cs="Aptos"/>
          <w:color w:val="0E101A"/>
        </w:rPr>
      </w:pPr>
      <w:r w:rsidRPr="00625FCC">
        <w:rPr>
          <w:rFonts w:eastAsia="Aptos" w:cs="Aptos"/>
          <w:b/>
          <w:bCs/>
          <w:color w:val="0E101A"/>
        </w:rPr>
        <w:t>Gold</w:t>
      </w:r>
      <w:r w:rsidRPr="00625FCC">
        <w:rPr>
          <w:rFonts w:eastAsia="Aptos" w:cs="Aptos"/>
          <w:color w:val="0E101A"/>
        </w:rPr>
        <w:t>: 19.25% ($173.29)</w:t>
      </w:r>
    </w:p>
    <w:p w14:paraId="0E75B91E" w14:textId="0CA83A9C" w:rsidR="773A4F0A" w:rsidRPr="00625FCC" w:rsidRDefault="773A4F0A" w:rsidP="005B3006">
      <w:pPr>
        <w:pStyle w:val="ListParagraph"/>
        <w:numPr>
          <w:ilvl w:val="1"/>
          <w:numId w:val="16"/>
        </w:numPr>
        <w:spacing w:after="0" w:line="276" w:lineRule="auto"/>
        <w:rPr>
          <w:rFonts w:eastAsia="Aptos" w:cs="Aptos"/>
          <w:color w:val="0E101A"/>
        </w:rPr>
      </w:pPr>
      <w:r w:rsidRPr="00625FCC">
        <w:rPr>
          <w:rFonts w:eastAsia="Aptos" w:cs="Aptos"/>
          <w:b/>
          <w:bCs/>
          <w:color w:val="0E101A"/>
        </w:rPr>
        <w:t>Oil</w:t>
      </w:r>
      <w:r w:rsidRPr="00625FCC">
        <w:rPr>
          <w:rFonts w:eastAsia="Aptos" w:cs="Aptos"/>
          <w:color w:val="0E101A"/>
        </w:rPr>
        <w:t>: 11.50% ($103.51)</w:t>
      </w:r>
    </w:p>
    <w:p w14:paraId="0D52A874" w14:textId="6630365C" w:rsidR="773A4F0A" w:rsidRPr="00625FCC" w:rsidRDefault="773A4F0A" w:rsidP="005B3006">
      <w:pPr>
        <w:pStyle w:val="Heading4"/>
        <w:spacing w:before="0" w:after="0" w:line="276" w:lineRule="auto"/>
        <w:rPr>
          <w:rFonts w:eastAsia="Aptos" w:cs="Aptos"/>
          <w:b/>
          <w:bCs/>
          <w:color w:val="0E101A"/>
        </w:rPr>
      </w:pPr>
      <w:r w:rsidRPr="00625FCC">
        <w:rPr>
          <w:rFonts w:eastAsia="Aptos" w:cs="Aptos"/>
          <w:b/>
          <w:bCs/>
          <w:color w:val="0E101A"/>
        </w:rPr>
        <w:t>Business Value: Why This Matters</w:t>
      </w:r>
    </w:p>
    <w:p w14:paraId="047C0EC8" w14:textId="2B51B69A" w:rsidR="773A4F0A" w:rsidRPr="007C0A35" w:rsidRDefault="773A4F0A" w:rsidP="005B3006">
      <w:pPr>
        <w:pStyle w:val="ListParagraph"/>
        <w:numPr>
          <w:ilvl w:val="0"/>
          <w:numId w:val="15"/>
        </w:numPr>
        <w:spacing w:after="0" w:line="276" w:lineRule="auto"/>
        <w:rPr>
          <w:rFonts w:eastAsia="Aptos" w:cs="Aptos"/>
          <w:b/>
          <w:bCs/>
          <w:color w:val="0E101A"/>
        </w:rPr>
      </w:pPr>
      <w:r w:rsidRPr="00625FCC">
        <w:rPr>
          <w:rFonts w:eastAsia="Aptos" w:cs="Aptos"/>
          <w:b/>
          <w:bCs/>
          <w:color w:val="0E101A"/>
        </w:rPr>
        <w:t>A Reliable Guide for Investors</w:t>
      </w:r>
      <w:r w:rsidR="007C0A35">
        <w:rPr>
          <w:rFonts w:eastAsia="Aptos" w:cs="Aptos"/>
          <w:b/>
          <w:bCs/>
          <w:color w:val="0E101A"/>
        </w:rPr>
        <w:t xml:space="preserve">: </w:t>
      </w:r>
      <w:r w:rsidRPr="00625FCC">
        <w:rPr>
          <w:rFonts w:eastAsia="Aptos" w:cs="Aptos"/>
          <w:color w:val="0E101A"/>
        </w:rPr>
        <w:t>Financial decisions are often clouded by uncertainty. This approach provides a structured, data-driven framework to inform investment decisions.</w:t>
      </w:r>
    </w:p>
    <w:p w14:paraId="7AB72701" w14:textId="75FAA5A3" w:rsidR="773A4F0A" w:rsidRPr="00625FCC" w:rsidRDefault="773A4F0A" w:rsidP="005B3006">
      <w:pPr>
        <w:pStyle w:val="ListParagraph"/>
        <w:numPr>
          <w:ilvl w:val="0"/>
          <w:numId w:val="14"/>
        </w:numPr>
        <w:spacing w:after="0" w:line="276" w:lineRule="auto"/>
        <w:rPr>
          <w:rFonts w:eastAsia="Aptos" w:cs="Aptos"/>
          <w:color w:val="0E101A"/>
        </w:rPr>
      </w:pPr>
      <w:r w:rsidRPr="00625FCC">
        <w:rPr>
          <w:rFonts w:eastAsia="Aptos" w:cs="Aptos"/>
          <w:b/>
          <w:bCs/>
          <w:color w:val="0E101A"/>
        </w:rPr>
        <w:t>Predictive Insight</w:t>
      </w:r>
      <w:r w:rsidRPr="00625FCC">
        <w:rPr>
          <w:rFonts w:eastAsia="Aptos" w:cs="Aptos"/>
          <w:color w:val="0E101A"/>
        </w:rPr>
        <w:t>: The model forecasts key market movements, giving investors an early signal to adjust strategies.</w:t>
      </w:r>
    </w:p>
    <w:p w14:paraId="55087258" w14:textId="46E1D392" w:rsidR="773A4F0A" w:rsidRPr="00625FCC" w:rsidRDefault="773A4F0A" w:rsidP="005B3006">
      <w:pPr>
        <w:pStyle w:val="ListParagraph"/>
        <w:numPr>
          <w:ilvl w:val="0"/>
          <w:numId w:val="14"/>
        </w:numPr>
        <w:spacing w:after="0" w:line="276" w:lineRule="auto"/>
        <w:rPr>
          <w:rFonts w:eastAsia="Aptos" w:cs="Aptos"/>
          <w:color w:val="0E101A"/>
        </w:rPr>
      </w:pPr>
      <w:r w:rsidRPr="00625FCC">
        <w:rPr>
          <w:rFonts w:eastAsia="Aptos" w:cs="Aptos"/>
          <w:b/>
          <w:bCs/>
          <w:color w:val="0E101A"/>
        </w:rPr>
        <w:t>Tailored Portfolios</w:t>
      </w:r>
      <w:r w:rsidRPr="00625FCC">
        <w:rPr>
          <w:rFonts w:eastAsia="Aptos" w:cs="Aptos"/>
          <w:color w:val="0E101A"/>
        </w:rPr>
        <w:t>: Recommendations are aligned with specific market conditions, catering to both risk-averse and risk-tolerant investors.</w:t>
      </w:r>
    </w:p>
    <w:p w14:paraId="0EED7C05" w14:textId="4485AD74" w:rsidR="773A4F0A" w:rsidRPr="00625FCC" w:rsidRDefault="773A4F0A" w:rsidP="005B3006">
      <w:pPr>
        <w:pStyle w:val="ListParagraph"/>
        <w:spacing w:after="0" w:line="276" w:lineRule="auto"/>
        <w:rPr>
          <w:rFonts w:eastAsia="Aptos" w:cs="Aptos"/>
          <w:color w:val="0E101A"/>
        </w:rPr>
      </w:pPr>
    </w:p>
    <w:p w14:paraId="492B945F" w14:textId="5584BEB9" w:rsidR="773A4F0A" w:rsidRPr="007C0A35" w:rsidRDefault="773A4F0A" w:rsidP="005B3006">
      <w:pPr>
        <w:pStyle w:val="ListParagraph"/>
        <w:numPr>
          <w:ilvl w:val="0"/>
          <w:numId w:val="15"/>
        </w:numPr>
        <w:spacing w:after="0" w:line="276" w:lineRule="auto"/>
        <w:rPr>
          <w:rFonts w:eastAsia="Aptos" w:cs="Aptos"/>
          <w:b/>
          <w:bCs/>
          <w:color w:val="0E101A"/>
        </w:rPr>
      </w:pPr>
      <w:r w:rsidRPr="00625FCC">
        <w:rPr>
          <w:rFonts w:eastAsia="Aptos" w:cs="Aptos"/>
          <w:b/>
          <w:bCs/>
          <w:color w:val="0E101A"/>
        </w:rPr>
        <w:t>Improved Investment Outcomes</w:t>
      </w:r>
      <w:r w:rsidR="007C0A35">
        <w:rPr>
          <w:rFonts w:eastAsia="Aptos" w:cs="Aptos"/>
          <w:b/>
          <w:bCs/>
          <w:color w:val="0E101A"/>
        </w:rPr>
        <w:t xml:space="preserve">: </w:t>
      </w:r>
      <w:r w:rsidRPr="00625FCC">
        <w:rPr>
          <w:rFonts w:eastAsia="Aptos" w:cs="Aptos"/>
          <w:color w:val="0E101A"/>
        </w:rPr>
        <w:t>By aligning portfolio strategies with market predictions, investors can:</w:t>
      </w:r>
    </w:p>
    <w:p w14:paraId="6FB3A6D9" w14:textId="658BE782" w:rsidR="773A4F0A" w:rsidRPr="00625FCC" w:rsidRDefault="773A4F0A" w:rsidP="005B3006">
      <w:pPr>
        <w:pStyle w:val="ListParagraph"/>
        <w:numPr>
          <w:ilvl w:val="0"/>
          <w:numId w:val="13"/>
        </w:numPr>
        <w:spacing w:after="0" w:line="276" w:lineRule="auto"/>
        <w:rPr>
          <w:rFonts w:eastAsia="Aptos" w:cs="Aptos"/>
          <w:color w:val="0E101A"/>
        </w:rPr>
      </w:pPr>
      <w:r w:rsidRPr="00625FCC">
        <w:rPr>
          <w:rFonts w:eastAsia="Aptos" w:cs="Aptos"/>
          <w:b/>
          <w:bCs/>
          <w:color w:val="0E101A"/>
        </w:rPr>
        <w:t>Minimize losses</w:t>
      </w:r>
      <w:r w:rsidRPr="00625FCC">
        <w:rPr>
          <w:rFonts w:eastAsia="Aptos" w:cs="Aptos"/>
          <w:color w:val="0E101A"/>
        </w:rPr>
        <w:t xml:space="preserve"> during turbulent periods by leaning on safer assets.</w:t>
      </w:r>
    </w:p>
    <w:p w14:paraId="6E8D5F18" w14:textId="093D4299" w:rsidR="773A4F0A" w:rsidRPr="00625FCC" w:rsidRDefault="773A4F0A" w:rsidP="005B3006">
      <w:pPr>
        <w:pStyle w:val="ListParagraph"/>
        <w:numPr>
          <w:ilvl w:val="0"/>
          <w:numId w:val="13"/>
        </w:numPr>
        <w:spacing w:after="0" w:line="276" w:lineRule="auto"/>
        <w:rPr>
          <w:rFonts w:eastAsia="Aptos" w:cs="Aptos"/>
          <w:color w:val="0E101A"/>
        </w:rPr>
      </w:pPr>
      <w:r w:rsidRPr="00625FCC">
        <w:rPr>
          <w:rFonts w:eastAsia="Aptos" w:cs="Aptos"/>
          <w:b/>
          <w:bCs/>
          <w:color w:val="0E101A"/>
        </w:rPr>
        <w:t>Maximize gains</w:t>
      </w:r>
      <w:r w:rsidRPr="00625FCC">
        <w:rPr>
          <w:rFonts w:eastAsia="Aptos" w:cs="Aptos"/>
          <w:color w:val="0E101A"/>
        </w:rPr>
        <w:t xml:space="preserve"> during favorable conditions by seizing high-return opportunities.</w:t>
      </w:r>
    </w:p>
    <w:p w14:paraId="3B1A0028" w14:textId="0A754053" w:rsidR="773A4F0A" w:rsidRPr="00625FCC" w:rsidRDefault="773A4F0A" w:rsidP="005B3006">
      <w:pPr>
        <w:pStyle w:val="ListParagraph"/>
        <w:spacing w:after="0" w:line="276" w:lineRule="auto"/>
        <w:rPr>
          <w:rFonts w:eastAsia="Aptos" w:cs="Aptos"/>
          <w:color w:val="0E101A"/>
        </w:rPr>
      </w:pPr>
    </w:p>
    <w:p w14:paraId="2BEDB974" w14:textId="70F4BDE9" w:rsidR="773A4F0A" w:rsidRPr="007C0A35" w:rsidRDefault="773A4F0A" w:rsidP="005B3006">
      <w:pPr>
        <w:pStyle w:val="ListParagraph"/>
        <w:numPr>
          <w:ilvl w:val="0"/>
          <w:numId w:val="15"/>
        </w:numPr>
        <w:spacing w:after="0" w:line="276" w:lineRule="auto"/>
        <w:rPr>
          <w:rFonts w:eastAsia="Aptos" w:cs="Aptos"/>
          <w:b/>
          <w:bCs/>
          <w:color w:val="0E101A"/>
        </w:rPr>
      </w:pPr>
      <w:r w:rsidRPr="00625FCC">
        <w:rPr>
          <w:rFonts w:eastAsia="Aptos" w:cs="Aptos"/>
          <w:b/>
          <w:bCs/>
          <w:color w:val="0E101A"/>
        </w:rPr>
        <w:t>Versatility Across Market Cycles</w:t>
      </w:r>
      <w:r w:rsidR="007C0A35">
        <w:rPr>
          <w:rFonts w:eastAsia="Aptos" w:cs="Aptos"/>
          <w:b/>
          <w:bCs/>
          <w:color w:val="0E101A"/>
        </w:rPr>
        <w:t xml:space="preserve">: </w:t>
      </w:r>
      <w:r w:rsidRPr="00625FCC">
        <w:rPr>
          <w:rFonts w:eastAsia="Aptos" w:cs="Aptos"/>
          <w:color w:val="0E101A"/>
        </w:rPr>
        <w:t>The dual-strategy system ensures relevance in both bullish and bearish markets, helping investors stay ahead of market trends regardless of economic conditions.</w:t>
      </w:r>
    </w:p>
    <w:p w14:paraId="2AC77EF7" w14:textId="4309B7C0" w:rsidR="773A4F0A" w:rsidRPr="007C0A35" w:rsidRDefault="773A4F0A" w:rsidP="005B3006">
      <w:pPr>
        <w:pStyle w:val="ListParagraph"/>
        <w:numPr>
          <w:ilvl w:val="0"/>
          <w:numId w:val="15"/>
        </w:numPr>
        <w:spacing w:after="0" w:line="276" w:lineRule="auto"/>
        <w:rPr>
          <w:rFonts w:eastAsia="Aptos" w:cs="Aptos"/>
          <w:b/>
          <w:bCs/>
          <w:color w:val="0E101A"/>
        </w:rPr>
      </w:pPr>
      <w:r w:rsidRPr="00625FCC">
        <w:rPr>
          <w:rFonts w:eastAsia="Aptos" w:cs="Aptos"/>
          <w:b/>
          <w:bCs/>
          <w:color w:val="0E101A"/>
        </w:rPr>
        <w:t>Simplified Decision-Making</w:t>
      </w:r>
      <w:r w:rsidR="007C0A35">
        <w:rPr>
          <w:rFonts w:eastAsia="Aptos" w:cs="Aptos"/>
          <w:b/>
          <w:bCs/>
          <w:color w:val="0E101A"/>
        </w:rPr>
        <w:t xml:space="preserve">: </w:t>
      </w:r>
      <w:r w:rsidRPr="00625FCC">
        <w:rPr>
          <w:rFonts w:eastAsia="Aptos" w:cs="Aptos"/>
          <w:color w:val="0E101A"/>
        </w:rPr>
        <w:t xml:space="preserve">Investors no longer need to interpret complex market data. The model’s outputs are clear: a prediction of </w:t>
      </w:r>
      <w:r w:rsidR="00C84F36" w:rsidRPr="00625FCC">
        <w:rPr>
          <w:rFonts w:eastAsia="Aptos" w:cs="Aptos"/>
          <w:color w:val="0E101A"/>
        </w:rPr>
        <w:t>DXY’s</w:t>
      </w:r>
      <w:r w:rsidRPr="00625FCC">
        <w:rPr>
          <w:rFonts w:eastAsia="Aptos" w:cs="Aptos"/>
          <w:color w:val="0E101A"/>
        </w:rPr>
        <w:t xml:space="preserve"> movement and a corresponding portfolio recommendation.</w:t>
      </w:r>
    </w:p>
    <w:p w14:paraId="7F1C1E93" w14:textId="77777777" w:rsidR="007C0A35" w:rsidRPr="007C0A35" w:rsidRDefault="007C0A35" w:rsidP="005B3006">
      <w:pPr>
        <w:pStyle w:val="ListParagraph"/>
        <w:spacing w:after="0" w:line="276" w:lineRule="auto"/>
        <w:rPr>
          <w:rFonts w:eastAsia="Aptos" w:cs="Aptos"/>
          <w:b/>
          <w:bCs/>
          <w:color w:val="0E101A"/>
        </w:rPr>
      </w:pPr>
    </w:p>
    <w:p w14:paraId="46F4264D" w14:textId="383157E5" w:rsidR="773A4F0A" w:rsidRDefault="773A4F0A" w:rsidP="005B3006">
      <w:pPr>
        <w:spacing w:line="276" w:lineRule="auto"/>
      </w:pPr>
      <w:r w:rsidRPr="773A4F0A">
        <w:t>This project connects complex market analysis with actionable investment strategies. By predicting movements in the US Dollar and aligning portfolios with these predictions, investors are equipped to make smarter and more confident decisions. This method not only improves individual investment results but also establishes a foundation for a scalable financial advisory tool that can adapt to changing markets.</w:t>
      </w:r>
    </w:p>
    <w:p w14:paraId="18399ACB" w14:textId="41EF0DC8" w:rsidR="0087093D" w:rsidRPr="00FC2889" w:rsidRDefault="00FC2889" w:rsidP="005B3006">
      <w:pPr>
        <w:pStyle w:val="Heading2"/>
        <w:spacing w:line="276" w:lineRule="auto"/>
        <w:rPr>
          <w:rFonts w:asciiTheme="minorHAnsi" w:hAnsiTheme="minorHAnsi"/>
          <w:sz w:val="28"/>
          <w:szCs w:val="28"/>
        </w:rPr>
      </w:pPr>
      <w:bookmarkStart w:id="36" w:name="_Toc183981959"/>
      <w:r w:rsidRPr="00FC2889">
        <w:rPr>
          <w:rFonts w:asciiTheme="minorHAnsi" w:hAnsiTheme="minorHAnsi"/>
          <w:sz w:val="28"/>
          <w:szCs w:val="28"/>
        </w:rPr>
        <w:t>Documentation</w:t>
      </w:r>
      <w:bookmarkEnd w:id="36"/>
    </w:p>
    <w:p w14:paraId="490A79F9" w14:textId="2BF1E23F" w:rsidR="00FC2889" w:rsidRPr="00FC2889" w:rsidRDefault="00FC2889" w:rsidP="005B3006">
      <w:pPr>
        <w:pStyle w:val="Heading3"/>
        <w:spacing w:line="276" w:lineRule="auto"/>
        <w:rPr>
          <w:rFonts w:hint="eastAsia"/>
          <w:sz w:val="24"/>
          <w:szCs w:val="24"/>
        </w:rPr>
      </w:pPr>
      <w:bookmarkStart w:id="37" w:name="_Toc183953142"/>
      <w:bookmarkStart w:id="38" w:name="_Toc183981960"/>
      <w:r w:rsidRPr="00FC2889">
        <w:rPr>
          <w:sz w:val="24"/>
          <w:szCs w:val="24"/>
        </w:rPr>
        <w:t>Project Repository</w:t>
      </w:r>
      <w:bookmarkEnd w:id="37"/>
      <w:bookmarkEnd w:id="38"/>
    </w:p>
    <w:p w14:paraId="1FA0FAAE" w14:textId="4049421B" w:rsidR="009C797E" w:rsidRPr="009C797E" w:rsidRDefault="009C797E" w:rsidP="005B3006">
      <w:pPr>
        <w:spacing w:line="276" w:lineRule="auto"/>
      </w:pPr>
      <w:hyperlink r:id="rId31" w:history="1">
        <w:r w:rsidRPr="00AC0EB9">
          <w:rPr>
            <w:rStyle w:val="Hyperlink"/>
          </w:rPr>
          <w:t xml:space="preserve">Link to </w:t>
        </w:r>
        <w:r w:rsidR="00E44DC0" w:rsidRPr="00AC0EB9">
          <w:rPr>
            <w:rStyle w:val="Hyperlink"/>
          </w:rPr>
          <w:t>project repository on GitHub</w:t>
        </w:r>
      </w:hyperlink>
    </w:p>
    <w:p w14:paraId="0C6D6882" w14:textId="45CA8270" w:rsidR="00F91AFE" w:rsidRPr="00625FCC" w:rsidRDefault="00F91AFE" w:rsidP="005B3006">
      <w:pPr>
        <w:pStyle w:val="Heading3"/>
        <w:spacing w:line="276" w:lineRule="auto"/>
        <w:rPr>
          <w:sz w:val="24"/>
          <w:szCs w:val="24"/>
        </w:rPr>
      </w:pPr>
      <w:bookmarkStart w:id="39" w:name="_Toc183953143"/>
      <w:bookmarkStart w:id="40" w:name="_Toc183981961"/>
      <w:r w:rsidRPr="00FC2889">
        <w:rPr>
          <w:sz w:val="24"/>
          <w:szCs w:val="24"/>
        </w:rPr>
        <w:t>App</w:t>
      </w:r>
      <w:bookmarkEnd w:id="39"/>
      <w:bookmarkEnd w:id="40"/>
    </w:p>
    <w:p w14:paraId="3441347E" w14:textId="4A0654C8" w:rsidR="00456FC1" w:rsidRPr="00456FC1" w:rsidRDefault="00456FC1" w:rsidP="005B3006">
      <w:pPr>
        <w:spacing w:line="276" w:lineRule="auto"/>
      </w:pPr>
      <w:hyperlink r:id="rId32" w:history="1">
        <w:r w:rsidRPr="00456FC1">
          <w:rPr>
            <w:rStyle w:val="Hyperlink"/>
          </w:rPr>
          <w:t>Link to deployed App on Render</w:t>
        </w:r>
      </w:hyperlink>
    </w:p>
    <w:p w14:paraId="400CD35D" w14:textId="66774D98" w:rsidR="0055650C" w:rsidRPr="003B6B45" w:rsidRDefault="0125405E" w:rsidP="005B3006">
      <w:pPr>
        <w:pStyle w:val="Heading1"/>
        <w:spacing w:line="276" w:lineRule="auto"/>
        <w:rPr>
          <w:b/>
          <w:bCs/>
          <w:sz w:val="28"/>
          <w:szCs w:val="28"/>
        </w:rPr>
      </w:pPr>
      <w:bookmarkStart w:id="41" w:name="_Toc183953144"/>
      <w:bookmarkStart w:id="42" w:name="_Toc183981962"/>
      <w:r w:rsidRPr="003B6B45">
        <w:rPr>
          <w:b/>
          <w:bCs/>
          <w:sz w:val="28"/>
          <w:szCs w:val="28"/>
        </w:rPr>
        <w:t>CONCLUSION &amp; FUTURE WORK</w:t>
      </w:r>
      <w:bookmarkEnd w:id="41"/>
      <w:bookmarkEnd w:id="42"/>
    </w:p>
    <w:p w14:paraId="06A4189F" w14:textId="75360467" w:rsidR="0055650C" w:rsidRPr="003B6B45" w:rsidRDefault="0125405E" w:rsidP="005B3006">
      <w:pPr>
        <w:pStyle w:val="Heading1"/>
        <w:spacing w:line="276" w:lineRule="auto"/>
        <w:rPr>
          <w:b/>
          <w:bCs/>
          <w:sz w:val="28"/>
          <w:szCs w:val="28"/>
        </w:rPr>
      </w:pPr>
      <w:bookmarkStart w:id="43" w:name="_Toc183953145"/>
      <w:bookmarkStart w:id="44" w:name="_Toc183981963"/>
      <w:r w:rsidRPr="003B6B45">
        <w:rPr>
          <w:b/>
          <w:bCs/>
          <w:sz w:val="28"/>
          <w:szCs w:val="28"/>
        </w:rPr>
        <w:t>WHAT WE LEARNED</w:t>
      </w:r>
      <w:bookmarkEnd w:id="43"/>
      <w:bookmarkEnd w:id="44"/>
    </w:p>
    <w:p w14:paraId="3DBE79D0" w14:textId="77777777" w:rsidR="005B3006" w:rsidRPr="005B3006" w:rsidRDefault="005B3006" w:rsidP="005B3006">
      <w:pPr>
        <w:spacing w:line="276" w:lineRule="auto"/>
      </w:pPr>
      <w:r w:rsidRPr="005B3006">
        <w:t>Through this project, we had the opportunity to explore and apply a range of new concepts and tools, including:</w:t>
      </w:r>
    </w:p>
    <w:p w14:paraId="4F53FCB9" w14:textId="77777777" w:rsidR="005B3006" w:rsidRPr="005B3006" w:rsidRDefault="005B3006" w:rsidP="005B3006">
      <w:pPr>
        <w:numPr>
          <w:ilvl w:val="0"/>
          <w:numId w:val="35"/>
        </w:numPr>
        <w:spacing w:line="276" w:lineRule="auto"/>
      </w:pPr>
      <w:r w:rsidRPr="005B3006">
        <w:rPr>
          <w:b/>
          <w:bCs/>
        </w:rPr>
        <w:t>Base Models</w:t>
      </w:r>
      <w:r w:rsidRPr="005B3006">
        <w:t>: Developing and fine-tuning foundational predictive models for financial market analysis.</w:t>
      </w:r>
    </w:p>
    <w:p w14:paraId="64132F14" w14:textId="77777777" w:rsidR="005B3006" w:rsidRPr="005B3006" w:rsidRDefault="005B3006" w:rsidP="005B3006">
      <w:pPr>
        <w:numPr>
          <w:ilvl w:val="0"/>
          <w:numId w:val="35"/>
        </w:numPr>
        <w:spacing w:line="276" w:lineRule="auto"/>
      </w:pPr>
      <w:r w:rsidRPr="005B3006">
        <w:rPr>
          <w:b/>
          <w:bCs/>
        </w:rPr>
        <w:t>Financial Markets and Risk Calculation</w:t>
      </w:r>
      <w:r w:rsidRPr="005B3006">
        <w:t>: Gaining insights into inter-market dynamics and employing risk assessment techniques to evaluate portfolio strategies.</w:t>
      </w:r>
    </w:p>
    <w:p w14:paraId="4F02055B" w14:textId="77777777" w:rsidR="005B3006" w:rsidRPr="005B3006" w:rsidRDefault="005B3006" w:rsidP="005B3006">
      <w:pPr>
        <w:numPr>
          <w:ilvl w:val="0"/>
          <w:numId w:val="35"/>
        </w:numPr>
        <w:spacing w:line="276" w:lineRule="auto"/>
      </w:pPr>
      <w:proofErr w:type="spellStart"/>
      <w:r w:rsidRPr="005B3006">
        <w:rPr>
          <w:b/>
          <w:bCs/>
        </w:rPr>
        <w:t>Streamlit</w:t>
      </w:r>
      <w:proofErr w:type="spellEnd"/>
      <w:r w:rsidRPr="005B3006">
        <w:t>: Building an interactive and user-friendly application to showcase predictive capabilities.</w:t>
      </w:r>
    </w:p>
    <w:p w14:paraId="3E3DEB9C" w14:textId="72F77A8E" w:rsidR="005B3006" w:rsidRDefault="005B3006" w:rsidP="005B3006">
      <w:pPr>
        <w:numPr>
          <w:ilvl w:val="0"/>
          <w:numId w:val="35"/>
        </w:numPr>
        <w:spacing w:line="276" w:lineRule="auto"/>
      </w:pPr>
      <w:r w:rsidRPr="005B3006">
        <w:rPr>
          <w:b/>
          <w:bCs/>
        </w:rPr>
        <w:t>GitHub</w:t>
      </w:r>
      <w:r w:rsidRPr="005B3006">
        <w:t>: Utilizing version control and collaboration tools for efficient project management and documentation.</w:t>
      </w:r>
    </w:p>
    <w:p w14:paraId="3CB8CE37" w14:textId="3B19AE13" w:rsidR="0055650C" w:rsidRPr="003B6B45" w:rsidRDefault="0125405E" w:rsidP="005B3006">
      <w:pPr>
        <w:pStyle w:val="Heading1"/>
        <w:spacing w:line="276" w:lineRule="auto"/>
        <w:rPr>
          <w:b/>
          <w:bCs/>
          <w:sz w:val="28"/>
          <w:szCs w:val="28"/>
        </w:rPr>
      </w:pPr>
      <w:bookmarkStart w:id="45" w:name="_Toc183953146"/>
      <w:bookmarkStart w:id="46" w:name="_Toc183981964"/>
      <w:r w:rsidRPr="003B6B45">
        <w:rPr>
          <w:b/>
          <w:bCs/>
          <w:sz w:val="28"/>
          <w:szCs w:val="28"/>
        </w:rPr>
        <w:t>REFERENCES</w:t>
      </w:r>
      <w:bookmarkEnd w:id="45"/>
      <w:bookmarkEnd w:id="46"/>
    </w:p>
    <w:p w14:paraId="6F0C62F7" w14:textId="77777777" w:rsidR="008D4233" w:rsidRDefault="00EE6925" w:rsidP="005B3006">
      <w:pPr>
        <w:pStyle w:val="ListParagraph"/>
        <w:numPr>
          <w:ilvl w:val="0"/>
          <w:numId w:val="3"/>
        </w:numPr>
        <w:spacing w:line="276" w:lineRule="auto"/>
      </w:pPr>
      <w:proofErr w:type="spellStart"/>
      <w:r w:rsidRPr="00EE6925">
        <w:t>Attarzadeh</w:t>
      </w:r>
      <w:proofErr w:type="spellEnd"/>
      <w:r w:rsidRPr="00EE6925">
        <w:t xml:space="preserve">, A., &amp; </w:t>
      </w:r>
      <w:proofErr w:type="spellStart"/>
      <w:r w:rsidRPr="00EE6925">
        <w:t>Balcilar</w:t>
      </w:r>
      <w:proofErr w:type="spellEnd"/>
      <w:r w:rsidRPr="00EE6925">
        <w:t xml:space="preserve">, M. (2022). Dynamic return and volatility connectedness of cryptocurrency, crude oil, clean energy, and stock markets. </w:t>
      </w:r>
      <w:r w:rsidRPr="008D4233">
        <w:rPr>
          <w:i/>
          <w:iCs/>
        </w:rPr>
        <w:t>Science of the Total Environment, 827</w:t>
      </w:r>
      <w:r w:rsidRPr="00EE6925">
        <w:t xml:space="preserve">, 154249. </w:t>
      </w:r>
      <w:hyperlink r:id="rId33" w:history="1">
        <w:r w:rsidR="00FB062A" w:rsidRPr="00EE6925">
          <w:rPr>
            <w:rStyle w:val="Hyperlink"/>
          </w:rPr>
          <w:t>https://doi.org/10.1016/j.scitotenv.2022.154249</w:t>
        </w:r>
      </w:hyperlink>
      <w:r w:rsidR="00FB062A">
        <w:t xml:space="preserve"> </w:t>
      </w:r>
    </w:p>
    <w:p w14:paraId="4FFF4D4D" w14:textId="77777777" w:rsidR="008D4233" w:rsidRDefault="00EE6925" w:rsidP="005B3006">
      <w:pPr>
        <w:pStyle w:val="ListParagraph"/>
        <w:numPr>
          <w:ilvl w:val="0"/>
          <w:numId w:val="3"/>
        </w:numPr>
        <w:spacing w:line="276" w:lineRule="auto"/>
      </w:pPr>
      <w:r w:rsidRPr="00EE6925">
        <w:t xml:space="preserve">Baur, D. G., &amp; Hoang, L. T. (2021). The Bitcoin-gold correlation puzzle. </w:t>
      </w:r>
      <w:r w:rsidRPr="008D4233">
        <w:rPr>
          <w:i/>
          <w:iCs/>
        </w:rPr>
        <w:t>Finance Research Letters, 38</w:t>
      </w:r>
      <w:r w:rsidRPr="00EE6925">
        <w:t xml:space="preserve">, 101428. </w:t>
      </w:r>
      <w:hyperlink r:id="rId34" w:history="1">
        <w:r w:rsidR="00FB062A" w:rsidRPr="00EE6925">
          <w:rPr>
            <w:rStyle w:val="Hyperlink"/>
          </w:rPr>
          <w:t>https://doi.org/10.1016/j.frl.2020.101428</w:t>
        </w:r>
      </w:hyperlink>
      <w:r w:rsidR="00FB062A">
        <w:t xml:space="preserve"> </w:t>
      </w:r>
    </w:p>
    <w:p w14:paraId="5E532447" w14:textId="77777777" w:rsidR="008D4233" w:rsidRDefault="00EE6925" w:rsidP="005B3006">
      <w:pPr>
        <w:pStyle w:val="ListParagraph"/>
        <w:numPr>
          <w:ilvl w:val="0"/>
          <w:numId w:val="3"/>
        </w:numPr>
        <w:spacing w:line="276" w:lineRule="auto"/>
      </w:pPr>
      <w:r w:rsidRPr="00EE6925">
        <w:t xml:space="preserve">Baur, D. G., &amp; McDermott, T. K. J. (2009). Is gold </w:t>
      </w:r>
      <w:proofErr w:type="gramStart"/>
      <w:r w:rsidRPr="00EE6925">
        <w:t>a safe haven</w:t>
      </w:r>
      <w:proofErr w:type="gramEnd"/>
      <w:r w:rsidRPr="00EE6925">
        <w:t xml:space="preserve">? International evidence. </w:t>
      </w:r>
      <w:r w:rsidRPr="008D4233">
        <w:rPr>
          <w:i/>
          <w:iCs/>
        </w:rPr>
        <w:t>Journal of Banking &amp; Finance, 34</w:t>
      </w:r>
      <w:r w:rsidRPr="00EE6925">
        <w:t xml:space="preserve">(8), 1886-1898. </w:t>
      </w:r>
      <w:hyperlink r:id="rId35" w:history="1">
        <w:r w:rsidR="00FB062A" w:rsidRPr="00EE6925">
          <w:rPr>
            <w:rStyle w:val="Hyperlink"/>
          </w:rPr>
          <w:t>https://doi.org/10.1016/j.jbankfin.2009.12.008</w:t>
        </w:r>
      </w:hyperlink>
      <w:r w:rsidR="00FB062A">
        <w:t xml:space="preserve"> </w:t>
      </w:r>
    </w:p>
    <w:p w14:paraId="32596842" w14:textId="77777777" w:rsidR="008D4233" w:rsidRDefault="00EE6925" w:rsidP="005B3006">
      <w:pPr>
        <w:pStyle w:val="ListParagraph"/>
        <w:numPr>
          <w:ilvl w:val="0"/>
          <w:numId w:val="3"/>
        </w:numPr>
        <w:spacing w:line="276" w:lineRule="auto"/>
      </w:pPr>
      <w:r w:rsidRPr="00EE6925">
        <w:t xml:space="preserve">Das, A., &amp; Jana, P. (2020). Bitcoin as a hedge against oil price volatility: A comparison with gold, commodity, and the US Dollar. </w:t>
      </w:r>
      <w:r w:rsidRPr="008D4233">
        <w:rPr>
          <w:i/>
          <w:iCs/>
        </w:rPr>
        <w:t>International Journal of Financial Markets and Derivatives, 7</w:t>
      </w:r>
      <w:r w:rsidRPr="00EE6925">
        <w:t xml:space="preserve">(4), 257–275. </w:t>
      </w:r>
      <w:hyperlink r:id="rId36" w:history="1">
        <w:r w:rsidR="00FB062A" w:rsidRPr="00EE6925">
          <w:rPr>
            <w:rStyle w:val="Hyperlink"/>
          </w:rPr>
          <w:t>https://doi.org/10.1504/IJFMD.2020.10027321</w:t>
        </w:r>
      </w:hyperlink>
      <w:r w:rsidR="00FB062A">
        <w:t xml:space="preserve"> </w:t>
      </w:r>
    </w:p>
    <w:p w14:paraId="4D0D614D" w14:textId="77777777" w:rsidR="008D4233" w:rsidRDefault="00EE6925" w:rsidP="005B3006">
      <w:pPr>
        <w:pStyle w:val="ListParagraph"/>
        <w:numPr>
          <w:ilvl w:val="0"/>
          <w:numId w:val="3"/>
        </w:numPr>
        <w:spacing w:line="276" w:lineRule="auto"/>
      </w:pPr>
      <w:proofErr w:type="spellStart"/>
      <w:r w:rsidRPr="00EE6925">
        <w:t>Koczar</w:t>
      </w:r>
      <w:proofErr w:type="spellEnd"/>
      <w:r w:rsidRPr="00EE6925">
        <w:t xml:space="preserve">, M. W., </w:t>
      </w:r>
      <w:proofErr w:type="spellStart"/>
      <w:r w:rsidRPr="00EE6925">
        <w:t>Jareño</w:t>
      </w:r>
      <w:proofErr w:type="spellEnd"/>
      <w:r w:rsidRPr="00EE6925">
        <w:t xml:space="preserve">, F., &amp; </w:t>
      </w:r>
      <w:proofErr w:type="spellStart"/>
      <w:r w:rsidRPr="00EE6925">
        <w:t>Escribano</w:t>
      </w:r>
      <w:proofErr w:type="spellEnd"/>
      <w:r w:rsidRPr="00EE6925">
        <w:t xml:space="preserve">, A. (2024). Dynamic linkages and contagion effects between crude oil prices, US market sector indices, and energy markets. </w:t>
      </w:r>
      <w:r w:rsidRPr="008D4233">
        <w:rPr>
          <w:i/>
          <w:iCs/>
        </w:rPr>
        <w:t>Energy Economics, 118</w:t>
      </w:r>
      <w:r w:rsidRPr="00EE6925">
        <w:t xml:space="preserve">, 106454. </w:t>
      </w:r>
      <w:hyperlink r:id="rId37" w:history="1">
        <w:r w:rsidR="00FB062A" w:rsidRPr="00EE6925">
          <w:rPr>
            <w:rStyle w:val="Hyperlink"/>
          </w:rPr>
          <w:t>https://doi.org/10.1016/j.eneco.2024.106454</w:t>
        </w:r>
      </w:hyperlink>
      <w:r w:rsidR="00FB062A">
        <w:t xml:space="preserve"> </w:t>
      </w:r>
    </w:p>
    <w:p w14:paraId="5F0CD46A" w14:textId="77777777" w:rsidR="005616BA" w:rsidRDefault="00EE6925" w:rsidP="005B3006">
      <w:pPr>
        <w:pStyle w:val="ListParagraph"/>
        <w:numPr>
          <w:ilvl w:val="0"/>
          <w:numId w:val="3"/>
        </w:numPr>
        <w:spacing w:line="276" w:lineRule="auto"/>
      </w:pPr>
      <w:r w:rsidRPr="00EE6925">
        <w:t xml:space="preserve">Lin, C., &amp; Yang, S. (2015). Does the value of the US dollar matter with the price of oil and gold? </w:t>
      </w:r>
      <w:r w:rsidRPr="008D4233">
        <w:rPr>
          <w:i/>
          <w:iCs/>
        </w:rPr>
        <w:t>Energy Economics, 50</w:t>
      </w:r>
      <w:r w:rsidRPr="00EE6925">
        <w:t xml:space="preserve">, 130–141. </w:t>
      </w:r>
      <w:hyperlink r:id="rId38" w:history="1">
        <w:r w:rsidR="00FB062A" w:rsidRPr="00EE6925">
          <w:rPr>
            <w:rStyle w:val="Hyperlink"/>
          </w:rPr>
          <w:t>https://doi.org/10.1016/j.eneco.2015.04.012</w:t>
        </w:r>
      </w:hyperlink>
      <w:r w:rsidR="00FB062A">
        <w:t xml:space="preserve"> </w:t>
      </w:r>
    </w:p>
    <w:p w14:paraId="77B33DCA" w14:textId="77777777" w:rsidR="005616BA" w:rsidRDefault="00EE6925" w:rsidP="005B3006">
      <w:pPr>
        <w:pStyle w:val="ListParagraph"/>
        <w:numPr>
          <w:ilvl w:val="0"/>
          <w:numId w:val="3"/>
        </w:numPr>
        <w:spacing w:line="276" w:lineRule="auto"/>
      </w:pPr>
      <w:r w:rsidRPr="00EE6925">
        <w:t xml:space="preserve">Suliman, T. H. M., &amp; Abid, M. (2020). The impacts of oil price on exchange rates: Evidence from Saudi Arabia. </w:t>
      </w:r>
      <w:r w:rsidRPr="005616BA">
        <w:rPr>
          <w:i/>
          <w:iCs/>
        </w:rPr>
        <w:t>International Economics, 163</w:t>
      </w:r>
      <w:r w:rsidRPr="00EE6925">
        <w:t xml:space="preserve">, 174–190. </w:t>
      </w:r>
      <w:hyperlink r:id="rId39" w:history="1">
        <w:r w:rsidR="00FB062A" w:rsidRPr="00EE6925">
          <w:rPr>
            <w:rStyle w:val="Hyperlink"/>
          </w:rPr>
          <w:t>https://doi.org/10.1016/j.inteco.2020.03.005</w:t>
        </w:r>
      </w:hyperlink>
      <w:r w:rsidR="00FB062A">
        <w:t xml:space="preserve"> </w:t>
      </w:r>
    </w:p>
    <w:p w14:paraId="517C8FA0" w14:textId="77777777" w:rsidR="005616BA" w:rsidRDefault="00EE6925" w:rsidP="005B3006">
      <w:pPr>
        <w:pStyle w:val="ListParagraph"/>
        <w:numPr>
          <w:ilvl w:val="0"/>
          <w:numId w:val="3"/>
        </w:numPr>
        <w:spacing w:line="276" w:lineRule="auto"/>
      </w:pPr>
      <w:r w:rsidRPr="00EE6925">
        <w:t xml:space="preserve">Zhang, Y., &amp; Zhou, L. (2023). Higher-order moment nexus between the US Dollar, crude oil, gold, and Bitcoin. </w:t>
      </w:r>
      <w:r w:rsidRPr="005616BA">
        <w:rPr>
          <w:i/>
          <w:iCs/>
        </w:rPr>
        <w:t>North American Journal of Economics and Finance, 67</w:t>
      </w:r>
      <w:r w:rsidRPr="00EE6925">
        <w:t xml:space="preserve">, 101694. </w:t>
      </w:r>
      <w:hyperlink r:id="rId40" w:history="1">
        <w:r w:rsidR="00FB062A" w:rsidRPr="00EE6925">
          <w:rPr>
            <w:rStyle w:val="Hyperlink"/>
          </w:rPr>
          <w:t>https://doi.org/10.1016/j.najef.2023.101694</w:t>
        </w:r>
      </w:hyperlink>
    </w:p>
    <w:p w14:paraId="3448E821" w14:textId="77777777" w:rsidR="00010FC5" w:rsidRDefault="00010FC5" w:rsidP="005B3006">
      <w:pPr>
        <w:pStyle w:val="ListParagraph"/>
        <w:numPr>
          <w:ilvl w:val="0"/>
          <w:numId w:val="3"/>
        </w:numPr>
        <w:spacing w:line="276" w:lineRule="auto"/>
      </w:pPr>
      <w:r w:rsidRPr="00010FC5">
        <w:t xml:space="preserve">Chen, J. (2024, October 19). </w:t>
      </w:r>
      <w:r w:rsidRPr="00010FC5">
        <w:rPr>
          <w:i/>
          <w:iCs/>
        </w:rPr>
        <w:t>What is the U.S. Dollar Index (USDX) and how to trade it</w:t>
      </w:r>
      <w:r w:rsidRPr="00010FC5">
        <w:t xml:space="preserve">. Investopedia. </w:t>
      </w:r>
      <w:hyperlink r:id="rId41" w:tgtFrame="_new" w:history="1">
        <w:r w:rsidRPr="00010FC5">
          <w:rPr>
            <w:rStyle w:val="Hyperlink"/>
          </w:rPr>
          <w:t>https://www.investopedia.com/terms/u/usdx.asp</w:t>
        </w:r>
      </w:hyperlink>
    </w:p>
    <w:p w14:paraId="0CC4545C" w14:textId="1755090D" w:rsidR="00D16B25" w:rsidRPr="009B207B" w:rsidRDefault="005921C5" w:rsidP="005B3006">
      <w:pPr>
        <w:pStyle w:val="ListParagraph"/>
        <w:numPr>
          <w:ilvl w:val="0"/>
          <w:numId w:val="3"/>
        </w:numPr>
        <w:spacing w:line="276" w:lineRule="auto"/>
      </w:pPr>
      <w:hyperlink r:id="rId42" w:history="1">
        <w:r w:rsidRPr="009B207B">
          <w:rPr>
            <w:rStyle w:val="Hyperlink"/>
          </w:rPr>
          <w:t>https://www.kaspersky.com/resource-center/definitions/what-is-cryptocurrency</w:t>
        </w:r>
      </w:hyperlink>
    </w:p>
    <w:p w14:paraId="237DA673" w14:textId="0BD02168" w:rsidR="0005441B" w:rsidRPr="003B6B45" w:rsidRDefault="00A93BC6" w:rsidP="005B3006">
      <w:pPr>
        <w:pStyle w:val="Heading1"/>
        <w:spacing w:line="276" w:lineRule="auto"/>
        <w:rPr>
          <w:b/>
          <w:bCs/>
          <w:sz w:val="28"/>
          <w:szCs w:val="28"/>
        </w:rPr>
      </w:pPr>
      <w:bookmarkStart w:id="47" w:name="_Toc183953147"/>
      <w:bookmarkStart w:id="48" w:name="_Toc183981965"/>
      <w:r w:rsidRPr="003B6B45">
        <w:rPr>
          <w:b/>
          <w:bCs/>
          <w:sz w:val="28"/>
          <w:szCs w:val="28"/>
        </w:rPr>
        <w:t xml:space="preserve">APPENDIX &amp; </w:t>
      </w:r>
      <w:r w:rsidR="0125405E" w:rsidRPr="003B6B45">
        <w:rPr>
          <w:b/>
          <w:bCs/>
          <w:sz w:val="28"/>
          <w:szCs w:val="28"/>
        </w:rPr>
        <w:t>GLOSSARY</w:t>
      </w:r>
      <w:bookmarkEnd w:id="47"/>
      <w:bookmarkEnd w:id="48"/>
    </w:p>
    <w:p w14:paraId="5347A842" w14:textId="37E50E2C" w:rsidR="000F3ED1" w:rsidRPr="009B207B" w:rsidRDefault="000F3ED1" w:rsidP="005B3006">
      <w:pPr>
        <w:pStyle w:val="ListParagraph"/>
        <w:numPr>
          <w:ilvl w:val="0"/>
          <w:numId w:val="6"/>
        </w:numPr>
        <w:spacing w:line="276" w:lineRule="auto"/>
      </w:pPr>
      <w:r w:rsidRPr="00895A30">
        <w:rPr>
          <w:b/>
          <w:bCs/>
          <w:i/>
          <w:iCs/>
        </w:rPr>
        <w:t xml:space="preserve">US </w:t>
      </w:r>
      <w:r w:rsidR="00597C54" w:rsidRPr="00895A30">
        <w:rPr>
          <w:b/>
          <w:bCs/>
          <w:i/>
          <w:iCs/>
        </w:rPr>
        <w:t>Dollar Index</w:t>
      </w:r>
      <w:r w:rsidR="00597C54" w:rsidRPr="009B207B">
        <w:t xml:space="preserve"> - </w:t>
      </w:r>
      <w:r w:rsidRPr="009B207B">
        <w:t>The U.S. dollar index is a measure of the value of the U.S. dollar relative to a basket of foreign currencies. The USDX was established by the U.S. Federal Reserve in 1973 after the dissolution of the Bretton Woods Agreement. It is now maintained by ICE Data Indices, a subsidiary of the Intercontinental Exchange (ICE).</w:t>
      </w:r>
    </w:p>
    <w:p w14:paraId="2EC9E561" w14:textId="20D37BB9" w:rsidR="0005441B" w:rsidRDefault="00A20341" w:rsidP="005B3006">
      <w:pPr>
        <w:pStyle w:val="ListParagraph"/>
        <w:numPr>
          <w:ilvl w:val="0"/>
          <w:numId w:val="6"/>
        </w:numPr>
        <w:spacing w:line="276" w:lineRule="auto"/>
      </w:pPr>
      <w:r w:rsidRPr="00895A30">
        <w:rPr>
          <w:b/>
          <w:bCs/>
        </w:rPr>
        <w:t>Cryp</w:t>
      </w:r>
      <w:r w:rsidR="009843B9" w:rsidRPr="00895A30">
        <w:rPr>
          <w:b/>
          <w:bCs/>
        </w:rPr>
        <w:t xml:space="preserve">tocurrency </w:t>
      </w:r>
      <w:r w:rsidR="009843B9" w:rsidRPr="009B207B">
        <w:t xml:space="preserve">- </w:t>
      </w:r>
      <w:r w:rsidR="00972A93" w:rsidRPr="009B207B">
        <w:t>Cryptocurrency, sometimes called crypto-currency or crypto, is any form of currency that exists digitally or virtually and uses cryptography to secure transactions. </w:t>
      </w:r>
    </w:p>
    <w:p w14:paraId="29CFE35B" w14:textId="79752C2A" w:rsidR="00F87711" w:rsidRDefault="00F87711" w:rsidP="005B3006">
      <w:pPr>
        <w:pStyle w:val="ListParagraph"/>
        <w:numPr>
          <w:ilvl w:val="0"/>
          <w:numId w:val="6"/>
        </w:numPr>
        <w:spacing w:line="276" w:lineRule="auto"/>
      </w:pPr>
      <w:r w:rsidRPr="00895A30">
        <w:rPr>
          <w:b/>
          <w:bCs/>
          <w:i/>
          <w:iCs/>
        </w:rPr>
        <w:t>Decomposition</w:t>
      </w:r>
      <w:r w:rsidRPr="00F87711">
        <w:t xml:space="preserve"> is a statistical method used in time series analysis to break down a series into its key components</w:t>
      </w:r>
      <w:r w:rsidR="00E41693">
        <w:t xml:space="preserve"> (trend, seasonality, residuals, observed values)</w:t>
      </w:r>
    </w:p>
    <w:p w14:paraId="1B6237A5" w14:textId="7A8260FD" w:rsidR="008328ED" w:rsidRDefault="0030178F" w:rsidP="005B3006">
      <w:pPr>
        <w:spacing w:line="276" w:lineRule="auto"/>
      </w:pPr>
      <w:r w:rsidRPr="00BE719D">
        <w:rPr>
          <w:noProof/>
        </w:rPr>
        <w:drawing>
          <wp:anchor distT="0" distB="0" distL="114300" distR="114300" simplePos="0" relativeHeight="251658242" behindDoc="0" locked="0" layoutInCell="1" allowOverlap="1" wp14:anchorId="15552F94" wp14:editId="74994103">
            <wp:simplePos x="0" y="0"/>
            <wp:positionH relativeFrom="column">
              <wp:posOffset>3377565</wp:posOffset>
            </wp:positionH>
            <wp:positionV relativeFrom="paragraph">
              <wp:posOffset>389255</wp:posOffset>
            </wp:positionV>
            <wp:extent cx="3073400" cy="2279650"/>
            <wp:effectExtent l="0" t="0" r="0" b="6350"/>
            <wp:wrapSquare wrapText="bothSides"/>
            <wp:docPr id="542673461" name="Picture 1"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3461" name="Picture 1" descr="A graph of oil pric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73400" cy="2279650"/>
                    </a:xfrm>
                    <a:prstGeom prst="rect">
                      <a:avLst/>
                    </a:prstGeom>
                  </pic:spPr>
                </pic:pic>
              </a:graphicData>
            </a:graphic>
            <wp14:sizeRelH relativeFrom="margin">
              <wp14:pctWidth>0</wp14:pctWidth>
            </wp14:sizeRelH>
            <wp14:sizeRelV relativeFrom="margin">
              <wp14:pctHeight>0</wp14:pctHeight>
            </wp14:sizeRelV>
          </wp:anchor>
        </w:drawing>
      </w:r>
      <w:r w:rsidRPr="00E60B6F">
        <w:rPr>
          <w:noProof/>
        </w:rPr>
        <w:drawing>
          <wp:anchor distT="0" distB="0" distL="114300" distR="114300" simplePos="0" relativeHeight="251658244" behindDoc="0" locked="0" layoutInCell="1" allowOverlap="1" wp14:anchorId="0B9306FC" wp14:editId="7F9E3D0E">
            <wp:simplePos x="0" y="0"/>
            <wp:positionH relativeFrom="margin">
              <wp:align>left</wp:align>
            </wp:positionH>
            <wp:positionV relativeFrom="paragraph">
              <wp:posOffset>325755</wp:posOffset>
            </wp:positionV>
            <wp:extent cx="3128010" cy="2343150"/>
            <wp:effectExtent l="0" t="0" r="0" b="0"/>
            <wp:wrapSquare wrapText="bothSides"/>
            <wp:docPr id="51351802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8025" name="Picture 1" descr="A graph of a graph of a graph&#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8010" cy="2343150"/>
                    </a:xfrm>
                    <a:prstGeom prst="rect">
                      <a:avLst/>
                    </a:prstGeom>
                  </pic:spPr>
                </pic:pic>
              </a:graphicData>
            </a:graphic>
            <wp14:sizeRelH relativeFrom="margin">
              <wp14:pctWidth>0</wp14:pctWidth>
            </wp14:sizeRelH>
            <wp14:sizeRelV relativeFrom="margin">
              <wp14:pctHeight>0</wp14:pctHeight>
            </wp14:sizeRelV>
          </wp:anchor>
        </w:drawing>
      </w:r>
    </w:p>
    <w:p w14:paraId="04DA34C5" w14:textId="206C6C45" w:rsidR="008328ED" w:rsidRPr="00A975C3" w:rsidRDefault="008328ED" w:rsidP="005B3006">
      <w:pPr>
        <w:spacing w:line="276" w:lineRule="auto"/>
      </w:pPr>
    </w:p>
    <w:p w14:paraId="0D442223" w14:textId="751D52AF" w:rsidR="00F34233" w:rsidRPr="00525D94" w:rsidRDefault="0030178F" w:rsidP="005B3006">
      <w:pPr>
        <w:spacing w:line="276" w:lineRule="auto"/>
      </w:pPr>
      <w:r w:rsidRPr="00591A42">
        <w:rPr>
          <w:noProof/>
        </w:rPr>
        <w:drawing>
          <wp:anchor distT="0" distB="0" distL="114300" distR="114300" simplePos="0" relativeHeight="251658243" behindDoc="0" locked="0" layoutInCell="1" allowOverlap="1" wp14:anchorId="5C09DA2C" wp14:editId="15C9F3E4">
            <wp:simplePos x="0" y="0"/>
            <wp:positionH relativeFrom="margin">
              <wp:align>left</wp:align>
            </wp:positionH>
            <wp:positionV relativeFrom="paragraph">
              <wp:posOffset>81915</wp:posOffset>
            </wp:positionV>
            <wp:extent cx="3223260" cy="2415540"/>
            <wp:effectExtent l="0" t="0" r="0" b="3810"/>
            <wp:wrapSquare wrapText="bothSides"/>
            <wp:docPr id="2096144667"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44667" name="Picture 1" descr="A graph of a graph of a graph&#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3260" cy="2415540"/>
                    </a:xfrm>
                    <a:prstGeom prst="rect">
                      <a:avLst/>
                    </a:prstGeom>
                  </pic:spPr>
                </pic:pic>
              </a:graphicData>
            </a:graphic>
            <wp14:sizeRelH relativeFrom="margin">
              <wp14:pctWidth>0</wp14:pctWidth>
            </wp14:sizeRelH>
            <wp14:sizeRelV relativeFrom="margin">
              <wp14:pctHeight>0</wp14:pctHeight>
            </wp14:sizeRelV>
          </wp:anchor>
        </w:drawing>
      </w:r>
      <w:r w:rsidR="008328ED">
        <w:br w:type="textWrapping" w:clear="all"/>
      </w:r>
    </w:p>
    <w:sectPr w:rsidR="00F34233" w:rsidRPr="00525D94">
      <w:headerReference w:type="default"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88DF2" w14:textId="77777777" w:rsidR="00735220" w:rsidRDefault="00735220" w:rsidP="007938A7">
      <w:pPr>
        <w:spacing w:after="0" w:line="240" w:lineRule="auto"/>
      </w:pPr>
      <w:r>
        <w:separator/>
      </w:r>
    </w:p>
  </w:endnote>
  <w:endnote w:type="continuationSeparator" w:id="0">
    <w:p w14:paraId="42A47950" w14:textId="77777777" w:rsidR="00735220" w:rsidRDefault="00735220" w:rsidP="007938A7">
      <w:pPr>
        <w:spacing w:after="0" w:line="240" w:lineRule="auto"/>
      </w:pPr>
      <w:r>
        <w:continuationSeparator/>
      </w:r>
    </w:p>
  </w:endnote>
  <w:endnote w:type="continuationNotice" w:id="1">
    <w:p w14:paraId="2923BD98" w14:textId="77777777" w:rsidR="00735220" w:rsidRDefault="007352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0F05F" w14:textId="41160773" w:rsidR="007938A7" w:rsidRPr="00EE6FE0" w:rsidRDefault="007938A7" w:rsidP="6E96201F">
    <w:pPr>
      <w:pStyle w:val="Footer"/>
      <w:jc w:val="center"/>
    </w:pPr>
    <w:r>
      <w:fldChar w:fldCharType="begin"/>
    </w:r>
    <w:r>
      <w:instrText>PAGE</w:instrText>
    </w:r>
    <w:r>
      <w:fldChar w:fldCharType="separate"/>
    </w:r>
    <w:r w:rsidR="0065429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E96201F" w14:paraId="77DA8CEE" w14:textId="77777777" w:rsidTr="6E96201F">
      <w:trPr>
        <w:trHeight w:val="300"/>
      </w:trPr>
      <w:tc>
        <w:tcPr>
          <w:tcW w:w="3120" w:type="dxa"/>
        </w:tcPr>
        <w:p w14:paraId="669A185A" w14:textId="66EEB2EF" w:rsidR="6E96201F" w:rsidRDefault="6E96201F" w:rsidP="6E96201F">
          <w:pPr>
            <w:pStyle w:val="Header"/>
            <w:ind w:left="-115"/>
          </w:pPr>
        </w:p>
      </w:tc>
      <w:tc>
        <w:tcPr>
          <w:tcW w:w="3120" w:type="dxa"/>
        </w:tcPr>
        <w:p w14:paraId="2AA6F568" w14:textId="79D6FC59" w:rsidR="6E96201F" w:rsidRDefault="6E96201F" w:rsidP="6E96201F">
          <w:pPr>
            <w:pStyle w:val="Header"/>
            <w:jc w:val="center"/>
          </w:pPr>
        </w:p>
      </w:tc>
      <w:tc>
        <w:tcPr>
          <w:tcW w:w="3120" w:type="dxa"/>
        </w:tcPr>
        <w:p w14:paraId="20102984" w14:textId="60089AB7" w:rsidR="6E96201F" w:rsidRDefault="6E96201F" w:rsidP="6E96201F">
          <w:pPr>
            <w:pStyle w:val="Header"/>
            <w:ind w:right="-115"/>
            <w:jc w:val="right"/>
          </w:pPr>
        </w:p>
      </w:tc>
    </w:tr>
  </w:tbl>
  <w:p w14:paraId="5BA72079" w14:textId="5E4C6104" w:rsidR="6E96201F" w:rsidRDefault="6E96201F" w:rsidP="6E962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AAFCF" w14:textId="77777777" w:rsidR="00735220" w:rsidRDefault="00735220" w:rsidP="007938A7">
      <w:pPr>
        <w:spacing w:after="0" w:line="240" w:lineRule="auto"/>
      </w:pPr>
      <w:r>
        <w:separator/>
      </w:r>
    </w:p>
  </w:footnote>
  <w:footnote w:type="continuationSeparator" w:id="0">
    <w:p w14:paraId="03E21168" w14:textId="77777777" w:rsidR="00735220" w:rsidRDefault="00735220" w:rsidP="007938A7">
      <w:pPr>
        <w:spacing w:after="0" w:line="240" w:lineRule="auto"/>
      </w:pPr>
      <w:r>
        <w:continuationSeparator/>
      </w:r>
    </w:p>
  </w:footnote>
  <w:footnote w:type="continuationNotice" w:id="1">
    <w:p w14:paraId="4A4DC77E" w14:textId="77777777" w:rsidR="00735220" w:rsidRDefault="007352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3924191"/>
      <w:docPartObj>
        <w:docPartGallery w:val="Page Numbers (Top of Page)"/>
        <w:docPartUnique/>
      </w:docPartObj>
    </w:sdtPr>
    <w:sdtEndPr>
      <w:rPr>
        <w:noProof/>
      </w:rPr>
    </w:sdtEndPr>
    <w:sdtContent>
      <w:p w14:paraId="25CC0EB6" w14:textId="333FEBD1" w:rsidR="00A574D7" w:rsidRDefault="6E96201F" w:rsidP="6E96201F">
        <w:pPr>
          <w:pStyle w:val="Footer"/>
          <w:jc w:val="right"/>
          <w:rPr>
            <w:color w:val="747474" w:themeColor="background2" w:themeShade="80"/>
            <w:sz w:val="18"/>
            <w:szCs w:val="18"/>
          </w:rPr>
        </w:pPr>
        <w:r w:rsidRPr="6E96201F">
          <w:rPr>
            <w:color w:val="747474" w:themeColor="background2" w:themeShade="80"/>
            <w:sz w:val="18"/>
            <w:szCs w:val="18"/>
          </w:rPr>
          <w:t>Prediction changes in DXY based on gold, oil and cryptocurrency prices</w:t>
        </w:r>
      </w:p>
    </w:sdtContent>
  </w:sdt>
  <w:p w14:paraId="364CAA37" w14:textId="77777777" w:rsidR="00A574D7" w:rsidRDefault="00A574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E96201F" w14:paraId="11D27E9E" w14:textId="77777777" w:rsidTr="6E96201F">
      <w:trPr>
        <w:trHeight w:val="300"/>
      </w:trPr>
      <w:tc>
        <w:tcPr>
          <w:tcW w:w="3120" w:type="dxa"/>
        </w:tcPr>
        <w:p w14:paraId="1C680A5F" w14:textId="3E334967" w:rsidR="6E96201F" w:rsidRDefault="6E96201F" w:rsidP="6E96201F">
          <w:pPr>
            <w:pStyle w:val="Header"/>
            <w:ind w:left="-115"/>
          </w:pPr>
        </w:p>
      </w:tc>
      <w:tc>
        <w:tcPr>
          <w:tcW w:w="3120" w:type="dxa"/>
        </w:tcPr>
        <w:p w14:paraId="688B0FAE" w14:textId="1259CDF7" w:rsidR="6E96201F" w:rsidRDefault="6E96201F" w:rsidP="6E96201F">
          <w:pPr>
            <w:pStyle w:val="Header"/>
            <w:jc w:val="center"/>
          </w:pPr>
        </w:p>
      </w:tc>
      <w:tc>
        <w:tcPr>
          <w:tcW w:w="3120" w:type="dxa"/>
        </w:tcPr>
        <w:sdt>
          <w:sdtPr>
            <w:id w:val="211084625"/>
            <w:docPartObj>
              <w:docPartGallery w:val="Page Numbers (Top of Page)"/>
              <w:docPartUnique/>
            </w:docPartObj>
          </w:sdtPr>
          <w:sdtEndPr>
            <w:rPr>
              <w:noProof/>
            </w:rPr>
          </w:sdtEndPr>
          <w:sdtContent>
            <w:p w14:paraId="5E80533D" w14:textId="34D0D176" w:rsidR="00A97CE4" w:rsidRDefault="00A97CE4" w:rsidP="009E17D3">
              <w:pPr>
                <w:pStyle w:val="Footer"/>
                <w:jc w:val="right"/>
                <w:rPr>
                  <w:noProof/>
                </w:rPr>
              </w:pPr>
              <w:r w:rsidRPr="6E96201F">
                <w:rPr>
                  <w:color w:val="747474" w:themeColor="background2" w:themeShade="80"/>
                  <w:sz w:val="18"/>
                  <w:szCs w:val="18"/>
                </w:rPr>
                <w:t>Prediction changes in DXY based o</w:t>
              </w:r>
              <w:r w:rsidR="007E3C87">
                <w:rPr>
                  <w:color w:val="747474" w:themeColor="background2" w:themeShade="80"/>
                  <w:sz w:val="18"/>
                  <w:szCs w:val="18"/>
                </w:rPr>
                <w:t xml:space="preserve">n </w:t>
              </w:r>
              <w:r w:rsidRPr="6E96201F">
                <w:rPr>
                  <w:color w:val="747474" w:themeColor="background2" w:themeShade="80"/>
                  <w:sz w:val="18"/>
                  <w:szCs w:val="18"/>
                </w:rPr>
                <w:t>gold, oil and cryptocurrency prices</w:t>
              </w:r>
            </w:p>
          </w:sdtContent>
        </w:sdt>
        <w:p w14:paraId="763476B7" w14:textId="599DB12E" w:rsidR="6E96201F" w:rsidRDefault="6E96201F" w:rsidP="6E96201F">
          <w:pPr>
            <w:pStyle w:val="Header"/>
            <w:ind w:right="-115"/>
            <w:jc w:val="right"/>
          </w:pPr>
        </w:p>
      </w:tc>
    </w:tr>
  </w:tbl>
  <w:p w14:paraId="0E7E37B3" w14:textId="3D6F937B" w:rsidR="6E96201F" w:rsidRDefault="6E96201F" w:rsidP="6E962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175D"/>
    <w:multiLevelType w:val="hybridMultilevel"/>
    <w:tmpl w:val="829AB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F058C"/>
    <w:multiLevelType w:val="hybridMultilevel"/>
    <w:tmpl w:val="D32618A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F95329"/>
    <w:multiLevelType w:val="multilevel"/>
    <w:tmpl w:val="26CA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A4785"/>
    <w:multiLevelType w:val="hybridMultilevel"/>
    <w:tmpl w:val="FFFFFFFF"/>
    <w:lvl w:ilvl="0" w:tplc="50729AA2">
      <w:start w:val="1"/>
      <w:numFmt w:val="bullet"/>
      <w:lvlText w:val=""/>
      <w:lvlJc w:val="left"/>
      <w:pPr>
        <w:ind w:left="720" w:hanging="360"/>
      </w:pPr>
      <w:rPr>
        <w:rFonts w:ascii="Symbol" w:hAnsi="Symbol" w:hint="default"/>
      </w:rPr>
    </w:lvl>
    <w:lvl w:ilvl="1" w:tplc="CB680500">
      <w:start w:val="1"/>
      <w:numFmt w:val="bullet"/>
      <w:lvlText w:val="o"/>
      <w:lvlJc w:val="left"/>
      <w:pPr>
        <w:ind w:left="1440" w:hanging="360"/>
      </w:pPr>
      <w:rPr>
        <w:rFonts w:ascii="Courier New" w:hAnsi="Courier New" w:hint="default"/>
      </w:rPr>
    </w:lvl>
    <w:lvl w:ilvl="2" w:tplc="4EFEEFD2">
      <w:start w:val="1"/>
      <w:numFmt w:val="bullet"/>
      <w:lvlText w:val=""/>
      <w:lvlJc w:val="left"/>
      <w:pPr>
        <w:ind w:left="2160" w:hanging="360"/>
      </w:pPr>
      <w:rPr>
        <w:rFonts w:ascii="Wingdings" w:hAnsi="Wingdings" w:hint="default"/>
      </w:rPr>
    </w:lvl>
    <w:lvl w:ilvl="3" w:tplc="EB0022B6">
      <w:start w:val="1"/>
      <w:numFmt w:val="bullet"/>
      <w:lvlText w:val=""/>
      <w:lvlJc w:val="left"/>
      <w:pPr>
        <w:ind w:left="2880" w:hanging="360"/>
      </w:pPr>
      <w:rPr>
        <w:rFonts w:ascii="Symbol" w:hAnsi="Symbol" w:hint="default"/>
      </w:rPr>
    </w:lvl>
    <w:lvl w:ilvl="4" w:tplc="26A04448">
      <w:start w:val="1"/>
      <w:numFmt w:val="bullet"/>
      <w:lvlText w:val="o"/>
      <w:lvlJc w:val="left"/>
      <w:pPr>
        <w:ind w:left="3600" w:hanging="360"/>
      </w:pPr>
      <w:rPr>
        <w:rFonts w:ascii="Courier New" w:hAnsi="Courier New" w:hint="default"/>
      </w:rPr>
    </w:lvl>
    <w:lvl w:ilvl="5" w:tplc="081EB7F4">
      <w:start w:val="1"/>
      <w:numFmt w:val="bullet"/>
      <w:lvlText w:val=""/>
      <w:lvlJc w:val="left"/>
      <w:pPr>
        <w:ind w:left="4320" w:hanging="360"/>
      </w:pPr>
      <w:rPr>
        <w:rFonts w:ascii="Wingdings" w:hAnsi="Wingdings" w:hint="default"/>
      </w:rPr>
    </w:lvl>
    <w:lvl w:ilvl="6" w:tplc="88883618">
      <w:start w:val="1"/>
      <w:numFmt w:val="bullet"/>
      <w:lvlText w:val=""/>
      <w:lvlJc w:val="left"/>
      <w:pPr>
        <w:ind w:left="5040" w:hanging="360"/>
      </w:pPr>
      <w:rPr>
        <w:rFonts w:ascii="Symbol" w:hAnsi="Symbol" w:hint="default"/>
      </w:rPr>
    </w:lvl>
    <w:lvl w:ilvl="7" w:tplc="9E048A14">
      <w:start w:val="1"/>
      <w:numFmt w:val="bullet"/>
      <w:lvlText w:val="o"/>
      <w:lvlJc w:val="left"/>
      <w:pPr>
        <w:ind w:left="5760" w:hanging="360"/>
      </w:pPr>
      <w:rPr>
        <w:rFonts w:ascii="Courier New" w:hAnsi="Courier New" w:hint="default"/>
      </w:rPr>
    </w:lvl>
    <w:lvl w:ilvl="8" w:tplc="C060D25A">
      <w:start w:val="1"/>
      <w:numFmt w:val="bullet"/>
      <w:lvlText w:val=""/>
      <w:lvlJc w:val="left"/>
      <w:pPr>
        <w:ind w:left="6480" w:hanging="360"/>
      </w:pPr>
      <w:rPr>
        <w:rFonts w:ascii="Wingdings" w:hAnsi="Wingdings" w:hint="default"/>
      </w:rPr>
    </w:lvl>
  </w:abstractNum>
  <w:abstractNum w:abstractNumId="4" w15:restartNumberingAfterBreak="0">
    <w:nsid w:val="172A6CE3"/>
    <w:multiLevelType w:val="multilevel"/>
    <w:tmpl w:val="00B6B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73451"/>
    <w:multiLevelType w:val="multilevel"/>
    <w:tmpl w:val="8C8A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F769A"/>
    <w:multiLevelType w:val="hybridMultilevel"/>
    <w:tmpl w:val="76A89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859F4"/>
    <w:multiLevelType w:val="hybridMultilevel"/>
    <w:tmpl w:val="FFFFFFFF"/>
    <w:lvl w:ilvl="0" w:tplc="EA6CB974">
      <w:start w:val="1"/>
      <w:numFmt w:val="decimal"/>
      <w:lvlText w:val="%1."/>
      <w:lvlJc w:val="left"/>
      <w:pPr>
        <w:ind w:left="720" w:hanging="360"/>
      </w:pPr>
    </w:lvl>
    <w:lvl w:ilvl="1" w:tplc="19E4B55A">
      <w:start w:val="1"/>
      <w:numFmt w:val="lowerLetter"/>
      <w:lvlText w:val="%2."/>
      <w:lvlJc w:val="left"/>
      <w:pPr>
        <w:ind w:left="1440" w:hanging="360"/>
      </w:pPr>
    </w:lvl>
    <w:lvl w:ilvl="2" w:tplc="E2BA8502">
      <w:start w:val="1"/>
      <w:numFmt w:val="lowerRoman"/>
      <w:lvlText w:val="%3."/>
      <w:lvlJc w:val="right"/>
      <w:pPr>
        <w:ind w:left="2160" w:hanging="180"/>
      </w:pPr>
    </w:lvl>
    <w:lvl w:ilvl="3" w:tplc="2348C30A">
      <w:start w:val="1"/>
      <w:numFmt w:val="decimal"/>
      <w:lvlText w:val="%4."/>
      <w:lvlJc w:val="left"/>
      <w:pPr>
        <w:ind w:left="2880" w:hanging="360"/>
      </w:pPr>
    </w:lvl>
    <w:lvl w:ilvl="4" w:tplc="FDEA9ACE">
      <w:start w:val="1"/>
      <w:numFmt w:val="lowerLetter"/>
      <w:lvlText w:val="%5."/>
      <w:lvlJc w:val="left"/>
      <w:pPr>
        <w:ind w:left="3600" w:hanging="360"/>
      </w:pPr>
    </w:lvl>
    <w:lvl w:ilvl="5" w:tplc="513CE5D0">
      <w:start w:val="1"/>
      <w:numFmt w:val="lowerRoman"/>
      <w:lvlText w:val="%6."/>
      <w:lvlJc w:val="right"/>
      <w:pPr>
        <w:ind w:left="4320" w:hanging="180"/>
      </w:pPr>
    </w:lvl>
    <w:lvl w:ilvl="6" w:tplc="205CEFBC">
      <w:start w:val="1"/>
      <w:numFmt w:val="decimal"/>
      <w:lvlText w:val="%7."/>
      <w:lvlJc w:val="left"/>
      <w:pPr>
        <w:ind w:left="5040" w:hanging="360"/>
      </w:pPr>
    </w:lvl>
    <w:lvl w:ilvl="7" w:tplc="900CA174">
      <w:start w:val="1"/>
      <w:numFmt w:val="lowerLetter"/>
      <w:lvlText w:val="%8."/>
      <w:lvlJc w:val="left"/>
      <w:pPr>
        <w:ind w:left="5760" w:hanging="360"/>
      </w:pPr>
    </w:lvl>
    <w:lvl w:ilvl="8" w:tplc="60F8A958">
      <w:start w:val="1"/>
      <w:numFmt w:val="lowerRoman"/>
      <w:lvlText w:val="%9."/>
      <w:lvlJc w:val="right"/>
      <w:pPr>
        <w:ind w:left="6480" w:hanging="180"/>
      </w:pPr>
    </w:lvl>
  </w:abstractNum>
  <w:abstractNum w:abstractNumId="8" w15:restartNumberingAfterBreak="0">
    <w:nsid w:val="224737BF"/>
    <w:multiLevelType w:val="hybridMultilevel"/>
    <w:tmpl w:val="AA48070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24574AFA"/>
    <w:multiLevelType w:val="multilevel"/>
    <w:tmpl w:val="3B8C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11E06"/>
    <w:multiLevelType w:val="multilevel"/>
    <w:tmpl w:val="FF60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642B6"/>
    <w:multiLevelType w:val="multilevel"/>
    <w:tmpl w:val="2A48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C442A"/>
    <w:multiLevelType w:val="multilevel"/>
    <w:tmpl w:val="A044F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28D455"/>
    <w:multiLevelType w:val="hybridMultilevel"/>
    <w:tmpl w:val="FFFFFFFF"/>
    <w:lvl w:ilvl="0" w:tplc="4C0618E0">
      <w:start w:val="1"/>
      <w:numFmt w:val="bullet"/>
      <w:lvlText w:val="-"/>
      <w:lvlJc w:val="left"/>
      <w:pPr>
        <w:ind w:left="720" w:hanging="360"/>
      </w:pPr>
      <w:rPr>
        <w:rFonts w:ascii="Aptos" w:hAnsi="Aptos" w:hint="default"/>
      </w:rPr>
    </w:lvl>
    <w:lvl w:ilvl="1" w:tplc="CF6AA0A4">
      <w:start w:val="1"/>
      <w:numFmt w:val="bullet"/>
      <w:lvlText w:val="o"/>
      <w:lvlJc w:val="left"/>
      <w:pPr>
        <w:ind w:left="1440" w:hanging="360"/>
      </w:pPr>
      <w:rPr>
        <w:rFonts w:ascii="Courier New" w:hAnsi="Courier New" w:hint="default"/>
      </w:rPr>
    </w:lvl>
    <w:lvl w:ilvl="2" w:tplc="5838C3C8">
      <w:start w:val="1"/>
      <w:numFmt w:val="bullet"/>
      <w:lvlText w:val=""/>
      <w:lvlJc w:val="left"/>
      <w:pPr>
        <w:ind w:left="2160" w:hanging="360"/>
      </w:pPr>
      <w:rPr>
        <w:rFonts w:ascii="Wingdings" w:hAnsi="Wingdings" w:hint="default"/>
      </w:rPr>
    </w:lvl>
    <w:lvl w:ilvl="3" w:tplc="6734A650">
      <w:start w:val="1"/>
      <w:numFmt w:val="bullet"/>
      <w:lvlText w:val=""/>
      <w:lvlJc w:val="left"/>
      <w:pPr>
        <w:ind w:left="2880" w:hanging="360"/>
      </w:pPr>
      <w:rPr>
        <w:rFonts w:ascii="Symbol" w:hAnsi="Symbol" w:hint="default"/>
      </w:rPr>
    </w:lvl>
    <w:lvl w:ilvl="4" w:tplc="FADA056A">
      <w:start w:val="1"/>
      <w:numFmt w:val="bullet"/>
      <w:lvlText w:val="o"/>
      <w:lvlJc w:val="left"/>
      <w:pPr>
        <w:ind w:left="3600" w:hanging="360"/>
      </w:pPr>
      <w:rPr>
        <w:rFonts w:ascii="Courier New" w:hAnsi="Courier New" w:hint="default"/>
      </w:rPr>
    </w:lvl>
    <w:lvl w:ilvl="5" w:tplc="EC7CDC6C">
      <w:start w:val="1"/>
      <w:numFmt w:val="bullet"/>
      <w:lvlText w:val=""/>
      <w:lvlJc w:val="left"/>
      <w:pPr>
        <w:ind w:left="4320" w:hanging="360"/>
      </w:pPr>
      <w:rPr>
        <w:rFonts w:ascii="Wingdings" w:hAnsi="Wingdings" w:hint="default"/>
      </w:rPr>
    </w:lvl>
    <w:lvl w:ilvl="6" w:tplc="C6927484">
      <w:start w:val="1"/>
      <w:numFmt w:val="bullet"/>
      <w:lvlText w:val=""/>
      <w:lvlJc w:val="left"/>
      <w:pPr>
        <w:ind w:left="5040" w:hanging="360"/>
      </w:pPr>
      <w:rPr>
        <w:rFonts w:ascii="Symbol" w:hAnsi="Symbol" w:hint="default"/>
      </w:rPr>
    </w:lvl>
    <w:lvl w:ilvl="7" w:tplc="744AA880">
      <w:start w:val="1"/>
      <w:numFmt w:val="bullet"/>
      <w:lvlText w:val="o"/>
      <w:lvlJc w:val="left"/>
      <w:pPr>
        <w:ind w:left="5760" w:hanging="360"/>
      </w:pPr>
      <w:rPr>
        <w:rFonts w:ascii="Courier New" w:hAnsi="Courier New" w:hint="default"/>
      </w:rPr>
    </w:lvl>
    <w:lvl w:ilvl="8" w:tplc="B29489D4">
      <w:start w:val="1"/>
      <w:numFmt w:val="bullet"/>
      <w:lvlText w:val=""/>
      <w:lvlJc w:val="left"/>
      <w:pPr>
        <w:ind w:left="6480" w:hanging="360"/>
      </w:pPr>
      <w:rPr>
        <w:rFonts w:ascii="Wingdings" w:hAnsi="Wingdings" w:hint="default"/>
      </w:rPr>
    </w:lvl>
  </w:abstractNum>
  <w:abstractNum w:abstractNumId="14" w15:restartNumberingAfterBreak="0">
    <w:nsid w:val="31682B84"/>
    <w:multiLevelType w:val="multilevel"/>
    <w:tmpl w:val="463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3304D"/>
    <w:multiLevelType w:val="hybridMultilevel"/>
    <w:tmpl w:val="2640D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3A3A47"/>
    <w:multiLevelType w:val="multilevel"/>
    <w:tmpl w:val="D7DE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4863FB"/>
    <w:multiLevelType w:val="hybridMultilevel"/>
    <w:tmpl w:val="C888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72564"/>
    <w:multiLevelType w:val="multilevel"/>
    <w:tmpl w:val="39EA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5646A"/>
    <w:multiLevelType w:val="hybridMultilevel"/>
    <w:tmpl w:val="2432D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22177"/>
    <w:multiLevelType w:val="hybridMultilevel"/>
    <w:tmpl w:val="EEE6B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46A13"/>
    <w:multiLevelType w:val="hybridMultilevel"/>
    <w:tmpl w:val="065E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A1A29"/>
    <w:multiLevelType w:val="multilevel"/>
    <w:tmpl w:val="7E6E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311DEA"/>
    <w:multiLevelType w:val="multilevel"/>
    <w:tmpl w:val="C5EC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1E1C3"/>
    <w:multiLevelType w:val="hybridMultilevel"/>
    <w:tmpl w:val="FFFFFFFF"/>
    <w:lvl w:ilvl="0" w:tplc="86528DEC">
      <w:start w:val="1"/>
      <w:numFmt w:val="bullet"/>
      <w:lvlText w:val=""/>
      <w:lvlJc w:val="left"/>
      <w:pPr>
        <w:ind w:left="1080" w:hanging="360"/>
      </w:pPr>
      <w:rPr>
        <w:rFonts w:ascii="Symbol" w:hAnsi="Symbol" w:hint="default"/>
      </w:rPr>
    </w:lvl>
    <w:lvl w:ilvl="1" w:tplc="0442CBF4">
      <w:start w:val="1"/>
      <w:numFmt w:val="bullet"/>
      <w:lvlText w:val="o"/>
      <w:lvlJc w:val="left"/>
      <w:pPr>
        <w:ind w:left="1800" w:hanging="360"/>
      </w:pPr>
      <w:rPr>
        <w:rFonts w:ascii="Courier New" w:hAnsi="Courier New" w:hint="default"/>
      </w:rPr>
    </w:lvl>
    <w:lvl w:ilvl="2" w:tplc="F9968568">
      <w:start w:val="1"/>
      <w:numFmt w:val="bullet"/>
      <w:lvlText w:val=""/>
      <w:lvlJc w:val="left"/>
      <w:pPr>
        <w:ind w:left="2520" w:hanging="360"/>
      </w:pPr>
      <w:rPr>
        <w:rFonts w:ascii="Wingdings" w:hAnsi="Wingdings" w:hint="default"/>
      </w:rPr>
    </w:lvl>
    <w:lvl w:ilvl="3" w:tplc="558EBD2C">
      <w:start w:val="1"/>
      <w:numFmt w:val="bullet"/>
      <w:lvlText w:val=""/>
      <w:lvlJc w:val="left"/>
      <w:pPr>
        <w:ind w:left="3240" w:hanging="360"/>
      </w:pPr>
      <w:rPr>
        <w:rFonts w:ascii="Symbol" w:hAnsi="Symbol" w:hint="default"/>
      </w:rPr>
    </w:lvl>
    <w:lvl w:ilvl="4" w:tplc="CCCC3A50">
      <w:start w:val="1"/>
      <w:numFmt w:val="bullet"/>
      <w:lvlText w:val="o"/>
      <w:lvlJc w:val="left"/>
      <w:pPr>
        <w:ind w:left="3960" w:hanging="360"/>
      </w:pPr>
      <w:rPr>
        <w:rFonts w:ascii="Courier New" w:hAnsi="Courier New" w:hint="default"/>
      </w:rPr>
    </w:lvl>
    <w:lvl w:ilvl="5" w:tplc="6DEC7014">
      <w:start w:val="1"/>
      <w:numFmt w:val="bullet"/>
      <w:lvlText w:val=""/>
      <w:lvlJc w:val="left"/>
      <w:pPr>
        <w:ind w:left="4680" w:hanging="360"/>
      </w:pPr>
      <w:rPr>
        <w:rFonts w:ascii="Wingdings" w:hAnsi="Wingdings" w:hint="default"/>
      </w:rPr>
    </w:lvl>
    <w:lvl w:ilvl="6" w:tplc="386CCECE">
      <w:start w:val="1"/>
      <w:numFmt w:val="bullet"/>
      <w:lvlText w:val=""/>
      <w:lvlJc w:val="left"/>
      <w:pPr>
        <w:ind w:left="5400" w:hanging="360"/>
      </w:pPr>
      <w:rPr>
        <w:rFonts w:ascii="Symbol" w:hAnsi="Symbol" w:hint="default"/>
      </w:rPr>
    </w:lvl>
    <w:lvl w:ilvl="7" w:tplc="5762B826">
      <w:start w:val="1"/>
      <w:numFmt w:val="bullet"/>
      <w:lvlText w:val="o"/>
      <w:lvlJc w:val="left"/>
      <w:pPr>
        <w:ind w:left="6120" w:hanging="360"/>
      </w:pPr>
      <w:rPr>
        <w:rFonts w:ascii="Courier New" w:hAnsi="Courier New" w:hint="default"/>
      </w:rPr>
    </w:lvl>
    <w:lvl w:ilvl="8" w:tplc="FF28450A">
      <w:start w:val="1"/>
      <w:numFmt w:val="bullet"/>
      <w:lvlText w:val=""/>
      <w:lvlJc w:val="left"/>
      <w:pPr>
        <w:ind w:left="6840" w:hanging="360"/>
      </w:pPr>
      <w:rPr>
        <w:rFonts w:ascii="Wingdings" w:hAnsi="Wingdings" w:hint="default"/>
      </w:rPr>
    </w:lvl>
  </w:abstractNum>
  <w:abstractNum w:abstractNumId="25" w15:restartNumberingAfterBreak="0">
    <w:nsid w:val="564900E3"/>
    <w:multiLevelType w:val="multilevel"/>
    <w:tmpl w:val="503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D5E57"/>
    <w:multiLevelType w:val="hybridMultilevel"/>
    <w:tmpl w:val="FFFFFFFF"/>
    <w:lvl w:ilvl="0" w:tplc="27763CEC">
      <w:start w:val="1"/>
      <w:numFmt w:val="bullet"/>
      <w:lvlText w:val=""/>
      <w:lvlJc w:val="left"/>
      <w:pPr>
        <w:ind w:left="720" w:hanging="360"/>
      </w:pPr>
      <w:rPr>
        <w:rFonts w:ascii="Symbol" w:hAnsi="Symbol" w:hint="default"/>
      </w:rPr>
    </w:lvl>
    <w:lvl w:ilvl="1" w:tplc="B76AF4B2">
      <w:start w:val="1"/>
      <w:numFmt w:val="bullet"/>
      <w:lvlText w:val="o"/>
      <w:lvlJc w:val="left"/>
      <w:pPr>
        <w:ind w:left="1440" w:hanging="360"/>
      </w:pPr>
      <w:rPr>
        <w:rFonts w:ascii="Courier New" w:hAnsi="Courier New" w:hint="default"/>
      </w:rPr>
    </w:lvl>
    <w:lvl w:ilvl="2" w:tplc="0510993E">
      <w:start w:val="1"/>
      <w:numFmt w:val="bullet"/>
      <w:lvlText w:val=""/>
      <w:lvlJc w:val="left"/>
      <w:pPr>
        <w:ind w:left="2160" w:hanging="360"/>
      </w:pPr>
      <w:rPr>
        <w:rFonts w:ascii="Wingdings" w:hAnsi="Wingdings" w:hint="default"/>
      </w:rPr>
    </w:lvl>
    <w:lvl w:ilvl="3" w:tplc="8C8EB124">
      <w:start w:val="1"/>
      <w:numFmt w:val="bullet"/>
      <w:lvlText w:val=""/>
      <w:lvlJc w:val="left"/>
      <w:pPr>
        <w:ind w:left="2880" w:hanging="360"/>
      </w:pPr>
      <w:rPr>
        <w:rFonts w:ascii="Symbol" w:hAnsi="Symbol" w:hint="default"/>
      </w:rPr>
    </w:lvl>
    <w:lvl w:ilvl="4" w:tplc="377ABF6A">
      <w:start w:val="1"/>
      <w:numFmt w:val="bullet"/>
      <w:lvlText w:val="o"/>
      <w:lvlJc w:val="left"/>
      <w:pPr>
        <w:ind w:left="3600" w:hanging="360"/>
      </w:pPr>
      <w:rPr>
        <w:rFonts w:ascii="Courier New" w:hAnsi="Courier New" w:hint="default"/>
      </w:rPr>
    </w:lvl>
    <w:lvl w:ilvl="5" w:tplc="D6946E88">
      <w:start w:val="1"/>
      <w:numFmt w:val="bullet"/>
      <w:lvlText w:val=""/>
      <w:lvlJc w:val="left"/>
      <w:pPr>
        <w:ind w:left="4320" w:hanging="360"/>
      </w:pPr>
      <w:rPr>
        <w:rFonts w:ascii="Wingdings" w:hAnsi="Wingdings" w:hint="default"/>
      </w:rPr>
    </w:lvl>
    <w:lvl w:ilvl="6" w:tplc="E5A0EC58">
      <w:start w:val="1"/>
      <w:numFmt w:val="bullet"/>
      <w:lvlText w:val=""/>
      <w:lvlJc w:val="left"/>
      <w:pPr>
        <w:ind w:left="5040" w:hanging="360"/>
      </w:pPr>
      <w:rPr>
        <w:rFonts w:ascii="Symbol" w:hAnsi="Symbol" w:hint="default"/>
      </w:rPr>
    </w:lvl>
    <w:lvl w:ilvl="7" w:tplc="93C46656">
      <w:start w:val="1"/>
      <w:numFmt w:val="bullet"/>
      <w:lvlText w:val="o"/>
      <w:lvlJc w:val="left"/>
      <w:pPr>
        <w:ind w:left="5760" w:hanging="360"/>
      </w:pPr>
      <w:rPr>
        <w:rFonts w:ascii="Courier New" w:hAnsi="Courier New" w:hint="default"/>
      </w:rPr>
    </w:lvl>
    <w:lvl w:ilvl="8" w:tplc="661A4F56">
      <w:start w:val="1"/>
      <w:numFmt w:val="bullet"/>
      <w:lvlText w:val=""/>
      <w:lvlJc w:val="left"/>
      <w:pPr>
        <w:ind w:left="6480" w:hanging="360"/>
      </w:pPr>
      <w:rPr>
        <w:rFonts w:ascii="Wingdings" w:hAnsi="Wingdings" w:hint="default"/>
      </w:rPr>
    </w:lvl>
  </w:abstractNum>
  <w:abstractNum w:abstractNumId="27" w15:restartNumberingAfterBreak="0">
    <w:nsid w:val="5B8DB856"/>
    <w:multiLevelType w:val="hybridMultilevel"/>
    <w:tmpl w:val="FFFFFFFF"/>
    <w:lvl w:ilvl="0" w:tplc="18B43348">
      <w:start w:val="1"/>
      <w:numFmt w:val="bullet"/>
      <w:lvlText w:val=""/>
      <w:lvlJc w:val="left"/>
      <w:pPr>
        <w:ind w:left="720" w:hanging="360"/>
      </w:pPr>
      <w:rPr>
        <w:rFonts w:ascii="Symbol" w:hAnsi="Symbol" w:hint="default"/>
      </w:rPr>
    </w:lvl>
    <w:lvl w:ilvl="1" w:tplc="DCC28F66">
      <w:start w:val="1"/>
      <w:numFmt w:val="bullet"/>
      <w:lvlText w:val="o"/>
      <w:lvlJc w:val="left"/>
      <w:pPr>
        <w:ind w:left="1440" w:hanging="360"/>
      </w:pPr>
      <w:rPr>
        <w:rFonts w:ascii="Courier New" w:hAnsi="Courier New" w:hint="default"/>
      </w:rPr>
    </w:lvl>
    <w:lvl w:ilvl="2" w:tplc="ADC4A426">
      <w:start w:val="1"/>
      <w:numFmt w:val="bullet"/>
      <w:lvlText w:val=""/>
      <w:lvlJc w:val="left"/>
      <w:pPr>
        <w:ind w:left="2160" w:hanging="360"/>
      </w:pPr>
      <w:rPr>
        <w:rFonts w:ascii="Wingdings" w:hAnsi="Wingdings" w:hint="default"/>
      </w:rPr>
    </w:lvl>
    <w:lvl w:ilvl="3" w:tplc="CD048A08">
      <w:start w:val="1"/>
      <w:numFmt w:val="bullet"/>
      <w:lvlText w:val=""/>
      <w:lvlJc w:val="left"/>
      <w:pPr>
        <w:ind w:left="2880" w:hanging="360"/>
      </w:pPr>
      <w:rPr>
        <w:rFonts w:ascii="Symbol" w:hAnsi="Symbol" w:hint="default"/>
      </w:rPr>
    </w:lvl>
    <w:lvl w:ilvl="4" w:tplc="B98835F4">
      <w:start w:val="1"/>
      <w:numFmt w:val="bullet"/>
      <w:lvlText w:val="o"/>
      <w:lvlJc w:val="left"/>
      <w:pPr>
        <w:ind w:left="3600" w:hanging="360"/>
      </w:pPr>
      <w:rPr>
        <w:rFonts w:ascii="Courier New" w:hAnsi="Courier New" w:hint="default"/>
      </w:rPr>
    </w:lvl>
    <w:lvl w:ilvl="5" w:tplc="2966752E">
      <w:start w:val="1"/>
      <w:numFmt w:val="bullet"/>
      <w:lvlText w:val=""/>
      <w:lvlJc w:val="left"/>
      <w:pPr>
        <w:ind w:left="4320" w:hanging="360"/>
      </w:pPr>
      <w:rPr>
        <w:rFonts w:ascii="Wingdings" w:hAnsi="Wingdings" w:hint="default"/>
      </w:rPr>
    </w:lvl>
    <w:lvl w:ilvl="6" w:tplc="E03E2DB2">
      <w:start w:val="1"/>
      <w:numFmt w:val="bullet"/>
      <w:lvlText w:val=""/>
      <w:lvlJc w:val="left"/>
      <w:pPr>
        <w:ind w:left="5040" w:hanging="360"/>
      </w:pPr>
      <w:rPr>
        <w:rFonts w:ascii="Symbol" w:hAnsi="Symbol" w:hint="default"/>
      </w:rPr>
    </w:lvl>
    <w:lvl w:ilvl="7" w:tplc="7FBE0CD8">
      <w:start w:val="1"/>
      <w:numFmt w:val="bullet"/>
      <w:lvlText w:val="o"/>
      <w:lvlJc w:val="left"/>
      <w:pPr>
        <w:ind w:left="5760" w:hanging="360"/>
      </w:pPr>
      <w:rPr>
        <w:rFonts w:ascii="Courier New" w:hAnsi="Courier New" w:hint="default"/>
      </w:rPr>
    </w:lvl>
    <w:lvl w:ilvl="8" w:tplc="3620CD2A">
      <w:start w:val="1"/>
      <w:numFmt w:val="bullet"/>
      <w:lvlText w:val=""/>
      <w:lvlJc w:val="left"/>
      <w:pPr>
        <w:ind w:left="6480" w:hanging="360"/>
      </w:pPr>
      <w:rPr>
        <w:rFonts w:ascii="Wingdings" w:hAnsi="Wingdings" w:hint="default"/>
      </w:rPr>
    </w:lvl>
  </w:abstractNum>
  <w:abstractNum w:abstractNumId="28" w15:restartNumberingAfterBreak="0">
    <w:nsid w:val="6174BEDB"/>
    <w:multiLevelType w:val="hybridMultilevel"/>
    <w:tmpl w:val="FFFFFFFF"/>
    <w:lvl w:ilvl="0" w:tplc="19705CBE">
      <w:start w:val="1"/>
      <w:numFmt w:val="bullet"/>
      <w:lvlText w:val=""/>
      <w:lvlJc w:val="left"/>
      <w:pPr>
        <w:ind w:left="720" w:hanging="360"/>
      </w:pPr>
      <w:rPr>
        <w:rFonts w:ascii="Symbol" w:hAnsi="Symbol" w:hint="default"/>
      </w:rPr>
    </w:lvl>
    <w:lvl w:ilvl="1" w:tplc="7E7000F8">
      <w:start w:val="1"/>
      <w:numFmt w:val="bullet"/>
      <w:lvlText w:val="o"/>
      <w:lvlJc w:val="left"/>
      <w:pPr>
        <w:ind w:left="1440" w:hanging="360"/>
      </w:pPr>
      <w:rPr>
        <w:rFonts w:ascii="Courier New" w:hAnsi="Courier New" w:hint="default"/>
      </w:rPr>
    </w:lvl>
    <w:lvl w:ilvl="2" w:tplc="9C260102">
      <w:start w:val="1"/>
      <w:numFmt w:val="bullet"/>
      <w:lvlText w:val=""/>
      <w:lvlJc w:val="left"/>
      <w:pPr>
        <w:ind w:left="2160" w:hanging="360"/>
      </w:pPr>
      <w:rPr>
        <w:rFonts w:ascii="Wingdings" w:hAnsi="Wingdings" w:hint="default"/>
      </w:rPr>
    </w:lvl>
    <w:lvl w:ilvl="3" w:tplc="2C32E348">
      <w:start w:val="1"/>
      <w:numFmt w:val="bullet"/>
      <w:lvlText w:val=""/>
      <w:lvlJc w:val="left"/>
      <w:pPr>
        <w:ind w:left="2880" w:hanging="360"/>
      </w:pPr>
      <w:rPr>
        <w:rFonts w:ascii="Symbol" w:hAnsi="Symbol" w:hint="default"/>
      </w:rPr>
    </w:lvl>
    <w:lvl w:ilvl="4" w:tplc="F2D6A52C">
      <w:start w:val="1"/>
      <w:numFmt w:val="bullet"/>
      <w:lvlText w:val="o"/>
      <w:lvlJc w:val="left"/>
      <w:pPr>
        <w:ind w:left="3600" w:hanging="360"/>
      </w:pPr>
      <w:rPr>
        <w:rFonts w:ascii="Courier New" w:hAnsi="Courier New" w:hint="default"/>
      </w:rPr>
    </w:lvl>
    <w:lvl w:ilvl="5" w:tplc="0EAE6D1A">
      <w:start w:val="1"/>
      <w:numFmt w:val="bullet"/>
      <w:lvlText w:val=""/>
      <w:lvlJc w:val="left"/>
      <w:pPr>
        <w:ind w:left="4320" w:hanging="360"/>
      </w:pPr>
      <w:rPr>
        <w:rFonts w:ascii="Wingdings" w:hAnsi="Wingdings" w:hint="default"/>
      </w:rPr>
    </w:lvl>
    <w:lvl w:ilvl="6" w:tplc="F6B2A9B6">
      <w:start w:val="1"/>
      <w:numFmt w:val="bullet"/>
      <w:lvlText w:val=""/>
      <w:lvlJc w:val="left"/>
      <w:pPr>
        <w:ind w:left="5040" w:hanging="360"/>
      </w:pPr>
      <w:rPr>
        <w:rFonts w:ascii="Symbol" w:hAnsi="Symbol" w:hint="default"/>
      </w:rPr>
    </w:lvl>
    <w:lvl w:ilvl="7" w:tplc="2DE89D9C">
      <w:start w:val="1"/>
      <w:numFmt w:val="bullet"/>
      <w:lvlText w:val="o"/>
      <w:lvlJc w:val="left"/>
      <w:pPr>
        <w:ind w:left="5760" w:hanging="360"/>
      </w:pPr>
      <w:rPr>
        <w:rFonts w:ascii="Courier New" w:hAnsi="Courier New" w:hint="default"/>
      </w:rPr>
    </w:lvl>
    <w:lvl w:ilvl="8" w:tplc="F216C880">
      <w:start w:val="1"/>
      <w:numFmt w:val="bullet"/>
      <w:lvlText w:val=""/>
      <w:lvlJc w:val="left"/>
      <w:pPr>
        <w:ind w:left="6480" w:hanging="360"/>
      </w:pPr>
      <w:rPr>
        <w:rFonts w:ascii="Wingdings" w:hAnsi="Wingdings" w:hint="default"/>
      </w:rPr>
    </w:lvl>
  </w:abstractNum>
  <w:abstractNum w:abstractNumId="29" w15:restartNumberingAfterBreak="0">
    <w:nsid w:val="64EE4FF2"/>
    <w:multiLevelType w:val="hybridMultilevel"/>
    <w:tmpl w:val="F75E6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A53879"/>
    <w:multiLevelType w:val="multilevel"/>
    <w:tmpl w:val="83664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AFCF24"/>
    <w:multiLevelType w:val="hybridMultilevel"/>
    <w:tmpl w:val="FFFFFFFF"/>
    <w:lvl w:ilvl="0" w:tplc="C9460DCA">
      <w:start w:val="1"/>
      <w:numFmt w:val="bullet"/>
      <w:lvlText w:val="-"/>
      <w:lvlJc w:val="left"/>
      <w:pPr>
        <w:ind w:left="720" w:hanging="360"/>
      </w:pPr>
      <w:rPr>
        <w:rFonts w:ascii="Aptos" w:hAnsi="Aptos" w:hint="default"/>
      </w:rPr>
    </w:lvl>
    <w:lvl w:ilvl="1" w:tplc="791C8FB0">
      <w:start w:val="1"/>
      <w:numFmt w:val="bullet"/>
      <w:lvlText w:val="o"/>
      <w:lvlJc w:val="left"/>
      <w:pPr>
        <w:ind w:left="1440" w:hanging="360"/>
      </w:pPr>
      <w:rPr>
        <w:rFonts w:ascii="Courier New" w:hAnsi="Courier New" w:hint="default"/>
      </w:rPr>
    </w:lvl>
    <w:lvl w:ilvl="2" w:tplc="C928A8B0">
      <w:start w:val="1"/>
      <w:numFmt w:val="bullet"/>
      <w:lvlText w:val=""/>
      <w:lvlJc w:val="left"/>
      <w:pPr>
        <w:ind w:left="2160" w:hanging="360"/>
      </w:pPr>
      <w:rPr>
        <w:rFonts w:ascii="Wingdings" w:hAnsi="Wingdings" w:hint="default"/>
      </w:rPr>
    </w:lvl>
    <w:lvl w:ilvl="3" w:tplc="F4088260">
      <w:start w:val="1"/>
      <w:numFmt w:val="bullet"/>
      <w:lvlText w:val=""/>
      <w:lvlJc w:val="left"/>
      <w:pPr>
        <w:ind w:left="2880" w:hanging="360"/>
      </w:pPr>
      <w:rPr>
        <w:rFonts w:ascii="Symbol" w:hAnsi="Symbol" w:hint="default"/>
      </w:rPr>
    </w:lvl>
    <w:lvl w:ilvl="4" w:tplc="1B40E7E8">
      <w:start w:val="1"/>
      <w:numFmt w:val="bullet"/>
      <w:lvlText w:val="o"/>
      <w:lvlJc w:val="left"/>
      <w:pPr>
        <w:ind w:left="3600" w:hanging="360"/>
      </w:pPr>
      <w:rPr>
        <w:rFonts w:ascii="Courier New" w:hAnsi="Courier New" w:hint="default"/>
      </w:rPr>
    </w:lvl>
    <w:lvl w:ilvl="5" w:tplc="43C8AD28">
      <w:start w:val="1"/>
      <w:numFmt w:val="bullet"/>
      <w:lvlText w:val=""/>
      <w:lvlJc w:val="left"/>
      <w:pPr>
        <w:ind w:left="4320" w:hanging="360"/>
      </w:pPr>
      <w:rPr>
        <w:rFonts w:ascii="Wingdings" w:hAnsi="Wingdings" w:hint="default"/>
      </w:rPr>
    </w:lvl>
    <w:lvl w:ilvl="6" w:tplc="491E79B2">
      <w:start w:val="1"/>
      <w:numFmt w:val="bullet"/>
      <w:lvlText w:val=""/>
      <w:lvlJc w:val="left"/>
      <w:pPr>
        <w:ind w:left="5040" w:hanging="360"/>
      </w:pPr>
      <w:rPr>
        <w:rFonts w:ascii="Symbol" w:hAnsi="Symbol" w:hint="default"/>
      </w:rPr>
    </w:lvl>
    <w:lvl w:ilvl="7" w:tplc="172EA768">
      <w:start w:val="1"/>
      <w:numFmt w:val="bullet"/>
      <w:lvlText w:val="o"/>
      <w:lvlJc w:val="left"/>
      <w:pPr>
        <w:ind w:left="5760" w:hanging="360"/>
      </w:pPr>
      <w:rPr>
        <w:rFonts w:ascii="Courier New" w:hAnsi="Courier New" w:hint="default"/>
      </w:rPr>
    </w:lvl>
    <w:lvl w:ilvl="8" w:tplc="ADFAD308">
      <w:start w:val="1"/>
      <w:numFmt w:val="bullet"/>
      <w:lvlText w:val=""/>
      <w:lvlJc w:val="left"/>
      <w:pPr>
        <w:ind w:left="6480" w:hanging="360"/>
      </w:pPr>
      <w:rPr>
        <w:rFonts w:ascii="Wingdings" w:hAnsi="Wingdings" w:hint="default"/>
      </w:rPr>
    </w:lvl>
  </w:abstractNum>
  <w:abstractNum w:abstractNumId="32" w15:restartNumberingAfterBreak="0">
    <w:nsid w:val="6F3A5F72"/>
    <w:multiLevelType w:val="multilevel"/>
    <w:tmpl w:val="EE4A47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D34021"/>
    <w:multiLevelType w:val="multilevel"/>
    <w:tmpl w:val="FFC2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5ED4F7"/>
    <w:multiLevelType w:val="hybridMultilevel"/>
    <w:tmpl w:val="FFFFFFFF"/>
    <w:lvl w:ilvl="0" w:tplc="AE440322">
      <w:start w:val="1"/>
      <w:numFmt w:val="bullet"/>
      <w:lvlText w:val=""/>
      <w:lvlJc w:val="left"/>
      <w:pPr>
        <w:ind w:left="1080" w:hanging="360"/>
      </w:pPr>
      <w:rPr>
        <w:rFonts w:ascii="Symbol" w:hAnsi="Symbol" w:hint="default"/>
      </w:rPr>
    </w:lvl>
    <w:lvl w:ilvl="1" w:tplc="93A6B5F0">
      <w:start w:val="1"/>
      <w:numFmt w:val="bullet"/>
      <w:lvlText w:val="o"/>
      <w:lvlJc w:val="left"/>
      <w:pPr>
        <w:ind w:left="1800" w:hanging="360"/>
      </w:pPr>
      <w:rPr>
        <w:rFonts w:ascii="Courier New" w:hAnsi="Courier New" w:hint="default"/>
      </w:rPr>
    </w:lvl>
    <w:lvl w:ilvl="2" w:tplc="5A2247C2">
      <w:start w:val="1"/>
      <w:numFmt w:val="bullet"/>
      <w:lvlText w:val=""/>
      <w:lvlJc w:val="left"/>
      <w:pPr>
        <w:ind w:left="2520" w:hanging="360"/>
      </w:pPr>
      <w:rPr>
        <w:rFonts w:ascii="Wingdings" w:hAnsi="Wingdings" w:hint="default"/>
      </w:rPr>
    </w:lvl>
    <w:lvl w:ilvl="3" w:tplc="5646443E">
      <w:start w:val="1"/>
      <w:numFmt w:val="bullet"/>
      <w:lvlText w:val=""/>
      <w:lvlJc w:val="left"/>
      <w:pPr>
        <w:ind w:left="3240" w:hanging="360"/>
      </w:pPr>
      <w:rPr>
        <w:rFonts w:ascii="Symbol" w:hAnsi="Symbol" w:hint="default"/>
      </w:rPr>
    </w:lvl>
    <w:lvl w:ilvl="4" w:tplc="8F288E56">
      <w:start w:val="1"/>
      <w:numFmt w:val="bullet"/>
      <w:lvlText w:val="o"/>
      <w:lvlJc w:val="left"/>
      <w:pPr>
        <w:ind w:left="3960" w:hanging="360"/>
      </w:pPr>
      <w:rPr>
        <w:rFonts w:ascii="Courier New" w:hAnsi="Courier New" w:hint="default"/>
      </w:rPr>
    </w:lvl>
    <w:lvl w:ilvl="5" w:tplc="2004AA88">
      <w:start w:val="1"/>
      <w:numFmt w:val="bullet"/>
      <w:lvlText w:val=""/>
      <w:lvlJc w:val="left"/>
      <w:pPr>
        <w:ind w:left="4680" w:hanging="360"/>
      </w:pPr>
      <w:rPr>
        <w:rFonts w:ascii="Wingdings" w:hAnsi="Wingdings" w:hint="default"/>
      </w:rPr>
    </w:lvl>
    <w:lvl w:ilvl="6" w:tplc="91A284FA">
      <w:start w:val="1"/>
      <w:numFmt w:val="bullet"/>
      <w:lvlText w:val=""/>
      <w:lvlJc w:val="left"/>
      <w:pPr>
        <w:ind w:left="5400" w:hanging="360"/>
      </w:pPr>
      <w:rPr>
        <w:rFonts w:ascii="Symbol" w:hAnsi="Symbol" w:hint="default"/>
      </w:rPr>
    </w:lvl>
    <w:lvl w:ilvl="7" w:tplc="152219D0">
      <w:start w:val="1"/>
      <w:numFmt w:val="bullet"/>
      <w:lvlText w:val="o"/>
      <w:lvlJc w:val="left"/>
      <w:pPr>
        <w:ind w:left="6120" w:hanging="360"/>
      </w:pPr>
      <w:rPr>
        <w:rFonts w:ascii="Courier New" w:hAnsi="Courier New" w:hint="default"/>
      </w:rPr>
    </w:lvl>
    <w:lvl w:ilvl="8" w:tplc="AEA2F6A0">
      <w:start w:val="1"/>
      <w:numFmt w:val="bullet"/>
      <w:lvlText w:val=""/>
      <w:lvlJc w:val="left"/>
      <w:pPr>
        <w:ind w:left="6840" w:hanging="360"/>
      </w:pPr>
      <w:rPr>
        <w:rFonts w:ascii="Wingdings" w:hAnsi="Wingdings" w:hint="default"/>
      </w:rPr>
    </w:lvl>
  </w:abstractNum>
  <w:num w:numId="1" w16cid:durableId="327172641">
    <w:abstractNumId w:val="30"/>
  </w:num>
  <w:num w:numId="2" w16cid:durableId="1395857067">
    <w:abstractNumId w:val="12"/>
  </w:num>
  <w:num w:numId="3" w16cid:durableId="2017535398">
    <w:abstractNumId w:val="29"/>
  </w:num>
  <w:num w:numId="4" w16cid:durableId="1740865235">
    <w:abstractNumId w:val="0"/>
  </w:num>
  <w:num w:numId="5" w16cid:durableId="1839539165">
    <w:abstractNumId w:val="4"/>
  </w:num>
  <w:num w:numId="6" w16cid:durableId="189074194">
    <w:abstractNumId w:val="1"/>
  </w:num>
  <w:num w:numId="7" w16cid:durableId="1311710377">
    <w:abstractNumId w:val="2"/>
  </w:num>
  <w:num w:numId="8" w16cid:durableId="1531451306">
    <w:abstractNumId w:val="9"/>
  </w:num>
  <w:num w:numId="9" w16cid:durableId="1430586849">
    <w:abstractNumId w:val="22"/>
  </w:num>
  <w:num w:numId="10" w16cid:durableId="99375152">
    <w:abstractNumId w:val="14"/>
  </w:num>
  <w:num w:numId="11" w16cid:durableId="324168906">
    <w:abstractNumId w:val="20"/>
  </w:num>
  <w:num w:numId="12" w16cid:durableId="1931351325">
    <w:abstractNumId w:val="8"/>
  </w:num>
  <w:num w:numId="13" w16cid:durableId="1989287352">
    <w:abstractNumId w:val="34"/>
  </w:num>
  <w:num w:numId="14" w16cid:durableId="1230581951">
    <w:abstractNumId w:val="24"/>
  </w:num>
  <w:num w:numId="15" w16cid:durableId="1718506230">
    <w:abstractNumId w:val="7"/>
  </w:num>
  <w:num w:numId="16" w16cid:durableId="267349011">
    <w:abstractNumId w:val="26"/>
  </w:num>
  <w:num w:numId="17" w16cid:durableId="1173229463">
    <w:abstractNumId w:val="28"/>
  </w:num>
  <w:num w:numId="18" w16cid:durableId="535890479">
    <w:abstractNumId w:val="27"/>
  </w:num>
  <w:num w:numId="19" w16cid:durableId="1771772692">
    <w:abstractNumId w:val="31"/>
  </w:num>
  <w:num w:numId="20" w16cid:durableId="1045174837">
    <w:abstractNumId w:val="13"/>
  </w:num>
  <w:num w:numId="21" w16cid:durableId="131875125">
    <w:abstractNumId w:val="3"/>
  </w:num>
  <w:num w:numId="22" w16cid:durableId="1871643263">
    <w:abstractNumId w:val="5"/>
  </w:num>
  <w:num w:numId="23" w16cid:durableId="759716511">
    <w:abstractNumId w:val="33"/>
  </w:num>
  <w:num w:numId="24" w16cid:durableId="1442604249">
    <w:abstractNumId w:val="25"/>
  </w:num>
  <w:num w:numId="25" w16cid:durableId="1226069663">
    <w:abstractNumId w:val="10"/>
  </w:num>
  <w:num w:numId="26" w16cid:durableId="1102843552">
    <w:abstractNumId w:val="19"/>
  </w:num>
  <w:num w:numId="27" w16cid:durableId="1264414238">
    <w:abstractNumId w:val="17"/>
  </w:num>
  <w:num w:numId="28" w16cid:durableId="2017806228">
    <w:abstractNumId w:val="21"/>
  </w:num>
  <w:num w:numId="29" w16cid:durableId="892931573">
    <w:abstractNumId w:val="6"/>
  </w:num>
  <w:num w:numId="30" w16cid:durableId="892808959">
    <w:abstractNumId w:val="15"/>
  </w:num>
  <w:num w:numId="31" w16cid:durableId="1249804164">
    <w:abstractNumId w:val="11"/>
  </w:num>
  <w:num w:numId="32" w16cid:durableId="188372022">
    <w:abstractNumId w:val="23"/>
  </w:num>
  <w:num w:numId="33" w16cid:durableId="1205143226">
    <w:abstractNumId w:val="32"/>
  </w:num>
  <w:num w:numId="34" w16cid:durableId="1334724825">
    <w:abstractNumId w:val="18"/>
  </w:num>
  <w:num w:numId="35" w16cid:durableId="275916585">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E0F"/>
    <w:rsid w:val="000007CF"/>
    <w:rsid w:val="000019EF"/>
    <w:rsid w:val="0000276C"/>
    <w:rsid w:val="00002E71"/>
    <w:rsid w:val="000043CE"/>
    <w:rsid w:val="00006216"/>
    <w:rsid w:val="000071D5"/>
    <w:rsid w:val="000078A4"/>
    <w:rsid w:val="000102C9"/>
    <w:rsid w:val="00010FC5"/>
    <w:rsid w:val="00013015"/>
    <w:rsid w:val="00016EA6"/>
    <w:rsid w:val="00017A34"/>
    <w:rsid w:val="000200F7"/>
    <w:rsid w:val="00024938"/>
    <w:rsid w:val="00025C74"/>
    <w:rsid w:val="00027B51"/>
    <w:rsid w:val="00033248"/>
    <w:rsid w:val="00033D90"/>
    <w:rsid w:val="00035B62"/>
    <w:rsid w:val="0003675F"/>
    <w:rsid w:val="000370D7"/>
    <w:rsid w:val="000404B9"/>
    <w:rsid w:val="000409DB"/>
    <w:rsid w:val="00042FF6"/>
    <w:rsid w:val="00043554"/>
    <w:rsid w:val="0004414B"/>
    <w:rsid w:val="00044C9C"/>
    <w:rsid w:val="00044EBC"/>
    <w:rsid w:val="00045162"/>
    <w:rsid w:val="0004787C"/>
    <w:rsid w:val="00050BC8"/>
    <w:rsid w:val="0005441B"/>
    <w:rsid w:val="0005514B"/>
    <w:rsid w:val="0006047B"/>
    <w:rsid w:val="00061479"/>
    <w:rsid w:val="00064D80"/>
    <w:rsid w:val="00064EE6"/>
    <w:rsid w:val="00065B4C"/>
    <w:rsid w:val="00076B22"/>
    <w:rsid w:val="0007787E"/>
    <w:rsid w:val="00081736"/>
    <w:rsid w:val="00082AC5"/>
    <w:rsid w:val="00082ECC"/>
    <w:rsid w:val="0008390F"/>
    <w:rsid w:val="00086F02"/>
    <w:rsid w:val="00087A4E"/>
    <w:rsid w:val="00090266"/>
    <w:rsid w:val="0009072F"/>
    <w:rsid w:val="000949B4"/>
    <w:rsid w:val="0009599E"/>
    <w:rsid w:val="0009661A"/>
    <w:rsid w:val="000A33B9"/>
    <w:rsid w:val="000A43C2"/>
    <w:rsid w:val="000A75A6"/>
    <w:rsid w:val="000B270C"/>
    <w:rsid w:val="000B3826"/>
    <w:rsid w:val="000B7229"/>
    <w:rsid w:val="000B7393"/>
    <w:rsid w:val="000C0076"/>
    <w:rsid w:val="000C23E3"/>
    <w:rsid w:val="000C45CC"/>
    <w:rsid w:val="000C5806"/>
    <w:rsid w:val="000D000E"/>
    <w:rsid w:val="000D1C47"/>
    <w:rsid w:val="000D2773"/>
    <w:rsid w:val="000E0333"/>
    <w:rsid w:val="000E0E5A"/>
    <w:rsid w:val="000E2BD2"/>
    <w:rsid w:val="000E6726"/>
    <w:rsid w:val="000E6E06"/>
    <w:rsid w:val="000E79EA"/>
    <w:rsid w:val="000F154D"/>
    <w:rsid w:val="000F1932"/>
    <w:rsid w:val="000F39DD"/>
    <w:rsid w:val="000F3ED1"/>
    <w:rsid w:val="000F4409"/>
    <w:rsid w:val="000F5DDA"/>
    <w:rsid w:val="000F79E2"/>
    <w:rsid w:val="000F7A38"/>
    <w:rsid w:val="00100255"/>
    <w:rsid w:val="00100CF8"/>
    <w:rsid w:val="00101175"/>
    <w:rsid w:val="001020CB"/>
    <w:rsid w:val="001049F8"/>
    <w:rsid w:val="001106F1"/>
    <w:rsid w:val="00111C71"/>
    <w:rsid w:val="0011790F"/>
    <w:rsid w:val="001210E2"/>
    <w:rsid w:val="00121EF1"/>
    <w:rsid w:val="001227D0"/>
    <w:rsid w:val="00122E19"/>
    <w:rsid w:val="0012437F"/>
    <w:rsid w:val="0012680A"/>
    <w:rsid w:val="00127C64"/>
    <w:rsid w:val="00130474"/>
    <w:rsid w:val="0013078A"/>
    <w:rsid w:val="00130AB6"/>
    <w:rsid w:val="001313DE"/>
    <w:rsid w:val="00134785"/>
    <w:rsid w:val="00136EC5"/>
    <w:rsid w:val="001406DC"/>
    <w:rsid w:val="00143664"/>
    <w:rsid w:val="001454CF"/>
    <w:rsid w:val="00146361"/>
    <w:rsid w:val="00146E3B"/>
    <w:rsid w:val="00147848"/>
    <w:rsid w:val="00147E39"/>
    <w:rsid w:val="0015702C"/>
    <w:rsid w:val="00161A9C"/>
    <w:rsid w:val="001629DC"/>
    <w:rsid w:val="00163341"/>
    <w:rsid w:val="00164F29"/>
    <w:rsid w:val="001654B3"/>
    <w:rsid w:val="00166135"/>
    <w:rsid w:val="00166BB9"/>
    <w:rsid w:val="00174763"/>
    <w:rsid w:val="00174BF6"/>
    <w:rsid w:val="00176DD2"/>
    <w:rsid w:val="00180FE9"/>
    <w:rsid w:val="00181E4C"/>
    <w:rsid w:val="00184603"/>
    <w:rsid w:val="00185CE6"/>
    <w:rsid w:val="001865E0"/>
    <w:rsid w:val="00187700"/>
    <w:rsid w:val="00191690"/>
    <w:rsid w:val="00193BFA"/>
    <w:rsid w:val="00194B2D"/>
    <w:rsid w:val="00194FE6"/>
    <w:rsid w:val="001A203B"/>
    <w:rsid w:val="001A4ED8"/>
    <w:rsid w:val="001B292B"/>
    <w:rsid w:val="001B3C4A"/>
    <w:rsid w:val="001B46EE"/>
    <w:rsid w:val="001B47FD"/>
    <w:rsid w:val="001B5309"/>
    <w:rsid w:val="001B6CF1"/>
    <w:rsid w:val="001C2973"/>
    <w:rsid w:val="001C34C5"/>
    <w:rsid w:val="001C6AE8"/>
    <w:rsid w:val="001C6EB0"/>
    <w:rsid w:val="001C7475"/>
    <w:rsid w:val="001C75D3"/>
    <w:rsid w:val="001D2CD2"/>
    <w:rsid w:val="001D4324"/>
    <w:rsid w:val="001E18C7"/>
    <w:rsid w:val="001E52C0"/>
    <w:rsid w:val="001E7DB8"/>
    <w:rsid w:val="001F012C"/>
    <w:rsid w:val="001F1EFE"/>
    <w:rsid w:val="001F3771"/>
    <w:rsid w:val="001F377C"/>
    <w:rsid w:val="001F40B0"/>
    <w:rsid w:val="001F4132"/>
    <w:rsid w:val="001F4416"/>
    <w:rsid w:val="001F75CA"/>
    <w:rsid w:val="002007B3"/>
    <w:rsid w:val="00200D05"/>
    <w:rsid w:val="00201A55"/>
    <w:rsid w:val="0020708C"/>
    <w:rsid w:val="002137E4"/>
    <w:rsid w:val="002140C4"/>
    <w:rsid w:val="002142AD"/>
    <w:rsid w:val="0021601B"/>
    <w:rsid w:val="00217E54"/>
    <w:rsid w:val="002212BD"/>
    <w:rsid w:val="00223D7F"/>
    <w:rsid w:val="00227ED7"/>
    <w:rsid w:val="00227F09"/>
    <w:rsid w:val="002310E6"/>
    <w:rsid w:val="00231A0A"/>
    <w:rsid w:val="00232801"/>
    <w:rsid w:val="00241DAC"/>
    <w:rsid w:val="002427BF"/>
    <w:rsid w:val="00242E62"/>
    <w:rsid w:val="002470A8"/>
    <w:rsid w:val="00251FC7"/>
    <w:rsid w:val="00253672"/>
    <w:rsid w:val="00261D43"/>
    <w:rsid w:val="002622E4"/>
    <w:rsid w:val="00265E72"/>
    <w:rsid w:val="00266214"/>
    <w:rsid w:val="00270447"/>
    <w:rsid w:val="00270800"/>
    <w:rsid w:val="00272AF7"/>
    <w:rsid w:val="0027301A"/>
    <w:rsid w:val="00275F69"/>
    <w:rsid w:val="00280F2A"/>
    <w:rsid w:val="0028216F"/>
    <w:rsid w:val="00286577"/>
    <w:rsid w:val="0028698D"/>
    <w:rsid w:val="0028707A"/>
    <w:rsid w:val="0029066E"/>
    <w:rsid w:val="00290D87"/>
    <w:rsid w:val="00292D0B"/>
    <w:rsid w:val="002948B4"/>
    <w:rsid w:val="00294BFF"/>
    <w:rsid w:val="00295C34"/>
    <w:rsid w:val="0029719B"/>
    <w:rsid w:val="00297521"/>
    <w:rsid w:val="002A24EC"/>
    <w:rsid w:val="002A4058"/>
    <w:rsid w:val="002A5F89"/>
    <w:rsid w:val="002A6380"/>
    <w:rsid w:val="002A6CFA"/>
    <w:rsid w:val="002B10ED"/>
    <w:rsid w:val="002B178A"/>
    <w:rsid w:val="002B44F9"/>
    <w:rsid w:val="002B536C"/>
    <w:rsid w:val="002B5C8C"/>
    <w:rsid w:val="002B65D5"/>
    <w:rsid w:val="002B7531"/>
    <w:rsid w:val="002C0DE1"/>
    <w:rsid w:val="002C3F7C"/>
    <w:rsid w:val="002C4680"/>
    <w:rsid w:val="002C4FB0"/>
    <w:rsid w:val="002C52EF"/>
    <w:rsid w:val="002D0031"/>
    <w:rsid w:val="002D154C"/>
    <w:rsid w:val="002D6908"/>
    <w:rsid w:val="002D7A81"/>
    <w:rsid w:val="002E059A"/>
    <w:rsid w:val="002E0B96"/>
    <w:rsid w:val="002E0C27"/>
    <w:rsid w:val="002E2BEB"/>
    <w:rsid w:val="002E3750"/>
    <w:rsid w:val="002E3A46"/>
    <w:rsid w:val="002E4C91"/>
    <w:rsid w:val="002E6D15"/>
    <w:rsid w:val="002E6D16"/>
    <w:rsid w:val="002E6EB6"/>
    <w:rsid w:val="002F6B56"/>
    <w:rsid w:val="002F7C9F"/>
    <w:rsid w:val="00300D99"/>
    <w:rsid w:val="00301622"/>
    <w:rsid w:val="0030178F"/>
    <w:rsid w:val="0030343D"/>
    <w:rsid w:val="00305D8C"/>
    <w:rsid w:val="00306468"/>
    <w:rsid w:val="00306955"/>
    <w:rsid w:val="00311013"/>
    <w:rsid w:val="0031124D"/>
    <w:rsid w:val="0031341C"/>
    <w:rsid w:val="00314072"/>
    <w:rsid w:val="0031472F"/>
    <w:rsid w:val="0032201B"/>
    <w:rsid w:val="00331ECE"/>
    <w:rsid w:val="00332BCA"/>
    <w:rsid w:val="003333FD"/>
    <w:rsid w:val="00334399"/>
    <w:rsid w:val="0033736B"/>
    <w:rsid w:val="003378E9"/>
    <w:rsid w:val="00337B6A"/>
    <w:rsid w:val="00343A3B"/>
    <w:rsid w:val="00343EA9"/>
    <w:rsid w:val="003476D9"/>
    <w:rsid w:val="00350E7E"/>
    <w:rsid w:val="0035158D"/>
    <w:rsid w:val="003529BA"/>
    <w:rsid w:val="00352F93"/>
    <w:rsid w:val="0035318F"/>
    <w:rsid w:val="00353203"/>
    <w:rsid w:val="00353828"/>
    <w:rsid w:val="00353D52"/>
    <w:rsid w:val="00355423"/>
    <w:rsid w:val="00355E56"/>
    <w:rsid w:val="00362580"/>
    <w:rsid w:val="003633D4"/>
    <w:rsid w:val="00365218"/>
    <w:rsid w:val="0037192D"/>
    <w:rsid w:val="003724FF"/>
    <w:rsid w:val="00372B51"/>
    <w:rsid w:val="003753F7"/>
    <w:rsid w:val="003758C7"/>
    <w:rsid w:val="003761E8"/>
    <w:rsid w:val="00376382"/>
    <w:rsid w:val="00376F77"/>
    <w:rsid w:val="003805D1"/>
    <w:rsid w:val="0038351F"/>
    <w:rsid w:val="00386254"/>
    <w:rsid w:val="003873DE"/>
    <w:rsid w:val="00391500"/>
    <w:rsid w:val="00392E9B"/>
    <w:rsid w:val="00396A56"/>
    <w:rsid w:val="00396DA8"/>
    <w:rsid w:val="003973A6"/>
    <w:rsid w:val="0039788A"/>
    <w:rsid w:val="00397F9D"/>
    <w:rsid w:val="003A18B8"/>
    <w:rsid w:val="003A3626"/>
    <w:rsid w:val="003A5012"/>
    <w:rsid w:val="003A519E"/>
    <w:rsid w:val="003A5527"/>
    <w:rsid w:val="003A568E"/>
    <w:rsid w:val="003B0462"/>
    <w:rsid w:val="003B1D44"/>
    <w:rsid w:val="003B2ABD"/>
    <w:rsid w:val="003B390C"/>
    <w:rsid w:val="003B6B45"/>
    <w:rsid w:val="003C1594"/>
    <w:rsid w:val="003C3F58"/>
    <w:rsid w:val="003C4648"/>
    <w:rsid w:val="003C51D9"/>
    <w:rsid w:val="003C5AAB"/>
    <w:rsid w:val="003C6EFC"/>
    <w:rsid w:val="003C7D5B"/>
    <w:rsid w:val="003C7EE9"/>
    <w:rsid w:val="003D304A"/>
    <w:rsid w:val="003D6187"/>
    <w:rsid w:val="003D6332"/>
    <w:rsid w:val="003D7FE7"/>
    <w:rsid w:val="003E08DF"/>
    <w:rsid w:val="003E1175"/>
    <w:rsid w:val="003E1626"/>
    <w:rsid w:val="003E214C"/>
    <w:rsid w:val="003E3CA6"/>
    <w:rsid w:val="003E44F5"/>
    <w:rsid w:val="003E554B"/>
    <w:rsid w:val="003E61DC"/>
    <w:rsid w:val="003E6C44"/>
    <w:rsid w:val="003E6F1C"/>
    <w:rsid w:val="003F25BE"/>
    <w:rsid w:val="003F25D1"/>
    <w:rsid w:val="003F2EB9"/>
    <w:rsid w:val="003F39ED"/>
    <w:rsid w:val="003F462F"/>
    <w:rsid w:val="003F5C65"/>
    <w:rsid w:val="003F670B"/>
    <w:rsid w:val="004005BA"/>
    <w:rsid w:val="00402F06"/>
    <w:rsid w:val="004032CF"/>
    <w:rsid w:val="00404A08"/>
    <w:rsid w:val="004078E8"/>
    <w:rsid w:val="00410000"/>
    <w:rsid w:val="004110CD"/>
    <w:rsid w:val="004114E5"/>
    <w:rsid w:val="00412F87"/>
    <w:rsid w:val="00414BDB"/>
    <w:rsid w:val="00415AAA"/>
    <w:rsid w:val="00417D08"/>
    <w:rsid w:val="00417E33"/>
    <w:rsid w:val="004205D3"/>
    <w:rsid w:val="0042475F"/>
    <w:rsid w:val="00424D92"/>
    <w:rsid w:val="0042522C"/>
    <w:rsid w:val="0042640F"/>
    <w:rsid w:val="004274A5"/>
    <w:rsid w:val="00430976"/>
    <w:rsid w:val="00432CC6"/>
    <w:rsid w:val="00433C85"/>
    <w:rsid w:val="004346FB"/>
    <w:rsid w:val="00437205"/>
    <w:rsid w:val="004416EC"/>
    <w:rsid w:val="00442FC3"/>
    <w:rsid w:val="00443E21"/>
    <w:rsid w:val="0044561C"/>
    <w:rsid w:val="004458A0"/>
    <w:rsid w:val="00446628"/>
    <w:rsid w:val="00446A16"/>
    <w:rsid w:val="004507EA"/>
    <w:rsid w:val="00450CDB"/>
    <w:rsid w:val="00452E9A"/>
    <w:rsid w:val="00456DF0"/>
    <w:rsid w:val="00456FC1"/>
    <w:rsid w:val="00456FC8"/>
    <w:rsid w:val="00461DAD"/>
    <w:rsid w:val="004651AD"/>
    <w:rsid w:val="00466987"/>
    <w:rsid w:val="00466DE8"/>
    <w:rsid w:val="00467A7E"/>
    <w:rsid w:val="00471073"/>
    <w:rsid w:val="004727C8"/>
    <w:rsid w:val="00475325"/>
    <w:rsid w:val="00475D5C"/>
    <w:rsid w:val="00476BD3"/>
    <w:rsid w:val="00477704"/>
    <w:rsid w:val="00481DBE"/>
    <w:rsid w:val="00485006"/>
    <w:rsid w:val="00487D61"/>
    <w:rsid w:val="00490573"/>
    <w:rsid w:val="004921AD"/>
    <w:rsid w:val="00492DD8"/>
    <w:rsid w:val="00493633"/>
    <w:rsid w:val="00495E7C"/>
    <w:rsid w:val="00497619"/>
    <w:rsid w:val="004A45F9"/>
    <w:rsid w:val="004A4736"/>
    <w:rsid w:val="004A4EFD"/>
    <w:rsid w:val="004A5049"/>
    <w:rsid w:val="004B1158"/>
    <w:rsid w:val="004B1202"/>
    <w:rsid w:val="004B19AE"/>
    <w:rsid w:val="004B2CB6"/>
    <w:rsid w:val="004B45CC"/>
    <w:rsid w:val="004B5332"/>
    <w:rsid w:val="004B542B"/>
    <w:rsid w:val="004B5A87"/>
    <w:rsid w:val="004B5D82"/>
    <w:rsid w:val="004B6FEB"/>
    <w:rsid w:val="004B771E"/>
    <w:rsid w:val="004C3C22"/>
    <w:rsid w:val="004C3F4F"/>
    <w:rsid w:val="004C581E"/>
    <w:rsid w:val="004C79C6"/>
    <w:rsid w:val="004D1662"/>
    <w:rsid w:val="004D2BEE"/>
    <w:rsid w:val="004D57B5"/>
    <w:rsid w:val="004D6D5F"/>
    <w:rsid w:val="004D7BFD"/>
    <w:rsid w:val="004E4239"/>
    <w:rsid w:val="004E4D39"/>
    <w:rsid w:val="004E660D"/>
    <w:rsid w:val="004F0121"/>
    <w:rsid w:val="004F2938"/>
    <w:rsid w:val="004F4111"/>
    <w:rsid w:val="004F5519"/>
    <w:rsid w:val="004F728F"/>
    <w:rsid w:val="004F7ED7"/>
    <w:rsid w:val="00501AE2"/>
    <w:rsid w:val="00501AEA"/>
    <w:rsid w:val="00502677"/>
    <w:rsid w:val="00503704"/>
    <w:rsid w:val="0050472C"/>
    <w:rsid w:val="0051199C"/>
    <w:rsid w:val="005126D0"/>
    <w:rsid w:val="00512A45"/>
    <w:rsid w:val="005132F9"/>
    <w:rsid w:val="00515549"/>
    <w:rsid w:val="00517BC2"/>
    <w:rsid w:val="00517DFA"/>
    <w:rsid w:val="00520F1D"/>
    <w:rsid w:val="00520F77"/>
    <w:rsid w:val="00523B61"/>
    <w:rsid w:val="00525D94"/>
    <w:rsid w:val="00526537"/>
    <w:rsid w:val="0052774B"/>
    <w:rsid w:val="005341B3"/>
    <w:rsid w:val="005342EC"/>
    <w:rsid w:val="00534D54"/>
    <w:rsid w:val="00536EB0"/>
    <w:rsid w:val="005524F8"/>
    <w:rsid w:val="005538B2"/>
    <w:rsid w:val="00554BBB"/>
    <w:rsid w:val="0055650C"/>
    <w:rsid w:val="0055716A"/>
    <w:rsid w:val="00560FD3"/>
    <w:rsid w:val="005616BA"/>
    <w:rsid w:val="00561A97"/>
    <w:rsid w:val="00562EDA"/>
    <w:rsid w:val="00570238"/>
    <w:rsid w:val="00571786"/>
    <w:rsid w:val="00575B8E"/>
    <w:rsid w:val="00580F3D"/>
    <w:rsid w:val="0058291E"/>
    <w:rsid w:val="00584140"/>
    <w:rsid w:val="00585AB6"/>
    <w:rsid w:val="00586AF0"/>
    <w:rsid w:val="0059195F"/>
    <w:rsid w:val="00591A42"/>
    <w:rsid w:val="005921C5"/>
    <w:rsid w:val="00592F23"/>
    <w:rsid w:val="00593DB6"/>
    <w:rsid w:val="005952A8"/>
    <w:rsid w:val="00596B50"/>
    <w:rsid w:val="00597565"/>
    <w:rsid w:val="00597B92"/>
    <w:rsid w:val="00597C54"/>
    <w:rsid w:val="005A081F"/>
    <w:rsid w:val="005A1989"/>
    <w:rsid w:val="005A210A"/>
    <w:rsid w:val="005A2C2A"/>
    <w:rsid w:val="005A5F76"/>
    <w:rsid w:val="005A76F7"/>
    <w:rsid w:val="005A79AD"/>
    <w:rsid w:val="005B28FB"/>
    <w:rsid w:val="005B3006"/>
    <w:rsid w:val="005B4EAC"/>
    <w:rsid w:val="005B51FE"/>
    <w:rsid w:val="005B71C0"/>
    <w:rsid w:val="005B7AB1"/>
    <w:rsid w:val="005C0B28"/>
    <w:rsid w:val="005C1255"/>
    <w:rsid w:val="005C6175"/>
    <w:rsid w:val="005C6800"/>
    <w:rsid w:val="005D364F"/>
    <w:rsid w:val="005D52AF"/>
    <w:rsid w:val="005D5EE6"/>
    <w:rsid w:val="005D7E3C"/>
    <w:rsid w:val="005E0C1A"/>
    <w:rsid w:val="005E0E58"/>
    <w:rsid w:val="005E0E5D"/>
    <w:rsid w:val="005E1638"/>
    <w:rsid w:val="005E432E"/>
    <w:rsid w:val="005E474A"/>
    <w:rsid w:val="005E59E4"/>
    <w:rsid w:val="005E78D4"/>
    <w:rsid w:val="005F0295"/>
    <w:rsid w:val="005F06DE"/>
    <w:rsid w:val="005F1897"/>
    <w:rsid w:val="005F2098"/>
    <w:rsid w:val="005F5E81"/>
    <w:rsid w:val="006017C7"/>
    <w:rsid w:val="00601AC3"/>
    <w:rsid w:val="00601AC6"/>
    <w:rsid w:val="0060306C"/>
    <w:rsid w:val="006046DC"/>
    <w:rsid w:val="00606623"/>
    <w:rsid w:val="00606EEE"/>
    <w:rsid w:val="00607B91"/>
    <w:rsid w:val="00611B8F"/>
    <w:rsid w:val="00611F7A"/>
    <w:rsid w:val="00614F53"/>
    <w:rsid w:val="006156C4"/>
    <w:rsid w:val="00620FEC"/>
    <w:rsid w:val="00622DB0"/>
    <w:rsid w:val="00623ABC"/>
    <w:rsid w:val="006241B3"/>
    <w:rsid w:val="00625FCC"/>
    <w:rsid w:val="00632D01"/>
    <w:rsid w:val="00633522"/>
    <w:rsid w:val="006403A5"/>
    <w:rsid w:val="006418FF"/>
    <w:rsid w:val="00643A3A"/>
    <w:rsid w:val="00644979"/>
    <w:rsid w:val="00645355"/>
    <w:rsid w:val="0064711E"/>
    <w:rsid w:val="00650B60"/>
    <w:rsid w:val="00651D36"/>
    <w:rsid w:val="00653452"/>
    <w:rsid w:val="00653864"/>
    <w:rsid w:val="00654298"/>
    <w:rsid w:val="0065449D"/>
    <w:rsid w:val="006553CF"/>
    <w:rsid w:val="00655E0F"/>
    <w:rsid w:val="00656F6C"/>
    <w:rsid w:val="006608FA"/>
    <w:rsid w:val="00661121"/>
    <w:rsid w:val="00667CD6"/>
    <w:rsid w:val="006715B0"/>
    <w:rsid w:val="00680B44"/>
    <w:rsid w:val="00681537"/>
    <w:rsid w:val="006828EC"/>
    <w:rsid w:val="006869E8"/>
    <w:rsid w:val="0068767A"/>
    <w:rsid w:val="00687F9B"/>
    <w:rsid w:val="00691955"/>
    <w:rsid w:val="00691DAF"/>
    <w:rsid w:val="00694523"/>
    <w:rsid w:val="00696469"/>
    <w:rsid w:val="006967D3"/>
    <w:rsid w:val="006A0365"/>
    <w:rsid w:val="006A2575"/>
    <w:rsid w:val="006A3335"/>
    <w:rsid w:val="006A3B57"/>
    <w:rsid w:val="006A5CAC"/>
    <w:rsid w:val="006A77BE"/>
    <w:rsid w:val="006B40A5"/>
    <w:rsid w:val="006B444A"/>
    <w:rsid w:val="006B44FA"/>
    <w:rsid w:val="006B4E72"/>
    <w:rsid w:val="006B506A"/>
    <w:rsid w:val="006B5454"/>
    <w:rsid w:val="006C0E43"/>
    <w:rsid w:val="006C2696"/>
    <w:rsid w:val="006C3371"/>
    <w:rsid w:val="006C3C01"/>
    <w:rsid w:val="006C4521"/>
    <w:rsid w:val="006C49AA"/>
    <w:rsid w:val="006C4A78"/>
    <w:rsid w:val="006C5A8E"/>
    <w:rsid w:val="006C6921"/>
    <w:rsid w:val="006C774D"/>
    <w:rsid w:val="006D0B2E"/>
    <w:rsid w:val="006D1166"/>
    <w:rsid w:val="006D1F5A"/>
    <w:rsid w:val="006D3728"/>
    <w:rsid w:val="006D4215"/>
    <w:rsid w:val="006D7301"/>
    <w:rsid w:val="006D7D10"/>
    <w:rsid w:val="006E04BB"/>
    <w:rsid w:val="006E27B9"/>
    <w:rsid w:val="006E5A67"/>
    <w:rsid w:val="006E602B"/>
    <w:rsid w:val="006E721E"/>
    <w:rsid w:val="006F0D8C"/>
    <w:rsid w:val="006F3370"/>
    <w:rsid w:val="006F3A34"/>
    <w:rsid w:val="006F4E82"/>
    <w:rsid w:val="006F58DA"/>
    <w:rsid w:val="006F612E"/>
    <w:rsid w:val="006F7E63"/>
    <w:rsid w:val="00700906"/>
    <w:rsid w:val="00701379"/>
    <w:rsid w:val="00702236"/>
    <w:rsid w:val="00702BD6"/>
    <w:rsid w:val="00704460"/>
    <w:rsid w:val="00704D7A"/>
    <w:rsid w:val="0071244C"/>
    <w:rsid w:val="0071286D"/>
    <w:rsid w:val="0071287F"/>
    <w:rsid w:val="00713302"/>
    <w:rsid w:val="00714575"/>
    <w:rsid w:val="00721B40"/>
    <w:rsid w:val="00725DD6"/>
    <w:rsid w:val="00730244"/>
    <w:rsid w:val="00732576"/>
    <w:rsid w:val="00732629"/>
    <w:rsid w:val="00733B06"/>
    <w:rsid w:val="00734FA6"/>
    <w:rsid w:val="00735220"/>
    <w:rsid w:val="007362E5"/>
    <w:rsid w:val="00737CA3"/>
    <w:rsid w:val="00740C73"/>
    <w:rsid w:val="00740D38"/>
    <w:rsid w:val="00742562"/>
    <w:rsid w:val="007427A6"/>
    <w:rsid w:val="0074376A"/>
    <w:rsid w:val="00746398"/>
    <w:rsid w:val="0074704C"/>
    <w:rsid w:val="00747281"/>
    <w:rsid w:val="00750AE0"/>
    <w:rsid w:val="00755996"/>
    <w:rsid w:val="00755EB9"/>
    <w:rsid w:val="007570BF"/>
    <w:rsid w:val="0076089F"/>
    <w:rsid w:val="00760941"/>
    <w:rsid w:val="00760AC4"/>
    <w:rsid w:val="0076270F"/>
    <w:rsid w:val="007644BD"/>
    <w:rsid w:val="00765092"/>
    <w:rsid w:val="00767D51"/>
    <w:rsid w:val="00770A93"/>
    <w:rsid w:val="0077357C"/>
    <w:rsid w:val="00774935"/>
    <w:rsid w:val="00775E8D"/>
    <w:rsid w:val="00780F09"/>
    <w:rsid w:val="00781436"/>
    <w:rsid w:val="007852B6"/>
    <w:rsid w:val="00787421"/>
    <w:rsid w:val="00791695"/>
    <w:rsid w:val="0079178A"/>
    <w:rsid w:val="00791A2B"/>
    <w:rsid w:val="007930A1"/>
    <w:rsid w:val="0079362D"/>
    <w:rsid w:val="007938A7"/>
    <w:rsid w:val="0079536F"/>
    <w:rsid w:val="00795F17"/>
    <w:rsid w:val="00797299"/>
    <w:rsid w:val="007A1797"/>
    <w:rsid w:val="007A5965"/>
    <w:rsid w:val="007B40E4"/>
    <w:rsid w:val="007B44A4"/>
    <w:rsid w:val="007B4656"/>
    <w:rsid w:val="007B5838"/>
    <w:rsid w:val="007B5CDC"/>
    <w:rsid w:val="007B5F5E"/>
    <w:rsid w:val="007B7735"/>
    <w:rsid w:val="007C0A35"/>
    <w:rsid w:val="007C1BA6"/>
    <w:rsid w:val="007C2E4C"/>
    <w:rsid w:val="007C324B"/>
    <w:rsid w:val="007C3627"/>
    <w:rsid w:val="007C3A47"/>
    <w:rsid w:val="007C3C6B"/>
    <w:rsid w:val="007D0F70"/>
    <w:rsid w:val="007D17E6"/>
    <w:rsid w:val="007D31C4"/>
    <w:rsid w:val="007D35DE"/>
    <w:rsid w:val="007D5773"/>
    <w:rsid w:val="007D6976"/>
    <w:rsid w:val="007D7353"/>
    <w:rsid w:val="007D7D3C"/>
    <w:rsid w:val="007E1CC1"/>
    <w:rsid w:val="007E3C87"/>
    <w:rsid w:val="007E40C7"/>
    <w:rsid w:val="007E5736"/>
    <w:rsid w:val="007E7896"/>
    <w:rsid w:val="007F1FA4"/>
    <w:rsid w:val="007F48AB"/>
    <w:rsid w:val="007F63FB"/>
    <w:rsid w:val="007F7243"/>
    <w:rsid w:val="0080059E"/>
    <w:rsid w:val="008033AA"/>
    <w:rsid w:val="00803BA4"/>
    <w:rsid w:val="00803CC1"/>
    <w:rsid w:val="00804EB8"/>
    <w:rsid w:val="008068B0"/>
    <w:rsid w:val="0081062B"/>
    <w:rsid w:val="00811735"/>
    <w:rsid w:val="0081278D"/>
    <w:rsid w:val="0081640E"/>
    <w:rsid w:val="00816D8D"/>
    <w:rsid w:val="00817BF1"/>
    <w:rsid w:val="00825C26"/>
    <w:rsid w:val="00826D43"/>
    <w:rsid w:val="008328ED"/>
    <w:rsid w:val="00833452"/>
    <w:rsid w:val="00835820"/>
    <w:rsid w:val="008358D7"/>
    <w:rsid w:val="00841429"/>
    <w:rsid w:val="00841CDF"/>
    <w:rsid w:val="00842A51"/>
    <w:rsid w:val="00843E23"/>
    <w:rsid w:val="008448C2"/>
    <w:rsid w:val="00844E5D"/>
    <w:rsid w:val="00845D56"/>
    <w:rsid w:val="00846E30"/>
    <w:rsid w:val="00847225"/>
    <w:rsid w:val="00851566"/>
    <w:rsid w:val="00853966"/>
    <w:rsid w:val="00854171"/>
    <w:rsid w:val="00855EB7"/>
    <w:rsid w:val="00856DCE"/>
    <w:rsid w:val="00864812"/>
    <w:rsid w:val="008648A2"/>
    <w:rsid w:val="00865462"/>
    <w:rsid w:val="008667A4"/>
    <w:rsid w:val="00866D23"/>
    <w:rsid w:val="0087019E"/>
    <w:rsid w:val="0087093D"/>
    <w:rsid w:val="008726DC"/>
    <w:rsid w:val="008734DB"/>
    <w:rsid w:val="00873514"/>
    <w:rsid w:val="00876D8E"/>
    <w:rsid w:val="008778A7"/>
    <w:rsid w:val="008839D0"/>
    <w:rsid w:val="0088427D"/>
    <w:rsid w:val="0089050D"/>
    <w:rsid w:val="00891697"/>
    <w:rsid w:val="00891E01"/>
    <w:rsid w:val="008939E5"/>
    <w:rsid w:val="00895A30"/>
    <w:rsid w:val="008975B3"/>
    <w:rsid w:val="008A0731"/>
    <w:rsid w:val="008A22E1"/>
    <w:rsid w:val="008A3985"/>
    <w:rsid w:val="008A4474"/>
    <w:rsid w:val="008A45D9"/>
    <w:rsid w:val="008A4717"/>
    <w:rsid w:val="008A5A2F"/>
    <w:rsid w:val="008A6B53"/>
    <w:rsid w:val="008A71B0"/>
    <w:rsid w:val="008B080F"/>
    <w:rsid w:val="008B14C2"/>
    <w:rsid w:val="008B1672"/>
    <w:rsid w:val="008B6383"/>
    <w:rsid w:val="008C04A2"/>
    <w:rsid w:val="008C04B5"/>
    <w:rsid w:val="008C0C7B"/>
    <w:rsid w:val="008C297B"/>
    <w:rsid w:val="008C6A16"/>
    <w:rsid w:val="008D039C"/>
    <w:rsid w:val="008D3EAF"/>
    <w:rsid w:val="008D4233"/>
    <w:rsid w:val="008D6841"/>
    <w:rsid w:val="008E010B"/>
    <w:rsid w:val="008E4DA2"/>
    <w:rsid w:val="008F19F2"/>
    <w:rsid w:val="008F2385"/>
    <w:rsid w:val="008F24B3"/>
    <w:rsid w:val="008F3B08"/>
    <w:rsid w:val="008F4E48"/>
    <w:rsid w:val="008F6C1D"/>
    <w:rsid w:val="008F6C32"/>
    <w:rsid w:val="008F78D5"/>
    <w:rsid w:val="0090047E"/>
    <w:rsid w:val="00901DD3"/>
    <w:rsid w:val="00902408"/>
    <w:rsid w:val="00902A0C"/>
    <w:rsid w:val="0090373D"/>
    <w:rsid w:val="00905354"/>
    <w:rsid w:val="009066DA"/>
    <w:rsid w:val="00906CEE"/>
    <w:rsid w:val="00907612"/>
    <w:rsid w:val="0091107B"/>
    <w:rsid w:val="00911A55"/>
    <w:rsid w:val="0091700A"/>
    <w:rsid w:val="00917E9C"/>
    <w:rsid w:val="00920CF0"/>
    <w:rsid w:val="009221DA"/>
    <w:rsid w:val="009247E4"/>
    <w:rsid w:val="00925405"/>
    <w:rsid w:val="009275B9"/>
    <w:rsid w:val="00930582"/>
    <w:rsid w:val="00932711"/>
    <w:rsid w:val="00932827"/>
    <w:rsid w:val="009341B0"/>
    <w:rsid w:val="00935143"/>
    <w:rsid w:val="009367E1"/>
    <w:rsid w:val="00940276"/>
    <w:rsid w:val="00941E7A"/>
    <w:rsid w:val="00943057"/>
    <w:rsid w:val="00950C21"/>
    <w:rsid w:val="00951BBF"/>
    <w:rsid w:val="0095642A"/>
    <w:rsid w:val="00956B79"/>
    <w:rsid w:val="00960472"/>
    <w:rsid w:val="00960A3A"/>
    <w:rsid w:val="00961DC5"/>
    <w:rsid w:val="009637AF"/>
    <w:rsid w:val="00964279"/>
    <w:rsid w:val="00964402"/>
    <w:rsid w:val="009645CC"/>
    <w:rsid w:val="00964EA6"/>
    <w:rsid w:val="009658E7"/>
    <w:rsid w:val="0096669D"/>
    <w:rsid w:val="00967F4F"/>
    <w:rsid w:val="00970A11"/>
    <w:rsid w:val="00972A93"/>
    <w:rsid w:val="00974DE0"/>
    <w:rsid w:val="00981B36"/>
    <w:rsid w:val="00982F56"/>
    <w:rsid w:val="00983967"/>
    <w:rsid w:val="009843B9"/>
    <w:rsid w:val="0098514E"/>
    <w:rsid w:val="00986FC1"/>
    <w:rsid w:val="00993532"/>
    <w:rsid w:val="009942B5"/>
    <w:rsid w:val="0099454C"/>
    <w:rsid w:val="00995A4C"/>
    <w:rsid w:val="00995A70"/>
    <w:rsid w:val="00995CA3"/>
    <w:rsid w:val="00996946"/>
    <w:rsid w:val="00996D62"/>
    <w:rsid w:val="009A0004"/>
    <w:rsid w:val="009A12C1"/>
    <w:rsid w:val="009A41D2"/>
    <w:rsid w:val="009A6337"/>
    <w:rsid w:val="009A70B6"/>
    <w:rsid w:val="009B146A"/>
    <w:rsid w:val="009B207B"/>
    <w:rsid w:val="009B5143"/>
    <w:rsid w:val="009B7F4D"/>
    <w:rsid w:val="009C2033"/>
    <w:rsid w:val="009C23FF"/>
    <w:rsid w:val="009C4F25"/>
    <w:rsid w:val="009C697C"/>
    <w:rsid w:val="009C797E"/>
    <w:rsid w:val="009D129E"/>
    <w:rsid w:val="009D275C"/>
    <w:rsid w:val="009D3C26"/>
    <w:rsid w:val="009D4460"/>
    <w:rsid w:val="009D460A"/>
    <w:rsid w:val="009D6186"/>
    <w:rsid w:val="009D6770"/>
    <w:rsid w:val="009D6A63"/>
    <w:rsid w:val="009D7E54"/>
    <w:rsid w:val="009E0808"/>
    <w:rsid w:val="009E0844"/>
    <w:rsid w:val="009E17D3"/>
    <w:rsid w:val="009E2570"/>
    <w:rsid w:val="009E2E21"/>
    <w:rsid w:val="009E3DD6"/>
    <w:rsid w:val="009E3F70"/>
    <w:rsid w:val="009E4D97"/>
    <w:rsid w:val="009F06A0"/>
    <w:rsid w:val="009F07C4"/>
    <w:rsid w:val="009F1244"/>
    <w:rsid w:val="009F1E65"/>
    <w:rsid w:val="009F4B5D"/>
    <w:rsid w:val="00A00028"/>
    <w:rsid w:val="00A02D0A"/>
    <w:rsid w:val="00A054E2"/>
    <w:rsid w:val="00A05746"/>
    <w:rsid w:val="00A0652C"/>
    <w:rsid w:val="00A071E4"/>
    <w:rsid w:val="00A07F4D"/>
    <w:rsid w:val="00A07F70"/>
    <w:rsid w:val="00A15BB1"/>
    <w:rsid w:val="00A20341"/>
    <w:rsid w:val="00A20F46"/>
    <w:rsid w:val="00A21698"/>
    <w:rsid w:val="00A21888"/>
    <w:rsid w:val="00A21F2A"/>
    <w:rsid w:val="00A25CAB"/>
    <w:rsid w:val="00A26D85"/>
    <w:rsid w:val="00A30067"/>
    <w:rsid w:val="00A339F6"/>
    <w:rsid w:val="00A36125"/>
    <w:rsid w:val="00A36627"/>
    <w:rsid w:val="00A41023"/>
    <w:rsid w:val="00A425A6"/>
    <w:rsid w:val="00A46D7C"/>
    <w:rsid w:val="00A47C55"/>
    <w:rsid w:val="00A50F20"/>
    <w:rsid w:val="00A52AB7"/>
    <w:rsid w:val="00A54243"/>
    <w:rsid w:val="00A55676"/>
    <w:rsid w:val="00A56387"/>
    <w:rsid w:val="00A574D7"/>
    <w:rsid w:val="00A57942"/>
    <w:rsid w:val="00A606D7"/>
    <w:rsid w:val="00A71288"/>
    <w:rsid w:val="00A7232C"/>
    <w:rsid w:val="00A751F2"/>
    <w:rsid w:val="00A766C9"/>
    <w:rsid w:val="00A81DC9"/>
    <w:rsid w:val="00A8349F"/>
    <w:rsid w:val="00A835B4"/>
    <w:rsid w:val="00A841CA"/>
    <w:rsid w:val="00A84B45"/>
    <w:rsid w:val="00A85BC9"/>
    <w:rsid w:val="00A923B8"/>
    <w:rsid w:val="00A93018"/>
    <w:rsid w:val="00A93BC6"/>
    <w:rsid w:val="00A97257"/>
    <w:rsid w:val="00A975C3"/>
    <w:rsid w:val="00A97CE4"/>
    <w:rsid w:val="00AA637D"/>
    <w:rsid w:val="00AA672A"/>
    <w:rsid w:val="00AA767B"/>
    <w:rsid w:val="00AB01A9"/>
    <w:rsid w:val="00AB0824"/>
    <w:rsid w:val="00AC03FF"/>
    <w:rsid w:val="00AC0EB9"/>
    <w:rsid w:val="00AC5F89"/>
    <w:rsid w:val="00AC7F47"/>
    <w:rsid w:val="00AD00DC"/>
    <w:rsid w:val="00AD49F3"/>
    <w:rsid w:val="00AD4AA4"/>
    <w:rsid w:val="00AD51B3"/>
    <w:rsid w:val="00AD5768"/>
    <w:rsid w:val="00AD6216"/>
    <w:rsid w:val="00AD6B29"/>
    <w:rsid w:val="00AD75CE"/>
    <w:rsid w:val="00AE160C"/>
    <w:rsid w:val="00AE2276"/>
    <w:rsid w:val="00AE24D2"/>
    <w:rsid w:val="00AE4133"/>
    <w:rsid w:val="00AE4834"/>
    <w:rsid w:val="00AE7210"/>
    <w:rsid w:val="00AF1FFE"/>
    <w:rsid w:val="00AF5E0F"/>
    <w:rsid w:val="00B02CD1"/>
    <w:rsid w:val="00B03445"/>
    <w:rsid w:val="00B06EB9"/>
    <w:rsid w:val="00B06FCD"/>
    <w:rsid w:val="00B0704D"/>
    <w:rsid w:val="00B11B9C"/>
    <w:rsid w:val="00B11D52"/>
    <w:rsid w:val="00B12FEC"/>
    <w:rsid w:val="00B13079"/>
    <w:rsid w:val="00B13704"/>
    <w:rsid w:val="00B168F2"/>
    <w:rsid w:val="00B17035"/>
    <w:rsid w:val="00B202CA"/>
    <w:rsid w:val="00B2086E"/>
    <w:rsid w:val="00B213B3"/>
    <w:rsid w:val="00B304EB"/>
    <w:rsid w:val="00B3211A"/>
    <w:rsid w:val="00B37966"/>
    <w:rsid w:val="00B468CC"/>
    <w:rsid w:val="00B47902"/>
    <w:rsid w:val="00B52D45"/>
    <w:rsid w:val="00B53DF5"/>
    <w:rsid w:val="00B5456D"/>
    <w:rsid w:val="00B553C5"/>
    <w:rsid w:val="00B56B96"/>
    <w:rsid w:val="00B5776F"/>
    <w:rsid w:val="00B57F1A"/>
    <w:rsid w:val="00B61A46"/>
    <w:rsid w:val="00B62AE0"/>
    <w:rsid w:val="00B661BA"/>
    <w:rsid w:val="00B669A0"/>
    <w:rsid w:val="00B66AFD"/>
    <w:rsid w:val="00B67190"/>
    <w:rsid w:val="00B675E5"/>
    <w:rsid w:val="00B6761C"/>
    <w:rsid w:val="00B707D6"/>
    <w:rsid w:val="00B73171"/>
    <w:rsid w:val="00B739B9"/>
    <w:rsid w:val="00B81E93"/>
    <w:rsid w:val="00B84F7A"/>
    <w:rsid w:val="00B85B23"/>
    <w:rsid w:val="00B861EC"/>
    <w:rsid w:val="00B86E5E"/>
    <w:rsid w:val="00B95E19"/>
    <w:rsid w:val="00B975B8"/>
    <w:rsid w:val="00BA1731"/>
    <w:rsid w:val="00BA3F6E"/>
    <w:rsid w:val="00BA4A66"/>
    <w:rsid w:val="00BB4C87"/>
    <w:rsid w:val="00BB5039"/>
    <w:rsid w:val="00BB6B7E"/>
    <w:rsid w:val="00BB703F"/>
    <w:rsid w:val="00BB7103"/>
    <w:rsid w:val="00BC4880"/>
    <w:rsid w:val="00BC667D"/>
    <w:rsid w:val="00BD123C"/>
    <w:rsid w:val="00BD2C3D"/>
    <w:rsid w:val="00BD37E2"/>
    <w:rsid w:val="00BD4CEF"/>
    <w:rsid w:val="00BE3162"/>
    <w:rsid w:val="00BE510B"/>
    <w:rsid w:val="00BE62C9"/>
    <w:rsid w:val="00BE719D"/>
    <w:rsid w:val="00BF3011"/>
    <w:rsid w:val="00BF3FB9"/>
    <w:rsid w:val="00BF6253"/>
    <w:rsid w:val="00BF64B1"/>
    <w:rsid w:val="00BF72E5"/>
    <w:rsid w:val="00C017DD"/>
    <w:rsid w:val="00C01E77"/>
    <w:rsid w:val="00C03572"/>
    <w:rsid w:val="00C048E5"/>
    <w:rsid w:val="00C06FDC"/>
    <w:rsid w:val="00C0BA2F"/>
    <w:rsid w:val="00C11170"/>
    <w:rsid w:val="00C117CA"/>
    <w:rsid w:val="00C12CAF"/>
    <w:rsid w:val="00C12CD4"/>
    <w:rsid w:val="00C132F8"/>
    <w:rsid w:val="00C13E6F"/>
    <w:rsid w:val="00C1415B"/>
    <w:rsid w:val="00C14297"/>
    <w:rsid w:val="00C160D7"/>
    <w:rsid w:val="00C17453"/>
    <w:rsid w:val="00C21E4B"/>
    <w:rsid w:val="00C24385"/>
    <w:rsid w:val="00C31952"/>
    <w:rsid w:val="00C3294D"/>
    <w:rsid w:val="00C32A1A"/>
    <w:rsid w:val="00C37837"/>
    <w:rsid w:val="00C40D7B"/>
    <w:rsid w:val="00C40F0F"/>
    <w:rsid w:val="00C41086"/>
    <w:rsid w:val="00C41220"/>
    <w:rsid w:val="00C426D0"/>
    <w:rsid w:val="00C432EB"/>
    <w:rsid w:val="00C43794"/>
    <w:rsid w:val="00C47C2C"/>
    <w:rsid w:val="00C50891"/>
    <w:rsid w:val="00C50DA9"/>
    <w:rsid w:val="00C512C5"/>
    <w:rsid w:val="00C563F3"/>
    <w:rsid w:val="00C6376A"/>
    <w:rsid w:val="00C64B01"/>
    <w:rsid w:val="00C65148"/>
    <w:rsid w:val="00C65D7F"/>
    <w:rsid w:val="00C66246"/>
    <w:rsid w:val="00C704A1"/>
    <w:rsid w:val="00C70CE5"/>
    <w:rsid w:val="00C70EAE"/>
    <w:rsid w:val="00C710F5"/>
    <w:rsid w:val="00C717B5"/>
    <w:rsid w:val="00C71BF9"/>
    <w:rsid w:val="00C71D85"/>
    <w:rsid w:val="00C7214B"/>
    <w:rsid w:val="00C72166"/>
    <w:rsid w:val="00C726ED"/>
    <w:rsid w:val="00C72D05"/>
    <w:rsid w:val="00C72D46"/>
    <w:rsid w:val="00C74A4B"/>
    <w:rsid w:val="00C74EE2"/>
    <w:rsid w:val="00C77288"/>
    <w:rsid w:val="00C778C5"/>
    <w:rsid w:val="00C841E4"/>
    <w:rsid w:val="00C84F36"/>
    <w:rsid w:val="00C86BED"/>
    <w:rsid w:val="00C87BF1"/>
    <w:rsid w:val="00C97BFC"/>
    <w:rsid w:val="00C97F44"/>
    <w:rsid w:val="00CA0D9B"/>
    <w:rsid w:val="00CA3F64"/>
    <w:rsid w:val="00CA665D"/>
    <w:rsid w:val="00CA66C5"/>
    <w:rsid w:val="00CA6BDA"/>
    <w:rsid w:val="00CA6BF6"/>
    <w:rsid w:val="00CA75F1"/>
    <w:rsid w:val="00CB014E"/>
    <w:rsid w:val="00CB2823"/>
    <w:rsid w:val="00CB3AC2"/>
    <w:rsid w:val="00CB4015"/>
    <w:rsid w:val="00CB4B45"/>
    <w:rsid w:val="00CB7C83"/>
    <w:rsid w:val="00CC2634"/>
    <w:rsid w:val="00CC3D8C"/>
    <w:rsid w:val="00CC40CD"/>
    <w:rsid w:val="00CC516B"/>
    <w:rsid w:val="00CC5377"/>
    <w:rsid w:val="00CD0CBB"/>
    <w:rsid w:val="00CD46F8"/>
    <w:rsid w:val="00CD515A"/>
    <w:rsid w:val="00CD6B50"/>
    <w:rsid w:val="00CD71C4"/>
    <w:rsid w:val="00CD73F3"/>
    <w:rsid w:val="00CD790B"/>
    <w:rsid w:val="00CD7DCC"/>
    <w:rsid w:val="00CE04F2"/>
    <w:rsid w:val="00CE2005"/>
    <w:rsid w:val="00CE2EFC"/>
    <w:rsid w:val="00CE78EB"/>
    <w:rsid w:val="00CF1323"/>
    <w:rsid w:val="00CF1607"/>
    <w:rsid w:val="00CF2106"/>
    <w:rsid w:val="00CF420F"/>
    <w:rsid w:val="00CF52F3"/>
    <w:rsid w:val="00CF612D"/>
    <w:rsid w:val="00CF70CA"/>
    <w:rsid w:val="00CF72A3"/>
    <w:rsid w:val="00D0044F"/>
    <w:rsid w:val="00D07318"/>
    <w:rsid w:val="00D074C3"/>
    <w:rsid w:val="00D10F98"/>
    <w:rsid w:val="00D11A24"/>
    <w:rsid w:val="00D12240"/>
    <w:rsid w:val="00D12DEC"/>
    <w:rsid w:val="00D12F25"/>
    <w:rsid w:val="00D16B25"/>
    <w:rsid w:val="00D17C1C"/>
    <w:rsid w:val="00D20968"/>
    <w:rsid w:val="00D21840"/>
    <w:rsid w:val="00D21DB4"/>
    <w:rsid w:val="00D23377"/>
    <w:rsid w:val="00D236D5"/>
    <w:rsid w:val="00D278B7"/>
    <w:rsid w:val="00D32486"/>
    <w:rsid w:val="00D328B7"/>
    <w:rsid w:val="00D35EC1"/>
    <w:rsid w:val="00D40082"/>
    <w:rsid w:val="00D40E0F"/>
    <w:rsid w:val="00D43C7C"/>
    <w:rsid w:val="00D448C9"/>
    <w:rsid w:val="00D45C52"/>
    <w:rsid w:val="00D477E9"/>
    <w:rsid w:val="00D50738"/>
    <w:rsid w:val="00D533E1"/>
    <w:rsid w:val="00D53D9D"/>
    <w:rsid w:val="00D55672"/>
    <w:rsid w:val="00D62390"/>
    <w:rsid w:val="00D634F1"/>
    <w:rsid w:val="00D7062D"/>
    <w:rsid w:val="00D70F8B"/>
    <w:rsid w:val="00D72168"/>
    <w:rsid w:val="00D746EB"/>
    <w:rsid w:val="00D7699D"/>
    <w:rsid w:val="00D776EE"/>
    <w:rsid w:val="00D778EC"/>
    <w:rsid w:val="00D80ADF"/>
    <w:rsid w:val="00D84935"/>
    <w:rsid w:val="00D85252"/>
    <w:rsid w:val="00D85D4F"/>
    <w:rsid w:val="00D9154C"/>
    <w:rsid w:val="00D93399"/>
    <w:rsid w:val="00D95566"/>
    <w:rsid w:val="00D97938"/>
    <w:rsid w:val="00DA2BB2"/>
    <w:rsid w:val="00DA43B2"/>
    <w:rsid w:val="00DB0E9C"/>
    <w:rsid w:val="00DB1C54"/>
    <w:rsid w:val="00DB3810"/>
    <w:rsid w:val="00DB5809"/>
    <w:rsid w:val="00DB74DA"/>
    <w:rsid w:val="00DC1889"/>
    <w:rsid w:val="00DC62CD"/>
    <w:rsid w:val="00DC7BD7"/>
    <w:rsid w:val="00DD0CF4"/>
    <w:rsid w:val="00DD671E"/>
    <w:rsid w:val="00DD6A07"/>
    <w:rsid w:val="00DD74B8"/>
    <w:rsid w:val="00DE3F55"/>
    <w:rsid w:val="00DE4441"/>
    <w:rsid w:val="00DE5D1E"/>
    <w:rsid w:val="00DF01E1"/>
    <w:rsid w:val="00DF1A6D"/>
    <w:rsid w:val="00DF2A67"/>
    <w:rsid w:val="00DF3B18"/>
    <w:rsid w:val="00DF6D27"/>
    <w:rsid w:val="00DF7A0F"/>
    <w:rsid w:val="00E02DB0"/>
    <w:rsid w:val="00E032AB"/>
    <w:rsid w:val="00E0461B"/>
    <w:rsid w:val="00E07F74"/>
    <w:rsid w:val="00E13093"/>
    <w:rsid w:val="00E16930"/>
    <w:rsid w:val="00E2074D"/>
    <w:rsid w:val="00E2076A"/>
    <w:rsid w:val="00E22186"/>
    <w:rsid w:val="00E25F99"/>
    <w:rsid w:val="00E3284D"/>
    <w:rsid w:val="00E40382"/>
    <w:rsid w:val="00E40C15"/>
    <w:rsid w:val="00E41693"/>
    <w:rsid w:val="00E44DC0"/>
    <w:rsid w:val="00E45CEA"/>
    <w:rsid w:val="00E45F81"/>
    <w:rsid w:val="00E47EA3"/>
    <w:rsid w:val="00E5128E"/>
    <w:rsid w:val="00E52CD1"/>
    <w:rsid w:val="00E560EA"/>
    <w:rsid w:val="00E56366"/>
    <w:rsid w:val="00E5649E"/>
    <w:rsid w:val="00E56B76"/>
    <w:rsid w:val="00E60B6F"/>
    <w:rsid w:val="00E63ADC"/>
    <w:rsid w:val="00E66E4B"/>
    <w:rsid w:val="00E6778F"/>
    <w:rsid w:val="00E72C74"/>
    <w:rsid w:val="00E74674"/>
    <w:rsid w:val="00E74CF4"/>
    <w:rsid w:val="00E756DD"/>
    <w:rsid w:val="00E77245"/>
    <w:rsid w:val="00E811B7"/>
    <w:rsid w:val="00E82EF8"/>
    <w:rsid w:val="00E837F0"/>
    <w:rsid w:val="00E870EB"/>
    <w:rsid w:val="00E87B7B"/>
    <w:rsid w:val="00E87E01"/>
    <w:rsid w:val="00E9217B"/>
    <w:rsid w:val="00E924BA"/>
    <w:rsid w:val="00EA2340"/>
    <w:rsid w:val="00EA31A0"/>
    <w:rsid w:val="00EA4312"/>
    <w:rsid w:val="00EA464C"/>
    <w:rsid w:val="00EB05E7"/>
    <w:rsid w:val="00EB36C7"/>
    <w:rsid w:val="00EC372D"/>
    <w:rsid w:val="00EC3EB2"/>
    <w:rsid w:val="00EC5ECF"/>
    <w:rsid w:val="00EC6A0D"/>
    <w:rsid w:val="00EC70B0"/>
    <w:rsid w:val="00EC7748"/>
    <w:rsid w:val="00ED07DC"/>
    <w:rsid w:val="00ED0822"/>
    <w:rsid w:val="00ED1827"/>
    <w:rsid w:val="00ED1D3B"/>
    <w:rsid w:val="00ED3A5B"/>
    <w:rsid w:val="00ED68BF"/>
    <w:rsid w:val="00ED7089"/>
    <w:rsid w:val="00ED710C"/>
    <w:rsid w:val="00EE10A8"/>
    <w:rsid w:val="00EE288F"/>
    <w:rsid w:val="00EE4267"/>
    <w:rsid w:val="00EE5EA9"/>
    <w:rsid w:val="00EE62AF"/>
    <w:rsid w:val="00EE6753"/>
    <w:rsid w:val="00EE6925"/>
    <w:rsid w:val="00EE6A37"/>
    <w:rsid w:val="00EE6FE0"/>
    <w:rsid w:val="00F00925"/>
    <w:rsid w:val="00F02BA8"/>
    <w:rsid w:val="00F04DDC"/>
    <w:rsid w:val="00F05AA1"/>
    <w:rsid w:val="00F0683F"/>
    <w:rsid w:val="00F144D0"/>
    <w:rsid w:val="00F16201"/>
    <w:rsid w:val="00F16D0A"/>
    <w:rsid w:val="00F17194"/>
    <w:rsid w:val="00F20028"/>
    <w:rsid w:val="00F20DD2"/>
    <w:rsid w:val="00F21405"/>
    <w:rsid w:val="00F2289D"/>
    <w:rsid w:val="00F22ADB"/>
    <w:rsid w:val="00F22EC4"/>
    <w:rsid w:val="00F22FD5"/>
    <w:rsid w:val="00F22FF3"/>
    <w:rsid w:val="00F234F3"/>
    <w:rsid w:val="00F266F7"/>
    <w:rsid w:val="00F26C34"/>
    <w:rsid w:val="00F27BD3"/>
    <w:rsid w:val="00F3100B"/>
    <w:rsid w:val="00F318A2"/>
    <w:rsid w:val="00F31F16"/>
    <w:rsid w:val="00F34233"/>
    <w:rsid w:val="00F36C2A"/>
    <w:rsid w:val="00F3724A"/>
    <w:rsid w:val="00F37CAF"/>
    <w:rsid w:val="00F40978"/>
    <w:rsid w:val="00F42E44"/>
    <w:rsid w:val="00F42FF3"/>
    <w:rsid w:val="00F44882"/>
    <w:rsid w:val="00F454B8"/>
    <w:rsid w:val="00F5044D"/>
    <w:rsid w:val="00F50965"/>
    <w:rsid w:val="00F54C40"/>
    <w:rsid w:val="00F56BAF"/>
    <w:rsid w:val="00F61999"/>
    <w:rsid w:val="00F65624"/>
    <w:rsid w:val="00F657AF"/>
    <w:rsid w:val="00F676AC"/>
    <w:rsid w:val="00F700D5"/>
    <w:rsid w:val="00F7276D"/>
    <w:rsid w:val="00F73399"/>
    <w:rsid w:val="00F74DB8"/>
    <w:rsid w:val="00F82F90"/>
    <w:rsid w:val="00F839DC"/>
    <w:rsid w:val="00F83AA0"/>
    <w:rsid w:val="00F850D5"/>
    <w:rsid w:val="00F8572D"/>
    <w:rsid w:val="00F87711"/>
    <w:rsid w:val="00F91496"/>
    <w:rsid w:val="00F91AFE"/>
    <w:rsid w:val="00F91DD8"/>
    <w:rsid w:val="00F971DE"/>
    <w:rsid w:val="00FA097C"/>
    <w:rsid w:val="00FA1B6E"/>
    <w:rsid w:val="00FA211F"/>
    <w:rsid w:val="00FA2D22"/>
    <w:rsid w:val="00FA5E03"/>
    <w:rsid w:val="00FB062A"/>
    <w:rsid w:val="00FB19D7"/>
    <w:rsid w:val="00FB2C12"/>
    <w:rsid w:val="00FB4EC0"/>
    <w:rsid w:val="00FB602C"/>
    <w:rsid w:val="00FB767E"/>
    <w:rsid w:val="00FC0DE7"/>
    <w:rsid w:val="00FC179B"/>
    <w:rsid w:val="00FC2889"/>
    <w:rsid w:val="00FC28AB"/>
    <w:rsid w:val="00FC51D4"/>
    <w:rsid w:val="00FC772B"/>
    <w:rsid w:val="00FD4DD8"/>
    <w:rsid w:val="00FD4F87"/>
    <w:rsid w:val="00FD5DEF"/>
    <w:rsid w:val="00FE000E"/>
    <w:rsid w:val="00FE0C70"/>
    <w:rsid w:val="00FE4EB6"/>
    <w:rsid w:val="00FE6859"/>
    <w:rsid w:val="00FE7A86"/>
    <w:rsid w:val="00FF01D0"/>
    <w:rsid w:val="00FF3A95"/>
    <w:rsid w:val="00FF6064"/>
    <w:rsid w:val="00FF6FBD"/>
    <w:rsid w:val="00FF7FC3"/>
    <w:rsid w:val="0125405E"/>
    <w:rsid w:val="01E64778"/>
    <w:rsid w:val="0373D9C8"/>
    <w:rsid w:val="0398FAD6"/>
    <w:rsid w:val="03B6EE85"/>
    <w:rsid w:val="03FE3738"/>
    <w:rsid w:val="0417B15B"/>
    <w:rsid w:val="04F042BD"/>
    <w:rsid w:val="054EE7E2"/>
    <w:rsid w:val="05C72A86"/>
    <w:rsid w:val="06533C2F"/>
    <w:rsid w:val="084A13EE"/>
    <w:rsid w:val="08D4AF4D"/>
    <w:rsid w:val="091770EC"/>
    <w:rsid w:val="0A7AA12F"/>
    <w:rsid w:val="0B0BB394"/>
    <w:rsid w:val="0C7BF6CE"/>
    <w:rsid w:val="0C9F4640"/>
    <w:rsid w:val="0CDAB2B2"/>
    <w:rsid w:val="0D492E01"/>
    <w:rsid w:val="10FD2A70"/>
    <w:rsid w:val="124FCA54"/>
    <w:rsid w:val="13E22437"/>
    <w:rsid w:val="13FAA6BE"/>
    <w:rsid w:val="150077E7"/>
    <w:rsid w:val="155ED283"/>
    <w:rsid w:val="15812B7F"/>
    <w:rsid w:val="15D6B788"/>
    <w:rsid w:val="165FCBBA"/>
    <w:rsid w:val="1721181F"/>
    <w:rsid w:val="172FB455"/>
    <w:rsid w:val="1766D999"/>
    <w:rsid w:val="176B1EFF"/>
    <w:rsid w:val="17E4A8B1"/>
    <w:rsid w:val="191DE33F"/>
    <w:rsid w:val="197DECD5"/>
    <w:rsid w:val="1A3B8AAD"/>
    <w:rsid w:val="1AA238D6"/>
    <w:rsid w:val="1B70AE66"/>
    <w:rsid w:val="1D3BCF3F"/>
    <w:rsid w:val="1D7AB7CA"/>
    <w:rsid w:val="1DA5D4EE"/>
    <w:rsid w:val="1E207182"/>
    <w:rsid w:val="1ECE3ECF"/>
    <w:rsid w:val="1F0F415F"/>
    <w:rsid w:val="1F459E4F"/>
    <w:rsid w:val="1FF5B5B5"/>
    <w:rsid w:val="201BFF47"/>
    <w:rsid w:val="2115BE1D"/>
    <w:rsid w:val="213C33CD"/>
    <w:rsid w:val="21719C47"/>
    <w:rsid w:val="224CFBB7"/>
    <w:rsid w:val="238BE8DA"/>
    <w:rsid w:val="23ABC075"/>
    <w:rsid w:val="24134B5E"/>
    <w:rsid w:val="25294C1B"/>
    <w:rsid w:val="262F21E9"/>
    <w:rsid w:val="27534B25"/>
    <w:rsid w:val="2762C00C"/>
    <w:rsid w:val="277240DB"/>
    <w:rsid w:val="298B3AB7"/>
    <w:rsid w:val="29DDE9AE"/>
    <w:rsid w:val="2A1D4B95"/>
    <w:rsid w:val="2AFAC57A"/>
    <w:rsid w:val="2B26A32E"/>
    <w:rsid w:val="2B810AA9"/>
    <w:rsid w:val="2C1551EB"/>
    <w:rsid w:val="2D17AF27"/>
    <w:rsid w:val="2DB5C453"/>
    <w:rsid w:val="2E722097"/>
    <w:rsid w:val="2E971BE8"/>
    <w:rsid w:val="30BAE5F8"/>
    <w:rsid w:val="31983745"/>
    <w:rsid w:val="31C3672C"/>
    <w:rsid w:val="31DFE022"/>
    <w:rsid w:val="32152B0A"/>
    <w:rsid w:val="3230EAFE"/>
    <w:rsid w:val="326F88C3"/>
    <w:rsid w:val="33754C7C"/>
    <w:rsid w:val="33F7C1E6"/>
    <w:rsid w:val="3609CC24"/>
    <w:rsid w:val="36C9CBA1"/>
    <w:rsid w:val="36D07B76"/>
    <w:rsid w:val="3801CF00"/>
    <w:rsid w:val="38F4FD0C"/>
    <w:rsid w:val="39768D8C"/>
    <w:rsid w:val="39835155"/>
    <w:rsid w:val="39B45FED"/>
    <w:rsid w:val="3AC71CDA"/>
    <w:rsid w:val="3AC73619"/>
    <w:rsid w:val="3B0E07AC"/>
    <w:rsid w:val="3CE82CAA"/>
    <w:rsid w:val="3CF28C48"/>
    <w:rsid w:val="3D1B6A34"/>
    <w:rsid w:val="3DEC1955"/>
    <w:rsid w:val="3F174499"/>
    <w:rsid w:val="40687C78"/>
    <w:rsid w:val="40E5A8D9"/>
    <w:rsid w:val="419BDAF9"/>
    <w:rsid w:val="41A85CE6"/>
    <w:rsid w:val="41DBC828"/>
    <w:rsid w:val="4353C546"/>
    <w:rsid w:val="444EF64F"/>
    <w:rsid w:val="453C4AE9"/>
    <w:rsid w:val="456E334B"/>
    <w:rsid w:val="4579B0EC"/>
    <w:rsid w:val="45E4E607"/>
    <w:rsid w:val="4666ACE4"/>
    <w:rsid w:val="4668855F"/>
    <w:rsid w:val="47F281D2"/>
    <w:rsid w:val="48EEEC32"/>
    <w:rsid w:val="491344D6"/>
    <w:rsid w:val="496CDA99"/>
    <w:rsid w:val="4AD94C71"/>
    <w:rsid w:val="4BA87893"/>
    <w:rsid w:val="4BE50C19"/>
    <w:rsid w:val="4CCF58A7"/>
    <w:rsid w:val="4D902637"/>
    <w:rsid w:val="4E1286E7"/>
    <w:rsid w:val="4E1A1E98"/>
    <w:rsid w:val="4E58F64D"/>
    <w:rsid w:val="4E9C1FEB"/>
    <w:rsid w:val="5034D28A"/>
    <w:rsid w:val="50E58AD4"/>
    <w:rsid w:val="52217F38"/>
    <w:rsid w:val="568EEA75"/>
    <w:rsid w:val="5766F79B"/>
    <w:rsid w:val="5800B985"/>
    <w:rsid w:val="5815B937"/>
    <w:rsid w:val="59031087"/>
    <w:rsid w:val="5A04CBDF"/>
    <w:rsid w:val="5A6871AC"/>
    <w:rsid w:val="5C72D02C"/>
    <w:rsid w:val="5CA63FBF"/>
    <w:rsid w:val="5CBB9475"/>
    <w:rsid w:val="5E67D5BF"/>
    <w:rsid w:val="5EC9A33E"/>
    <w:rsid w:val="5F10F89F"/>
    <w:rsid w:val="5FCFD5FD"/>
    <w:rsid w:val="6139ACD9"/>
    <w:rsid w:val="62D3004F"/>
    <w:rsid w:val="63F09B00"/>
    <w:rsid w:val="658C86DA"/>
    <w:rsid w:val="66855505"/>
    <w:rsid w:val="66D4CB7A"/>
    <w:rsid w:val="66E719B4"/>
    <w:rsid w:val="67496B41"/>
    <w:rsid w:val="67D0B653"/>
    <w:rsid w:val="67DB9975"/>
    <w:rsid w:val="68031035"/>
    <w:rsid w:val="68040D88"/>
    <w:rsid w:val="6851D10B"/>
    <w:rsid w:val="68B813EE"/>
    <w:rsid w:val="696684AC"/>
    <w:rsid w:val="69734E1B"/>
    <w:rsid w:val="69CD717B"/>
    <w:rsid w:val="6A43CF2E"/>
    <w:rsid w:val="6C26B12B"/>
    <w:rsid w:val="6C8F1ADD"/>
    <w:rsid w:val="6CECDB74"/>
    <w:rsid w:val="6E96201F"/>
    <w:rsid w:val="7086EE62"/>
    <w:rsid w:val="70CCB6FD"/>
    <w:rsid w:val="70DC8BE9"/>
    <w:rsid w:val="70F493E2"/>
    <w:rsid w:val="714CDAD7"/>
    <w:rsid w:val="717F0048"/>
    <w:rsid w:val="738AF17E"/>
    <w:rsid w:val="739D690C"/>
    <w:rsid w:val="7513CD89"/>
    <w:rsid w:val="75D150A1"/>
    <w:rsid w:val="7699965C"/>
    <w:rsid w:val="76CB9A38"/>
    <w:rsid w:val="76E26E55"/>
    <w:rsid w:val="7702C255"/>
    <w:rsid w:val="770A1132"/>
    <w:rsid w:val="773A4F0A"/>
    <w:rsid w:val="788B5002"/>
    <w:rsid w:val="794C9D98"/>
    <w:rsid w:val="79B063B7"/>
    <w:rsid w:val="79DF4ABD"/>
    <w:rsid w:val="7AEBD2BB"/>
    <w:rsid w:val="7B77E100"/>
    <w:rsid w:val="7B803F3C"/>
    <w:rsid w:val="7B923D5E"/>
    <w:rsid w:val="7BCF06B7"/>
    <w:rsid w:val="7BEF9069"/>
    <w:rsid w:val="7C629EED"/>
    <w:rsid w:val="7CA01E7A"/>
    <w:rsid w:val="7D7108EE"/>
    <w:rsid w:val="7D71AF9E"/>
    <w:rsid w:val="7DF54C81"/>
    <w:rsid w:val="7E3D67A8"/>
    <w:rsid w:val="7E8F71FE"/>
    <w:rsid w:val="7EE479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1A29B"/>
  <w15:chartTrackingRefBased/>
  <w15:docId w15:val="{943EF4D2-AD0E-41CD-81FE-DF400341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5B8"/>
  </w:style>
  <w:style w:type="paragraph" w:styleId="Heading1">
    <w:name w:val="heading 1"/>
    <w:basedOn w:val="Normal"/>
    <w:next w:val="Normal"/>
    <w:link w:val="Heading1Char"/>
    <w:uiPriority w:val="9"/>
    <w:qFormat/>
    <w:rsid w:val="00D40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0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0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0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0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0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0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0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0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0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0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0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0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0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0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0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0E0F"/>
    <w:rPr>
      <w:rFonts w:eastAsiaTheme="majorEastAsia" w:cstheme="majorBidi"/>
      <w:color w:val="272727" w:themeColor="text1" w:themeTint="D8"/>
    </w:rPr>
  </w:style>
  <w:style w:type="paragraph" w:styleId="Title">
    <w:name w:val="Title"/>
    <w:basedOn w:val="Normal"/>
    <w:next w:val="Normal"/>
    <w:link w:val="TitleChar"/>
    <w:uiPriority w:val="10"/>
    <w:qFormat/>
    <w:rsid w:val="00D40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0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0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0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0E0F"/>
    <w:pPr>
      <w:spacing w:before="160"/>
      <w:jc w:val="center"/>
    </w:pPr>
    <w:rPr>
      <w:i/>
      <w:iCs/>
      <w:color w:val="404040" w:themeColor="text1" w:themeTint="BF"/>
    </w:rPr>
  </w:style>
  <w:style w:type="character" w:customStyle="1" w:styleId="QuoteChar">
    <w:name w:val="Quote Char"/>
    <w:basedOn w:val="DefaultParagraphFont"/>
    <w:link w:val="Quote"/>
    <w:uiPriority w:val="29"/>
    <w:rsid w:val="00D40E0F"/>
    <w:rPr>
      <w:i/>
      <w:iCs/>
      <w:color w:val="404040" w:themeColor="text1" w:themeTint="BF"/>
    </w:rPr>
  </w:style>
  <w:style w:type="paragraph" w:styleId="ListParagraph">
    <w:name w:val="List Paragraph"/>
    <w:basedOn w:val="Normal"/>
    <w:uiPriority w:val="34"/>
    <w:qFormat/>
    <w:rsid w:val="00D40E0F"/>
    <w:pPr>
      <w:ind w:left="720"/>
      <w:contextualSpacing/>
    </w:pPr>
  </w:style>
  <w:style w:type="character" w:styleId="IntenseEmphasis">
    <w:name w:val="Intense Emphasis"/>
    <w:basedOn w:val="DefaultParagraphFont"/>
    <w:uiPriority w:val="21"/>
    <w:qFormat/>
    <w:rsid w:val="00D40E0F"/>
    <w:rPr>
      <w:i/>
      <w:iCs/>
      <w:color w:val="0F4761" w:themeColor="accent1" w:themeShade="BF"/>
    </w:rPr>
  </w:style>
  <w:style w:type="paragraph" w:styleId="IntenseQuote">
    <w:name w:val="Intense Quote"/>
    <w:basedOn w:val="Normal"/>
    <w:next w:val="Normal"/>
    <w:link w:val="IntenseQuoteChar"/>
    <w:uiPriority w:val="30"/>
    <w:qFormat/>
    <w:rsid w:val="00D40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0E0F"/>
    <w:rPr>
      <w:i/>
      <w:iCs/>
      <w:color w:val="0F4761" w:themeColor="accent1" w:themeShade="BF"/>
    </w:rPr>
  </w:style>
  <w:style w:type="character" w:styleId="IntenseReference">
    <w:name w:val="Intense Reference"/>
    <w:basedOn w:val="DefaultParagraphFont"/>
    <w:uiPriority w:val="32"/>
    <w:qFormat/>
    <w:rsid w:val="00D40E0F"/>
    <w:rPr>
      <w:b/>
      <w:bCs/>
      <w:smallCaps/>
      <w:color w:val="0F4761" w:themeColor="accent1" w:themeShade="BF"/>
      <w:spacing w:val="5"/>
    </w:rPr>
  </w:style>
  <w:style w:type="paragraph" w:styleId="Header">
    <w:name w:val="header"/>
    <w:basedOn w:val="Normal"/>
    <w:link w:val="HeaderChar"/>
    <w:uiPriority w:val="99"/>
    <w:unhideWhenUsed/>
    <w:rsid w:val="00793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8A7"/>
  </w:style>
  <w:style w:type="paragraph" w:styleId="Footer">
    <w:name w:val="footer"/>
    <w:basedOn w:val="Normal"/>
    <w:link w:val="FooterChar"/>
    <w:uiPriority w:val="99"/>
    <w:unhideWhenUsed/>
    <w:rsid w:val="00793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8A7"/>
  </w:style>
  <w:style w:type="paragraph" w:styleId="TOCHeading">
    <w:name w:val="TOC Heading"/>
    <w:basedOn w:val="Heading1"/>
    <w:next w:val="Normal"/>
    <w:uiPriority w:val="39"/>
    <w:unhideWhenUsed/>
    <w:qFormat/>
    <w:rsid w:val="001210E2"/>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960A3A"/>
    <w:rPr>
      <w:color w:val="467886"/>
      <w:u w:val="single"/>
    </w:rPr>
  </w:style>
  <w:style w:type="paragraph" w:styleId="NormalWeb">
    <w:name w:val="Normal (Web)"/>
    <w:basedOn w:val="Normal"/>
    <w:uiPriority w:val="99"/>
    <w:unhideWhenUsed/>
    <w:rsid w:val="00960A3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60A3A"/>
    <w:rPr>
      <w:b/>
      <w:bCs/>
    </w:rPr>
  </w:style>
  <w:style w:type="paragraph" w:styleId="TOC1">
    <w:name w:val="toc 1"/>
    <w:basedOn w:val="Normal"/>
    <w:next w:val="Normal"/>
    <w:uiPriority w:val="39"/>
    <w:unhideWhenUsed/>
    <w:rsid w:val="00033D90"/>
    <w:pPr>
      <w:spacing w:after="100"/>
    </w:pPr>
  </w:style>
  <w:style w:type="paragraph" w:styleId="TOC2">
    <w:name w:val="toc 2"/>
    <w:basedOn w:val="Normal"/>
    <w:next w:val="Normal"/>
    <w:uiPriority w:val="39"/>
    <w:unhideWhenUsed/>
    <w:rsid w:val="00655E0F"/>
    <w:pPr>
      <w:spacing w:after="100"/>
      <w:ind w:left="220"/>
    </w:pPr>
  </w:style>
  <w:style w:type="character" w:styleId="UnresolvedMention">
    <w:name w:val="Unresolved Mention"/>
    <w:basedOn w:val="DefaultParagraphFont"/>
    <w:uiPriority w:val="99"/>
    <w:semiHidden/>
    <w:unhideWhenUsed/>
    <w:rsid w:val="00D16B25"/>
    <w:rPr>
      <w:color w:val="605E5C"/>
      <w:shd w:val="clear" w:color="auto" w:fill="E1DFDD"/>
    </w:rPr>
  </w:style>
  <w:style w:type="table" w:styleId="TableGrid">
    <w:name w:val="Table Grid"/>
    <w:basedOn w:val="TableNormal"/>
    <w:uiPriority w:val="59"/>
    <w:rsid w:val="007C1B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uiPriority w:val="39"/>
    <w:unhideWhenUsed/>
    <w:rsid w:val="00FF3A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3741">
      <w:bodyDiv w:val="1"/>
      <w:marLeft w:val="0"/>
      <w:marRight w:val="0"/>
      <w:marTop w:val="0"/>
      <w:marBottom w:val="0"/>
      <w:divBdr>
        <w:top w:val="none" w:sz="0" w:space="0" w:color="auto"/>
        <w:left w:val="none" w:sz="0" w:space="0" w:color="auto"/>
        <w:bottom w:val="none" w:sz="0" w:space="0" w:color="auto"/>
        <w:right w:val="none" w:sz="0" w:space="0" w:color="auto"/>
      </w:divBdr>
    </w:div>
    <w:div w:id="33965844">
      <w:bodyDiv w:val="1"/>
      <w:marLeft w:val="0"/>
      <w:marRight w:val="0"/>
      <w:marTop w:val="0"/>
      <w:marBottom w:val="0"/>
      <w:divBdr>
        <w:top w:val="none" w:sz="0" w:space="0" w:color="auto"/>
        <w:left w:val="none" w:sz="0" w:space="0" w:color="auto"/>
        <w:bottom w:val="none" w:sz="0" w:space="0" w:color="auto"/>
        <w:right w:val="none" w:sz="0" w:space="0" w:color="auto"/>
      </w:divBdr>
    </w:div>
    <w:div w:id="40716362">
      <w:bodyDiv w:val="1"/>
      <w:marLeft w:val="0"/>
      <w:marRight w:val="0"/>
      <w:marTop w:val="0"/>
      <w:marBottom w:val="0"/>
      <w:divBdr>
        <w:top w:val="none" w:sz="0" w:space="0" w:color="auto"/>
        <w:left w:val="none" w:sz="0" w:space="0" w:color="auto"/>
        <w:bottom w:val="none" w:sz="0" w:space="0" w:color="auto"/>
        <w:right w:val="none" w:sz="0" w:space="0" w:color="auto"/>
      </w:divBdr>
    </w:div>
    <w:div w:id="41029607">
      <w:bodyDiv w:val="1"/>
      <w:marLeft w:val="0"/>
      <w:marRight w:val="0"/>
      <w:marTop w:val="0"/>
      <w:marBottom w:val="0"/>
      <w:divBdr>
        <w:top w:val="none" w:sz="0" w:space="0" w:color="auto"/>
        <w:left w:val="none" w:sz="0" w:space="0" w:color="auto"/>
        <w:bottom w:val="none" w:sz="0" w:space="0" w:color="auto"/>
        <w:right w:val="none" w:sz="0" w:space="0" w:color="auto"/>
      </w:divBdr>
      <w:divsChild>
        <w:div w:id="273098258">
          <w:marLeft w:val="0"/>
          <w:marRight w:val="0"/>
          <w:marTop w:val="0"/>
          <w:marBottom w:val="0"/>
          <w:divBdr>
            <w:top w:val="none" w:sz="0" w:space="0" w:color="auto"/>
            <w:left w:val="none" w:sz="0" w:space="0" w:color="auto"/>
            <w:bottom w:val="none" w:sz="0" w:space="0" w:color="auto"/>
            <w:right w:val="none" w:sz="0" w:space="0" w:color="auto"/>
          </w:divBdr>
          <w:divsChild>
            <w:div w:id="172690116">
              <w:marLeft w:val="0"/>
              <w:marRight w:val="0"/>
              <w:marTop w:val="0"/>
              <w:marBottom w:val="0"/>
              <w:divBdr>
                <w:top w:val="none" w:sz="0" w:space="0" w:color="auto"/>
                <w:left w:val="none" w:sz="0" w:space="0" w:color="auto"/>
                <w:bottom w:val="none" w:sz="0" w:space="0" w:color="auto"/>
                <w:right w:val="none" w:sz="0" w:space="0" w:color="auto"/>
              </w:divBdr>
              <w:divsChild>
                <w:div w:id="234362441">
                  <w:marLeft w:val="0"/>
                  <w:marRight w:val="0"/>
                  <w:marTop w:val="0"/>
                  <w:marBottom w:val="0"/>
                  <w:divBdr>
                    <w:top w:val="none" w:sz="0" w:space="0" w:color="auto"/>
                    <w:left w:val="none" w:sz="0" w:space="0" w:color="auto"/>
                    <w:bottom w:val="none" w:sz="0" w:space="0" w:color="auto"/>
                    <w:right w:val="none" w:sz="0" w:space="0" w:color="auto"/>
                  </w:divBdr>
                  <w:divsChild>
                    <w:div w:id="874001709">
                      <w:marLeft w:val="0"/>
                      <w:marRight w:val="0"/>
                      <w:marTop w:val="0"/>
                      <w:marBottom w:val="0"/>
                      <w:divBdr>
                        <w:top w:val="none" w:sz="0" w:space="0" w:color="auto"/>
                        <w:left w:val="none" w:sz="0" w:space="0" w:color="auto"/>
                        <w:bottom w:val="none" w:sz="0" w:space="0" w:color="auto"/>
                        <w:right w:val="none" w:sz="0" w:space="0" w:color="auto"/>
                      </w:divBdr>
                      <w:divsChild>
                        <w:div w:id="505553824">
                          <w:marLeft w:val="0"/>
                          <w:marRight w:val="0"/>
                          <w:marTop w:val="0"/>
                          <w:marBottom w:val="0"/>
                          <w:divBdr>
                            <w:top w:val="none" w:sz="0" w:space="0" w:color="auto"/>
                            <w:left w:val="none" w:sz="0" w:space="0" w:color="auto"/>
                            <w:bottom w:val="none" w:sz="0" w:space="0" w:color="auto"/>
                            <w:right w:val="none" w:sz="0" w:space="0" w:color="auto"/>
                          </w:divBdr>
                          <w:divsChild>
                            <w:div w:id="16569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38112">
      <w:bodyDiv w:val="1"/>
      <w:marLeft w:val="0"/>
      <w:marRight w:val="0"/>
      <w:marTop w:val="0"/>
      <w:marBottom w:val="0"/>
      <w:divBdr>
        <w:top w:val="none" w:sz="0" w:space="0" w:color="auto"/>
        <w:left w:val="none" w:sz="0" w:space="0" w:color="auto"/>
        <w:bottom w:val="none" w:sz="0" w:space="0" w:color="auto"/>
        <w:right w:val="none" w:sz="0" w:space="0" w:color="auto"/>
      </w:divBdr>
      <w:divsChild>
        <w:div w:id="635262699">
          <w:marLeft w:val="0"/>
          <w:marRight w:val="0"/>
          <w:marTop w:val="0"/>
          <w:marBottom w:val="0"/>
          <w:divBdr>
            <w:top w:val="none" w:sz="0" w:space="0" w:color="auto"/>
            <w:left w:val="none" w:sz="0" w:space="0" w:color="auto"/>
            <w:bottom w:val="none" w:sz="0" w:space="0" w:color="auto"/>
            <w:right w:val="none" w:sz="0" w:space="0" w:color="auto"/>
          </w:divBdr>
          <w:divsChild>
            <w:div w:id="1541745090">
              <w:marLeft w:val="0"/>
              <w:marRight w:val="0"/>
              <w:marTop w:val="0"/>
              <w:marBottom w:val="0"/>
              <w:divBdr>
                <w:top w:val="none" w:sz="0" w:space="0" w:color="auto"/>
                <w:left w:val="none" w:sz="0" w:space="0" w:color="auto"/>
                <w:bottom w:val="none" w:sz="0" w:space="0" w:color="auto"/>
                <w:right w:val="none" w:sz="0" w:space="0" w:color="auto"/>
              </w:divBdr>
            </w:div>
            <w:div w:id="382141457">
              <w:marLeft w:val="0"/>
              <w:marRight w:val="0"/>
              <w:marTop w:val="0"/>
              <w:marBottom w:val="0"/>
              <w:divBdr>
                <w:top w:val="none" w:sz="0" w:space="0" w:color="auto"/>
                <w:left w:val="none" w:sz="0" w:space="0" w:color="auto"/>
                <w:bottom w:val="none" w:sz="0" w:space="0" w:color="auto"/>
                <w:right w:val="none" w:sz="0" w:space="0" w:color="auto"/>
              </w:divBdr>
            </w:div>
            <w:div w:id="2036420706">
              <w:marLeft w:val="0"/>
              <w:marRight w:val="0"/>
              <w:marTop w:val="0"/>
              <w:marBottom w:val="0"/>
              <w:divBdr>
                <w:top w:val="none" w:sz="0" w:space="0" w:color="auto"/>
                <w:left w:val="none" w:sz="0" w:space="0" w:color="auto"/>
                <w:bottom w:val="none" w:sz="0" w:space="0" w:color="auto"/>
                <w:right w:val="none" w:sz="0" w:space="0" w:color="auto"/>
              </w:divBdr>
            </w:div>
            <w:div w:id="1606838634">
              <w:marLeft w:val="0"/>
              <w:marRight w:val="0"/>
              <w:marTop w:val="0"/>
              <w:marBottom w:val="0"/>
              <w:divBdr>
                <w:top w:val="none" w:sz="0" w:space="0" w:color="auto"/>
                <w:left w:val="none" w:sz="0" w:space="0" w:color="auto"/>
                <w:bottom w:val="none" w:sz="0" w:space="0" w:color="auto"/>
                <w:right w:val="none" w:sz="0" w:space="0" w:color="auto"/>
              </w:divBdr>
            </w:div>
            <w:div w:id="849291608">
              <w:marLeft w:val="0"/>
              <w:marRight w:val="0"/>
              <w:marTop w:val="0"/>
              <w:marBottom w:val="0"/>
              <w:divBdr>
                <w:top w:val="none" w:sz="0" w:space="0" w:color="auto"/>
                <w:left w:val="none" w:sz="0" w:space="0" w:color="auto"/>
                <w:bottom w:val="none" w:sz="0" w:space="0" w:color="auto"/>
                <w:right w:val="none" w:sz="0" w:space="0" w:color="auto"/>
              </w:divBdr>
            </w:div>
            <w:div w:id="372120085">
              <w:marLeft w:val="0"/>
              <w:marRight w:val="0"/>
              <w:marTop w:val="0"/>
              <w:marBottom w:val="0"/>
              <w:divBdr>
                <w:top w:val="none" w:sz="0" w:space="0" w:color="auto"/>
                <w:left w:val="none" w:sz="0" w:space="0" w:color="auto"/>
                <w:bottom w:val="none" w:sz="0" w:space="0" w:color="auto"/>
                <w:right w:val="none" w:sz="0" w:space="0" w:color="auto"/>
              </w:divBdr>
            </w:div>
            <w:div w:id="398328226">
              <w:marLeft w:val="0"/>
              <w:marRight w:val="0"/>
              <w:marTop w:val="0"/>
              <w:marBottom w:val="0"/>
              <w:divBdr>
                <w:top w:val="none" w:sz="0" w:space="0" w:color="auto"/>
                <w:left w:val="none" w:sz="0" w:space="0" w:color="auto"/>
                <w:bottom w:val="none" w:sz="0" w:space="0" w:color="auto"/>
                <w:right w:val="none" w:sz="0" w:space="0" w:color="auto"/>
              </w:divBdr>
            </w:div>
            <w:div w:id="728117162">
              <w:marLeft w:val="0"/>
              <w:marRight w:val="0"/>
              <w:marTop w:val="0"/>
              <w:marBottom w:val="0"/>
              <w:divBdr>
                <w:top w:val="none" w:sz="0" w:space="0" w:color="auto"/>
                <w:left w:val="none" w:sz="0" w:space="0" w:color="auto"/>
                <w:bottom w:val="none" w:sz="0" w:space="0" w:color="auto"/>
                <w:right w:val="none" w:sz="0" w:space="0" w:color="auto"/>
              </w:divBdr>
            </w:div>
            <w:div w:id="347874989">
              <w:marLeft w:val="0"/>
              <w:marRight w:val="0"/>
              <w:marTop w:val="0"/>
              <w:marBottom w:val="0"/>
              <w:divBdr>
                <w:top w:val="none" w:sz="0" w:space="0" w:color="auto"/>
                <w:left w:val="none" w:sz="0" w:space="0" w:color="auto"/>
                <w:bottom w:val="none" w:sz="0" w:space="0" w:color="auto"/>
                <w:right w:val="none" w:sz="0" w:space="0" w:color="auto"/>
              </w:divBdr>
            </w:div>
            <w:div w:id="1107117012">
              <w:marLeft w:val="0"/>
              <w:marRight w:val="0"/>
              <w:marTop w:val="0"/>
              <w:marBottom w:val="0"/>
              <w:divBdr>
                <w:top w:val="none" w:sz="0" w:space="0" w:color="auto"/>
                <w:left w:val="none" w:sz="0" w:space="0" w:color="auto"/>
                <w:bottom w:val="none" w:sz="0" w:space="0" w:color="auto"/>
                <w:right w:val="none" w:sz="0" w:space="0" w:color="auto"/>
              </w:divBdr>
            </w:div>
            <w:div w:id="794955327">
              <w:marLeft w:val="0"/>
              <w:marRight w:val="0"/>
              <w:marTop w:val="0"/>
              <w:marBottom w:val="0"/>
              <w:divBdr>
                <w:top w:val="none" w:sz="0" w:space="0" w:color="auto"/>
                <w:left w:val="none" w:sz="0" w:space="0" w:color="auto"/>
                <w:bottom w:val="none" w:sz="0" w:space="0" w:color="auto"/>
                <w:right w:val="none" w:sz="0" w:space="0" w:color="auto"/>
              </w:divBdr>
            </w:div>
            <w:div w:id="221451994">
              <w:marLeft w:val="0"/>
              <w:marRight w:val="0"/>
              <w:marTop w:val="0"/>
              <w:marBottom w:val="0"/>
              <w:divBdr>
                <w:top w:val="none" w:sz="0" w:space="0" w:color="auto"/>
                <w:left w:val="none" w:sz="0" w:space="0" w:color="auto"/>
                <w:bottom w:val="none" w:sz="0" w:space="0" w:color="auto"/>
                <w:right w:val="none" w:sz="0" w:space="0" w:color="auto"/>
              </w:divBdr>
            </w:div>
            <w:div w:id="700935621">
              <w:marLeft w:val="0"/>
              <w:marRight w:val="0"/>
              <w:marTop w:val="0"/>
              <w:marBottom w:val="0"/>
              <w:divBdr>
                <w:top w:val="none" w:sz="0" w:space="0" w:color="auto"/>
                <w:left w:val="none" w:sz="0" w:space="0" w:color="auto"/>
                <w:bottom w:val="none" w:sz="0" w:space="0" w:color="auto"/>
                <w:right w:val="none" w:sz="0" w:space="0" w:color="auto"/>
              </w:divBdr>
            </w:div>
            <w:div w:id="1110277917">
              <w:marLeft w:val="0"/>
              <w:marRight w:val="0"/>
              <w:marTop w:val="0"/>
              <w:marBottom w:val="0"/>
              <w:divBdr>
                <w:top w:val="none" w:sz="0" w:space="0" w:color="auto"/>
                <w:left w:val="none" w:sz="0" w:space="0" w:color="auto"/>
                <w:bottom w:val="none" w:sz="0" w:space="0" w:color="auto"/>
                <w:right w:val="none" w:sz="0" w:space="0" w:color="auto"/>
              </w:divBdr>
            </w:div>
            <w:div w:id="533806282">
              <w:marLeft w:val="0"/>
              <w:marRight w:val="0"/>
              <w:marTop w:val="0"/>
              <w:marBottom w:val="0"/>
              <w:divBdr>
                <w:top w:val="none" w:sz="0" w:space="0" w:color="auto"/>
                <w:left w:val="none" w:sz="0" w:space="0" w:color="auto"/>
                <w:bottom w:val="none" w:sz="0" w:space="0" w:color="auto"/>
                <w:right w:val="none" w:sz="0" w:space="0" w:color="auto"/>
              </w:divBdr>
            </w:div>
            <w:div w:id="671107901">
              <w:marLeft w:val="0"/>
              <w:marRight w:val="0"/>
              <w:marTop w:val="0"/>
              <w:marBottom w:val="0"/>
              <w:divBdr>
                <w:top w:val="none" w:sz="0" w:space="0" w:color="auto"/>
                <w:left w:val="none" w:sz="0" w:space="0" w:color="auto"/>
                <w:bottom w:val="none" w:sz="0" w:space="0" w:color="auto"/>
                <w:right w:val="none" w:sz="0" w:space="0" w:color="auto"/>
              </w:divBdr>
            </w:div>
            <w:div w:id="2075204257">
              <w:marLeft w:val="0"/>
              <w:marRight w:val="0"/>
              <w:marTop w:val="0"/>
              <w:marBottom w:val="0"/>
              <w:divBdr>
                <w:top w:val="none" w:sz="0" w:space="0" w:color="auto"/>
                <w:left w:val="none" w:sz="0" w:space="0" w:color="auto"/>
                <w:bottom w:val="none" w:sz="0" w:space="0" w:color="auto"/>
                <w:right w:val="none" w:sz="0" w:space="0" w:color="auto"/>
              </w:divBdr>
            </w:div>
            <w:div w:id="386300898">
              <w:marLeft w:val="0"/>
              <w:marRight w:val="0"/>
              <w:marTop w:val="0"/>
              <w:marBottom w:val="0"/>
              <w:divBdr>
                <w:top w:val="none" w:sz="0" w:space="0" w:color="auto"/>
                <w:left w:val="none" w:sz="0" w:space="0" w:color="auto"/>
                <w:bottom w:val="none" w:sz="0" w:space="0" w:color="auto"/>
                <w:right w:val="none" w:sz="0" w:space="0" w:color="auto"/>
              </w:divBdr>
            </w:div>
            <w:div w:id="883322896">
              <w:marLeft w:val="0"/>
              <w:marRight w:val="0"/>
              <w:marTop w:val="0"/>
              <w:marBottom w:val="0"/>
              <w:divBdr>
                <w:top w:val="none" w:sz="0" w:space="0" w:color="auto"/>
                <w:left w:val="none" w:sz="0" w:space="0" w:color="auto"/>
                <w:bottom w:val="none" w:sz="0" w:space="0" w:color="auto"/>
                <w:right w:val="none" w:sz="0" w:space="0" w:color="auto"/>
              </w:divBdr>
            </w:div>
            <w:div w:id="1239634130">
              <w:marLeft w:val="0"/>
              <w:marRight w:val="0"/>
              <w:marTop w:val="0"/>
              <w:marBottom w:val="0"/>
              <w:divBdr>
                <w:top w:val="none" w:sz="0" w:space="0" w:color="auto"/>
                <w:left w:val="none" w:sz="0" w:space="0" w:color="auto"/>
                <w:bottom w:val="none" w:sz="0" w:space="0" w:color="auto"/>
                <w:right w:val="none" w:sz="0" w:space="0" w:color="auto"/>
              </w:divBdr>
            </w:div>
            <w:div w:id="765728609">
              <w:marLeft w:val="0"/>
              <w:marRight w:val="0"/>
              <w:marTop w:val="0"/>
              <w:marBottom w:val="0"/>
              <w:divBdr>
                <w:top w:val="none" w:sz="0" w:space="0" w:color="auto"/>
                <w:left w:val="none" w:sz="0" w:space="0" w:color="auto"/>
                <w:bottom w:val="none" w:sz="0" w:space="0" w:color="auto"/>
                <w:right w:val="none" w:sz="0" w:space="0" w:color="auto"/>
              </w:divBdr>
            </w:div>
            <w:div w:id="1864976308">
              <w:marLeft w:val="0"/>
              <w:marRight w:val="0"/>
              <w:marTop w:val="0"/>
              <w:marBottom w:val="0"/>
              <w:divBdr>
                <w:top w:val="none" w:sz="0" w:space="0" w:color="auto"/>
                <w:left w:val="none" w:sz="0" w:space="0" w:color="auto"/>
                <w:bottom w:val="none" w:sz="0" w:space="0" w:color="auto"/>
                <w:right w:val="none" w:sz="0" w:space="0" w:color="auto"/>
              </w:divBdr>
            </w:div>
            <w:div w:id="1439637034">
              <w:marLeft w:val="0"/>
              <w:marRight w:val="0"/>
              <w:marTop w:val="0"/>
              <w:marBottom w:val="0"/>
              <w:divBdr>
                <w:top w:val="none" w:sz="0" w:space="0" w:color="auto"/>
                <w:left w:val="none" w:sz="0" w:space="0" w:color="auto"/>
                <w:bottom w:val="none" w:sz="0" w:space="0" w:color="auto"/>
                <w:right w:val="none" w:sz="0" w:space="0" w:color="auto"/>
              </w:divBdr>
            </w:div>
            <w:div w:id="1355182741">
              <w:marLeft w:val="0"/>
              <w:marRight w:val="0"/>
              <w:marTop w:val="0"/>
              <w:marBottom w:val="0"/>
              <w:divBdr>
                <w:top w:val="none" w:sz="0" w:space="0" w:color="auto"/>
                <w:left w:val="none" w:sz="0" w:space="0" w:color="auto"/>
                <w:bottom w:val="none" w:sz="0" w:space="0" w:color="auto"/>
                <w:right w:val="none" w:sz="0" w:space="0" w:color="auto"/>
              </w:divBdr>
            </w:div>
            <w:div w:id="2016373898">
              <w:marLeft w:val="0"/>
              <w:marRight w:val="0"/>
              <w:marTop w:val="0"/>
              <w:marBottom w:val="0"/>
              <w:divBdr>
                <w:top w:val="none" w:sz="0" w:space="0" w:color="auto"/>
                <w:left w:val="none" w:sz="0" w:space="0" w:color="auto"/>
                <w:bottom w:val="none" w:sz="0" w:space="0" w:color="auto"/>
                <w:right w:val="none" w:sz="0" w:space="0" w:color="auto"/>
              </w:divBdr>
            </w:div>
            <w:div w:id="280110067">
              <w:marLeft w:val="0"/>
              <w:marRight w:val="0"/>
              <w:marTop w:val="0"/>
              <w:marBottom w:val="0"/>
              <w:divBdr>
                <w:top w:val="none" w:sz="0" w:space="0" w:color="auto"/>
                <w:left w:val="none" w:sz="0" w:space="0" w:color="auto"/>
                <w:bottom w:val="none" w:sz="0" w:space="0" w:color="auto"/>
                <w:right w:val="none" w:sz="0" w:space="0" w:color="auto"/>
              </w:divBdr>
            </w:div>
            <w:div w:id="725419787">
              <w:marLeft w:val="0"/>
              <w:marRight w:val="0"/>
              <w:marTop w:val="0"/>
              <w:marBottom w:val="0"/>
              <w:divBdr>
                <w:top w:val="none" w:sz="0" w:space="0" w:color="auto"/>
                <w:left w:val="none" w:sz="0" w:space="0" w:color="auto"/>
                <w:bottom w:val="none" w:sz="0" w:space="0" w:color="auto"/>
                <w:right w:val="none" w:sz="0" w:space="0" w:color="auto"/>
              </w:divBdr>
            </w:div>
            <w:div w:id="7161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276">
      <w:bodyDiv w:val="1"/>
      <w:marLeft w:val="0"/>
      <w:marRight w:val="0"/>
      <w:marTop w:val="0"/>
      <w:marBottom w:val="0"/>
      <w:divBdr>
        <w:top w:val="none" w:sz="0" w:space="0" w:color="auto"/>
        <w:left w:val="none" w:sz="0" w:space="0" w:color="auto"/>
        <w:bottom w:val="none" w:sz="0" w:space="0" w:color="auto"/>
        <w:right w:val="none" w:sz="0" w:space="0" w:color="auto"/>
      </w:divBdr>
      <w:divsChild>
        <w:div w:id="4744803">
          <w:marLeft w:val="0"/>
          <w:marRight w:val="0"/>
          <w:marTop w:val="0"/>
          <w:marBottom w:val="0"/>
          <w:divBdr>
            <w:top w:val="none" w:sz="0" w:space="0" w:color="auto"/>
            <w:left w:val="none" w:sz="0" w:space="0" w:color="auto"/>
            <w:bottom w:val="none" w:sz="0" w:space="0" w:color="auto"/>
            <w:right w:val="none" w:sz="0" w:space="0" w:color="auto"/>
          </w:divBdr>
          <w:divsChild>
            <w:div w:id="1507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415">
      <w:bodyDiv w:val="1"/>
      <w:marLeft w:val="0"/>
      <w:marRight w:val="0"/>
      <w:marTop w:val="0"/>
      <w:marBottom w:val="0"/>
      <w:divBdr>
        <w:top w:val="none" w:sz="0" w:space="0" w:color="auto"/>
        <w:left w:val="none" w:sz="0" w:space="0" w:color="auto"/>
        <w:bottom w:val="none" w:sz="0" w:space="0" w:color="auto"/>
        <w:right w:val="none" w:sz="0" w:space="0" w:color="auto"/>
      </w:divBdr>
    </w:div>
    <w:div w:id="153187466">
      <w:bodyDiv w:val="1"/>
      <w:marLeft w:val="0"/>
      <w:marRight w:val="0"/>
      <w:marTop w:val="0"/>
      <w:marBottom w:val="0"/>
      <w:divBdr>
        <w:top w:val="none" w:sz="0" w:space="0" w:color="auto"/>
        <w:left w:val="none" w:sz="0" w:space="0" w:color="auto"/>
        <w:bottom w:val="none" w:sz="0" w:space="0" w:color="auto"/>
        <w:right w:val="none" w:sz="0" w:space="0" w:color="auto"/>
      </w:divBdr>
    </w:div>
    <w:div w:id="199708336">
      <w:bodyDiv w:val="1"/>
      <w:marLeft w:val="0"/>
      <w:marRight w:val="0"/>
      <w:marTop w:val="0"/>
      <w:marBottom w:val="0"/>
      <w:divBdr>
        <w:top w:val="none" w:sz="0" w:space="0" w:color="auto"/>
        <w:left w:val="none" w:sz="0" w:space="0" w:color="auto"/>
        <w:bottom w:val="none" w:sz="0" w:space="0" w:color="auto"/>
        <w:right w:val="none" w:sz="0" w:space="0" w:color="auto"/>
      </w:divBdr>
    </w:div>
    <w:div w:id="264920293">
      <w:bodyDiv w:val="1"/>
      <w:marLeft w:val="0"/>
      <w:marRight w:val="0"/>
      <w:marTop w:val="0"/>
      <w:marBottom w:val="0"/>
      <w:divBdr>
        <w:top w:val="none" w:sz="0" w:space="0" w:color="auto"/>
        <w:left w:val="none" w:sz="0" w:space="0" w:color="auto"/>
        <w:bottom w:val="none" w:sz="0" w:space="0" w:color="auto"/>
        <w:right w:val="none" w:sz="0" w:space="0" w:color="auto"/>
      </w:divBdr>
    </w:div>
    <w:div w:id="270210020">
      <w:bodyDiv w:val="1"/>
      <w:marLeft w:val="0"/>
      <w:marRight w:val="0"/>
      <w:marTop w:val="0"/>
      <w:marBottom w:val="0"/>
      <w:divBdr>
        <w:top w:val="none" w:sz="0" w:space="0" w:color="auto"/>
        <w:left w:val="none" w:sz="0" w:space="0" w:color="auto"/>
        <w:bottom w:val="none" w:sz="0" w:space="0" w:color="auto"/>
        <w:right w:val="none" w:sz="0" w:space="0" w:color="auto"/>
      </w:divBdr>
    </w:div>
    <w:div w:id="296837887">
      <w:bodyDiv w:val="1"/>
      <w:marLeft w:val="0"/>
      <w:marRight w:val="0"/>
      <w:marTop w:val="0"/>
      <w:marBottom w:val="0"/>
      <w:divBdr>
        <w:top w:val="none" w:sz="0" w:space="0" w:color="auto"/>
        <w:left w:val="none" w:sz="0" w:space="0" w:color="auto"/>
        <w:bottom w:val="none" w:sz="0" w:space="0" w:color="auto"/>
        <w:right w:val="none" w:sz="0" w:space="0" w:color="auto"/>
      </w:divBdr>
      <w:divsChild>
        <w:div w:id="268779538">
          <w:marLeft w:val="0"/>
          <w:marRight w:val="0"/>
          <w:marTop w:val="0"/>
          <w:marBottom w:val="0"/>
          <w:divBdr>
            <w:top w:val="none" w:sz="0" w:space="0" w:color="auto"/>
            <w:left w:val="none" w:sz="0" w:space="0" w:color="auto"/>
            <w:bottom w:val="none" w:sz="0" w:space="0" w:color="auto"/>
            <w:right w:val="none" w:sz="0" w:space="0" w:color="auto"/>
          </w:divBdr>
          <w:divsChild>
            <w:div w:id="56977409">
              <w:marLeft w:val="0"/>
              <w:marRight w:val="0"/>
              <w:marTop w:val="0"/>
              <w:marBottom w:val="0"/>
              <w:divBdr>
                <w:top w:val="none" w:sz="0" w:space="0" w:color="auto"/>
                <w:left w:val="none" w:sz="0" w:space="0" w:color="auto"/>
                <w:bottom w:val="none" w:sz="0" w:space="0" w:color="auto"/>
                <w:right w:val="none" w:sz="0" w:space="0" w:color="auto"/>
              </w:divBdr>
            </w:div>
            <w:div w:id="241257913">
              <w:marLeft w:val="0"/>
              <w:marRight w:val="0"/>
              <w:marTop w:val="0"/>
              <w:marBottom w:val="0"/>
              <w:divBdr>
                <w:top w:val="none" w:sz="0" w:space="0" w:color="auto"/>
                <w:left w:val="none" w:sz="0" w:space="0" w:color="auto"/>
                <w:bottom w:val="none" w:sz="0" w:space="0" w:color="auto"/>
                <w:right w:val="none" w:sz="0" w:space="0" w:color="auto"/>
              </w:divBdr>
            </w:div>
            <w:div w:id="1053850139">
              <w:marLeft w:val="0"/>
              <w:marRight w:val="0"/>
              <w:marTop w:val="0"/>
              <w:marBottom w:val="0"/>
              <w:divBdr>
                <w:top w:val="none" w:sz="0" w:space="0" w:color="auto"/>
                <w:left w:val="none" w:sz="0" w:space="0" w:color="auto"/>
                <w:bottom w:val="none" w:sz="0" w:space="0" w:color="auto"/>
                <w:right w:val="none" w:sz="0" w:space="0" w:color="auto"/>
              </w:divBdr>
            </w:div>
            <w:div w:id="312493568">
              <w:marLeft w:val="0"/>
              <w:marRight w:val="0"/>
              <w:marTop w:val="0"/>
              <w:marBottom w:val="0"/>
              <w:divBdr>
                <w:top w:val="none" w:sz="0" w:space="0" w:color="auto"/>
                <w:left w:val="none" w:sz="0" w:space="0" w:color="auto"/>
                <w:bottom w:val="none" w:sz="0" w:space="0" w:color="auto"/>
                <w:right w:val="none" w:sz="0" w:space="0" w:color="auto"/>
              </w:divBdr>
            </w:div>
            <w:div w:id="361634794">
              <w:marLeft w:val="0"/>
              <w:marRight w:val="0"/>
              <w:marTop w:val="0"/>
              <w:marBottom w:val="0"/>
              <w:divBdr>
                <w:top w:val="none" w:sz="0" w:space="0" w:color="auto"/>
                <w:left w:val="none" w:sz="0" w:space="0" w:color="auto"/>
                <w:bottom w:val="none" w:sz="0" w:space="0" w:color="auto"/>
                <w:right w:val="none" w:sz="0" w:space="0" w:color="auto"/>
              </w:divBdr>
            </w:div>
            <w:div w:id="1732849118">
              <w:marLeft w:val="0"/>
              <w:marRight w:val="0"/>
              <w:marTop w:val="0"/>
              <w:marBottom w:val="0"/>
              <w:divBdr>
                <w:top w:val="none" w:sz="0" w:space="0" w:color="auto"/>
                <w:left w:val="none" w:sz="0" w:space="0" w:color="auto"/>
                <w:bottom w:val="none" w:sz="0" w:space="0" w:color="auto"/>
                <w:right w:val="none" w:sz="0" w:space="0" w:color="auto"/>
              </w:divBdr>
            </w:div>
            <w:div w:id="782842986">
              <w:marLeft w:val="0"/>
              <w:marRight w:val="0"/>
              <w:marTop w:val="0"/>
              <w:marBottom w:val="0"/>
              <w:divBdr>
                <w:top w:val="none" w:sz="0" w:space="0" w:color="auto"/>
                <w:left w:val="none" w:sz="0" w:space="0" w:color="auto"/>
                <w:bottom w:val="none" w:sz="0" w:space="0" w:color="auto"/>
                <w:right w:val="none" w:sz="0" w:space="0" w:color="auto"/>
              </w:divBdr>
            </w:div>
            <w:div w:id="1052268073">
              <w:marLeft w:val="0"/>
              <w:marRight w:val="0"/>
              <w:marTop w:val="0"/>
              <w:marBottom w:val="0"/>
              <w:divBdr>
                <w:top w:val="none" w:sz="0" w:space="0" w:color="auto"/>
                <w:left w:val="none" w:sz="0" w:space="0" w:color="auto"/>
                <w:bottom w:val="none" w:sz="0" w:space="0" w:color="auto"/>
                <w:right w:val="none" w:sz="0" w:space="0" w:color="auto"/>
              </w:divBdr>
            </w:div>
            <w:div w:id="2005625989">
              <w:marLeft w:val="0"/>
              <w:marRight w:val="0"/>
              <w:marTop w:val="0"/>
              <w:marBottom w:val="0"/>
              <w:divBdr>
                <w:top w:val="none" w:sz="0" w:space="0" w:color="auto"/>
                <w:left w:val="none" w:sz="0" w:space="0" w:color="auto"/>
                <w:bottom w:val="none" w:sz="0" w:space="0" w:color="auto"/>
                <w:right w:val="none" w:sz="0" w:space="0" w:color="auto"/>
              </w:divBdr>
            </w:div>
            <w:div w:id="1437872291">
              <w:marLeft w:val="0"/>
              <w:marRight w:val="0"/>
              <w:marTop w:val="0"/>
              <w:marBottom w:val="0"/>
              <w:divBdr>
                <w:top w:val="none" w:sz="0" w:space="0" w:color="auto"/>
                <w:left w:val="none" w:sz="0" w:space="0" w:color="auto"/>
                <w:bottom w:val="none" w:sz="0" w:space="0" w:color="auto"/>
                <w:right w:val="none" w:sz="0" w:space="0" w:color="auto"/>
              </w:divBdr>
            </w:div>
            <w:div w:id="87428884">
              <w:marLeft w:val="0"/>
              <w:marRight w:val="0"/>
              <w:marTop w:val="0"/>
              <w:marBottom w:val="0"/>
              <w:divBdr>
                <w:top w:val="none" w:sz="0" w:space="0" w:color="auto"/>
                <w:left w:val="none" w:sz="0" w:space="0" w:color="auto"/>
                <w:bottom w:val="none" w:sz="0" w:space="0" w:color="auto"/>
                <w:right w:val="none" w:sz="0" w:space="0" w:color="auto"/>
              </w:divBdr>
            </w:div>
            <w:div w:id="79328028">
              <w:marLeft w:val="0"/>
              <w:marRight w:val="0"/>
              <w:marTop w:val="0"/>
              <w:marBottom w:val="0"/>
              <w:divBdr>
                <w:top w:val="none" w:sz="0" w:space="0" w:color="auto"/>
                <w:left w:val="none" w:sz="0" w:space="0" w:color="auto"/>
                <w:bottom w:val="none" w:sz="0" w:space="0" w:color="auto"/>
                <w:right w:val="none" w:sz="0" w:space="0" w:color="auto"/>
              </w:divBdr>
            </w:div>
            <w:div w:id="499927515">
              <w:marLeft w:val="0"/>
              <w:marRight w:val="0"/>
              <w:marTop w:val="0"/>
              <w:marBottom w:val="0"/>
              <w:divBdr>
                <w:top w:val="none" w:sz="0" w:space="0" w:color="auto"/>
                <w:left w:val="none" w:sz="0" w:space="0" w:color="auto"/>
                <w:bottom w:val="none" w:sz="0" w:space="0" w:color="auto"/>
                <w:right w:val="none" w:sz="0" w:space="0" w:color="auto"/>
              </w:divBdr>
            </w:div>
            <w:div w:id="39941846">
              <w:marLeft w:val="0"/>
              <w:marRight w:val="0"/>
              <w:marTop w:val="0"/>
              <w:marBottom w:val="0"/>
              <w:divBdr>
                <w:top w:val="none" w:sz="0" w:space="0" w:color="auto"/>
                <w:left w:val="none" w:sz="0" w:space="0" w:color="auto"/>
                <w:bottom w:val="none" w:sz="0" w:space="0" w:color="auto"/>
                <w:right w:val="none" w:sz="0" w:space="0" w:color="auto"/>
              </w:divBdr>
            </w:div>
            <w:div w:id="622201079">
              <w:marLeft w:val="0"/>
              <w:marRight w:val="0"/>
              <w:marTop w:val="0"/>
              <w:marBottom w:val="0"/>
              <w:divBdr>
                <w:top w:val="none" w:sz="0" w:space="0" w:color="auto"/>
                <w:left w:val="none" w:sz="0" w:space="0" w:color="auto"/>
                <w:bottom w:val="none" w:sz="0" w:space="0" w:color="auto"/>
                <w:right w:val="none" w:sz="0" w:space="0" w:color="auto"/>
              </w:divBdr>
            </w:div>
            <w:div w:id="1908495648">
              <w:marLeft w:val="0"/>
              <w:marRight w:val="0"/>
              <w:marTop w:val="0"/>
              <w:marBottom w:val="0"/>
              <w:divBdr>
                <w:top w:val="none" w:sz="0" w:space="0" w:color="auto"/>
                <w:left w:val="none" w:sz="0" w:space="0" w:color="auto"/>
                <w:bottom w:val="none" w:sz="0" w:space="0" w:color="auto"/>
                <w:right w:val="none" w:sz="0" w:space="0" w:color="auto"/>
              </w:divBdr>
            </w:div>
            <w:div w:id="1104688667">
              <w:marLeft w:val="0"/>
              <w:marRight w:val="0"/>
              <w:marTop w:val="0"/>
              <w:marBottom w:val="0"/>
              <w:divBdr>
                <w:top w:val="none" w:sz="0" w:space="0" w:color="auto"/>
                <w:left w:val="none" w:sz="0" w:space="0" w:color="auto"/>
                <w:bottom w:val="none" w:sz="0" w:space="0" w:color="auto"/>
                <w:right w:val="none" w:sz="0" w:space="0" w:color="auto"/>
              </w:divBdr>
            </w:div>
            <w:div w:id="1060517386">
              <w:marLeft w:val="0"/>
              <w:marRight w:val="0"/>
              <w:marTop w:val="0"/>
              <w:marBottom w:val="0"/>
              <w:divBdr>
                <w:top w:val="none" w:sz="0" w:space="0" w:color="auto"/>
                <w:left w:val="none" w:sz="0" w:space="0" w:color="auto"/>
                <w:bottom w:val="none" w:sz="0" w:space="0" w:color="auto"/>
                <w:right w:val="none" w:sz="0" w:space="0" w:color="auto"/>
              </w:divBdr>
            </w:div>
            <w:div w:id="594284423">
              <w:marLeft w:val="0"/>
              <w:marRight w:val="0"/>
              <w:marTop w:val="0"/>
              <w:marBottom w:val="0"/>
              <w:divBdr>
                <w:top w:val="none" w:sz="0" w:space="0" w:color="auto"/>
                <w:left w:val="none" w:sz="0" w:space="0" w:color="auto"/>
                <w:bottom w:val="none" w:sz="0" w:space="0" w:color="auto"/>
                <w:right w:val="none" w:sz="0" w:space="0" w:color="auto"/>
              </w:divBdr>
            </w:div>
            <w:div w:id="1106998536">
              <w:marLeft w:val="0"/>
              <w:marRight w:val="0"/>
              <w:marTop w:val="0"/>
              <w:marBottom w:val="0"/>
              <w:divBdr>
                <w:top w:val="none" w:sz="0" w:space="0" w:color="auto"/>
                <w:left w:val="none" w:sz="0" w:space="0" w:color="auto"/>
                <w:bottom w:val="none" w:sz="0" w:space="0" w:color="auto"/>
                <w:right w:val="none" w:sz="0" w:space="0" w:color="auto"/>
              </w:divBdr>
            </w:div>
            <w:div w:id="1466045918">
              <w:marLeft w:val="0"/>
              <w:marRight w:val="0"/>
              <w:marTop w:val="0"/>
              <w:marBottom w:val="0"/>
              <w:divBdr>
                <w:top w:val="none" w:sz="0" w:space="0" w:color="auto"/>
                <w:left w:val="none" w:sz="0" w:space="0" w:color="auto"/>
                <w:bottom w:val="none" w:sz="0" w:space="0" w:color="auto"/>
                <w:right w:val="none" w:sz="0" w:space="0" w:color="auto"/>
              </w:divBdr>
            </w:div>
            <w:div w:id="1658533473">
              <w:marLeft w:val="0"/>
              <w:marRight w:val="0"/>
              <w:marTop w:val="0"/>
              <w:marBottom w:val="0"/>
              <w:divBdr>
                <w:top w:val="none" w:sz="0" w:space="0" w:color="auto"/>
                <w:left w:val="none" w:sz="0" w:space="0" w:color="auto"/>
                <w:bottom w:val="none" w:sz="0" w:space="0" w:color="auto"/>
                <w:right w:val="none" w:sz="0" w:space="0" w:color="auto"/>
              </w:divBdr>
            </w:div>
            <w:div w:id="1075391969">
              <w:marLeft w:val="0"/>
              <w:marRight w:val="0"/>
              <w:marTop w:val="0"/>
              <w:marBottom w:val="0"/>
              <w:divBdr>
                <w:top w:val="none" w:sz="0" w:space="0" w:color="auto"/>
                <w:left w:val="none" w:sz="0" w:space="0" w:color="auto"/>
                <w:bottom w:val="none" w:sz="0" w:space="0" w:color="auto"/>
                <w:right w:val="none" w:sz="0" w:space="0" w:color="auto"/>
              </w:divBdr>
            </w:div>
            <w:div w:id="498353987">
              <w:marLeft w:val="0"/>
              <w:marRight w:val="0"/>
              <w:marTop w:val="0"/>
              <w:marBottom w:val="0"/>
              <w:divBdr>
                <w:top w:val="none" w:sz="0" w:space="0" w:color="auto"/>
                <w:left w:val="none" w:sz="0" w:space="0" w:color="auto"/>
                <w:bottom w:val="none" w:sz="0" w:space="0" w:color="auto"/>
                <w:right w:val="none" w:sz="0" w:space="0" w:color="auto"/>
              </w:divBdr>
            </w:div>
            <w:div w:id="1914778030">
              <w:marLeft w:val="0"/>
              <w:marRight w:val="0"/>
              <w:marTop w:val="0"/>
              <w:marBottom w:val="0"/>
              <w:divBdr>
                <w:top w:val="none" w:sz="0" w:space="0" w:color="auto"/>
                <w:left w:val="none" w:sz="0" w:space="0" w:color="auto"/>
                <w:bottom w:val="none" w:sz="0" w:space="0" w:color="auto"/>
                <w:right w:val="none" w:sz="0" w:space="0" w:color="auto"/>
              </w:divBdr>
            </w:div>
            <w:div w:id="2088334789">
              <w:marLeft w:val="0"/>
              <w:marRight w:val="0"/>
              <w:marTop w:val="0"/>
              <w:marBottom w:val="0"/>
              <w:divBdr>
                <w:top w:val="none" w:sz="0" w:space="0" w:color="auto"/>
                <w:left w:val="none" w:sz="0" w:space="0" w:color="auto"/>
                <w:bottom w:val="none" w:sz="0" w:space="0" w:color="auto"/>
                <w:right w:val="none" w:sz="0" w:space="0" w:color="auto"/>
              </w:divBdr>
            </w:div>
            <w:div w:id="750859591">
              <w:marLeft w:val="0"/>
              <w:marRight w:val="0"/>
              <w:marTop w:val="0"/>
              <w:marBottom w:val="0"/>
              <w:divBdr>
                <w:top w:val="none" w:sz="0" w:space="0" w:color="auto"/>
                <w:left w:val="none" w:sz="0" w:space="0" w:color="auto"/>
                <w:bottom w:val="none" w:sz="0" w:space="0" w:color="auto"/>
                <w:right w:val="none" w:sz="0" w:space="0" w:color="auto"/>
              </w:divBdr>
            </w:div>
            <w:div w:id="26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3872">
      <w:bodyDiv w:val="1"/>
      <w:marLeft w:val="0"/>
      <w:marRight w:val="0"/>
      <w:marTop w:val="0"/>
      <w:marBottom w:val="0"/>
      <w:divBdr>
        <w:top w:val="none" w:sz="0" w:space="0" w:color="auto"/>
        <w:left w:val="none" w:sz="0" w:space="0" w:color="auto"/>
        <w:bottom w:val="none" w:sz="0" w:space="0" w:color="auto"/>
        <w:right w:val="none" w:sz="0" w:space="0" w:color="auto"/>
      </w:divBdr>
    </w:div>
    <w:div w:id="561723053">
      <w:bodyDiv w:val="1"/>
      <w:marLeft w:val="0"/>
      <w:marRight w:val="0"/>
      <w:marTop w:val="0"/>
      <w:marBottom w:val="0"/>
      <w:divBdr>
        <w:top w:val="none" w:sz="0" w:space="0" w:color="auto"/>
        <w:left w:val="none" w:sz="0" w:space="0" w:color="auto"/>
        <w:bottom w:val="none" w:sz="0" w:space="0" w:color="auto"/>
        <w:right w:val="none" w:sz="0" w:space="0" w:color="auto"/>
      </w:divBdr>
    </w:div>
    <w:div w:id="599409443">
      <w:bodyDiv w:val="1"/>
      <w:marLeft w:val="0"/>
      <w:marRight w:val="0"/>
      <w:marTop w:val="0"/>
      <w:marBottom w:val="0"/>
      <w:divBdr>
        <w:top w:val="none" w:sz="0" w:space="0" w:color="auto"/>
        <w:left w:val="none" w:sz="0" w:space="0" w:color="auto"/>
        <w:bottom w:val="none" w:sz="0" w:space="0" w:color="auto"/>
        <w:right w:val="none" w:sz="0" w:space="0" w:color="auto"/>
      </w:divBdr>
    </w:div>
    <w:div w:id="650017952">
      <w:bodyDiv w:val="1"/>
      <w:marLeft w:val="0"/>
      <w:marRight w:val="0"/>
      <w:marTop w:val="0"/>
      <w:marBottom w:val="0"/>
      <w:divBdr>
        <w:top w:val="none" w:sz="0" w:space="0" w:color="auto"/>
        <w:left w:val="none" w:sz="0" w:space="0" w:color="auto"/>
        <w:bottom w:val="none" w:sz="0" w:space="0" w:color="auto"/>
        <w:right w:val="none" w:sz="0" w:space="0" w:color="auto"/>
      </w:divBdr>
      <w:divsChild>
        <w:div w:id="1361317379">
          <w:marLeft w:val="0"/>
          <w:marRight w:val="0"/>
          <w:marTop w:val="0"/>
          <w:marBottom w:val="0"/>
          <w:divBdr>
            <w:top w:val="none" w:sz="0" w:space="0" w:color="auto"/>
            <w:left w:val="none" w:sz="0" w:space="0" w:color="auto"/>
            <w:bottom w:val="none" w:sz="0" w:space="0" w:color="auto"/>
            <w:right w:val="none" w:sz="0" w:space="0" w:color="auto"/>
          </w:divBdr>
          <w:divsChild>
            <w:div w:id="1024861834">
              <w:marLeft w:val="0"/>
              <w:marRight w:val="0"/>
              <w:marTop w:val="0"/>
              <w:marBottom w:val="0"/>
              <w:divBdr>
                <w:top w:val="none" w:sz="0" w:space="0" w:color="auto"/>
                <w:left w:val="none" w:sz="0" w:space="0" w:color="auto"/>
                <w:bottom w:val="none" w:sz="0" w:space="0" w:color="auto"/>
                <w:right w:val="none" w:sz="0" w:space="0" w:color="auto"/>
              </w:divBdr>
            </w:div>
            <w:div w:id="315914864">
              <w:marLeft w:val="0"/>
              <w:marRight w:val="0"/>
              <w:marTop w:val="0"/>
              <w:marBottom w:val="0"/>
              <w:divBdr>
                <w:top w:val="none" w:sz="0" w:space="0" w:color="auto"/>
                <w:left w:val="none" w:sz="0" w:space="0" w:color="auto"/>
                <w:bottom w:val="none" w:sz="0" w:space="0" w:color="auto"/>
                <w:right w:val="none" w:sz="0" w:space="0" w:color="auto"/>
              </w:divBdr>
            </w:div>
            <w:div w:id="973025996">
              <w:marLeft w:val="0"/>
              <w:marRight w:val="0"/>
              <w:marTop w:val="0"/>
              <w:marBottom w:val="0"/>
              <w:divBdr>
                <w:top w:val="none" w:sz="0" w:space="0" w:color="auto"/>
                <w:left w:val="none" w:sz="0" w:space="0" w:color="auto"/>
                <w:bottom w:val="none" w:sz="0" w:space="0" w:color="auto"/>
                <w:right w:val="none" w:sz="0" w:space="0" w:color="auto"/>
              </w:divBdr>
            </w:div>
            <w:div w:id="1329555056">
              <w:marLeft w:val="0"/>
              <w:marRight w:val="0"/>
              <w:marTop w:val="0"/>
              <w:marBottom w:val="0"/>
              <w:divBdr>
                <w:top w:val="none" w:sz="0" w:space="0" w:color="auto"/>
                <w:left w:val="none" w:sz="0" w:space="0" w:color="auto"/>
                <w:bottom w:val="none" w:sz="0" w:space="0" w:color="auto"/>
                <w:right w:val="none" w:sz="0" w:space="0" w:color="auto"/>
              </w:divBdr>
            </w:div>
            <w:div w:id="21187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384">
      <w:bodyDiv w:val="1"/>
      <w:marLeft w:val="0"/>
      <w:marRight w:val="0"/>
      <w:marTop w:val="0"/>
      <w:marBottom w:val="0"/>
      <w:divBdr>
        <w:top w:val="none" w:sz="0" w:space="0" w:color="auto"/>
        <w:left w:val="none" w:sz="0" w:space="0" w:color="auto"/>
        <w:bottom w:val="none" w:sz="0" w:space="0" w:color="auto"/>
        <w:right w:val="none" w:sz="0" w:space="0" w:color="auto"/>
      </w:divBdr>
    </w:div>
    <w:div w:id="689260764">
      <w:bodyDiv w:val="1"/>
      <w:marLeft w:val="0"/>
      <w:marRight w:val="0"/>
      <w:marTop w:val="0"/>
      <w:marBottom w:val="0"/>
      <w:divBdr>
        <w:top w:val="none" w:sz="0" w:space="0" w:color="auto"/>
        <w:left w:val="none" w:sz="0" w:space="0" w:color="auto"/>
        <w:bottom w:val="none" w:sz="0" w:space="0" w:color="auto"/>
        <w:right w:val="none" w:sz="0" w:space="0" w:color="auto"/>
      </w:divBdr>
    </w:div>
    <w:div w:id="828406201">
      <w:bodyDiv w:val="1"/>
      <w:marLeft w:val="0"/>
      <w:marRight w:val="0"/>
      <w:marTop w:val="0"/>
      <w:marBottom w:val="0"/>
      <w:divBdr>
        <w:top w:val="none" w:sz="0" w:space="0" w:color="auto"/>
        <w:left w:val="none" w:sz="0" w:space="0" w:color="auto"/>
        <w:bottom w:val="none" w:sz="0" w:space="0" w:color="auto"/>
        <w:right w:val="none" w:sz="0" w:space="0" w:color="auto"/>
      </w:divBdr>
    </w:div>
    <w:div w:id="837383167">
      <w:bodyDiv w:val="1"/>
      <w:marLeft w:val="0"/>
      <w:marRight w:val="0"/>
      <w:marTop w:val="0"/>
      <w:marBottom w:val="0"/>
      <w:divBdr>
        <w:top w:val="none" w:sz="0" w:space="0" w:color="auto"/>
        <w:left w:val="none" w:sz="0" w:space="0" w:color="auto"/>
        <w:bottom w:val="none" w:sz="0" w:space="0" w:color="auto"/>
        <w:right w:val="none" w:sz="0" w:space="0" w:color="auto"/>
      </w:divBdr>
    </w:div>
    <w:div w:id="861822620">
      <w:bodyDiv w:val="1"/>
      <w:marLeft w:val="0"/>
      <w:marRight w:val="0"/>
      <w:marTop w:val="0"/>
      <w:marBottom w:val="0"/>
      <w:divBdr>
        <w:top w:val="none" w:sz="0" w:space="0" w:color="auto"/>
        <w:left w:val="none" w:sz="0" w:space="0" w:color="auto"/>
        <w:bottom w:val="none" w:sz="0" w:space="0" w:color="auto"/>
        <w:right w:val="none" w:sz="0" w:space="0" w:color="auto"/>
      </w:divBdr>
    </w:div>
    <w:div w:id="869342341">
      <w:bodyDiv w:val="1"/>
      <w:marLeft w:val="0"/>
      <w:marRight w:val="0"/>
      <w:marTop w:val="0"/>
      <w:marBottom w:val="0"/>
      <w:divBdr>
        <w:top w:val="none" w:sz="0" w:space="0" w:color="auto"/>
        <w:left w:val="none" w:sz="0" w:space="0" w:color="auto"/>
        <w:bottom w:val="none" w:sz="0" w:space="0" w:color="auto"/>
        <w:right w:val="none" w:sz="0" w:space="0" w:color="auto"/>
      </w:divBdr>
    </w:div>
    <w:div w:id="874125094">
      <w:bodyDiv w:val="1"/>
      <w:marLeft w:val="0"/>
      <w:marRight w:val="0"/>
      <w:marTop w:val="0"/>
      <w:marBottom w:val="0"/>
      <w:divBdr>
        <w:top w:val="none" w:sz="0" w:space="0" w:color="auto"/>
        <w:left w:val="none" w:sz="0" w:space="0" w:color="auto"/>
        <w:bottom w:val="none" w:sz="0" w:space="0" w:color="auto"/>
        <w:right w:val="none" w:sz="0" w:space="0" w:color="auto"/>
      </w:divBdr>
      <w:divsChild>
        <w:div w:id="1534733266">
          <w:marLeft w:val="0"/>
          <w:marRight w:val="0"/>
          <w:marTop w:val="0"/>
          <w:marBottom w:val="0"/>
          <w:divBdr>
            <w:top w:val="none" w:sz="0" w:space="0" w:color="auto"/>
            <w:left w:val="none" w:sz="0" w:space="0" w:color="auto"/>
            <w:bottom w:val="none" w:sz="0" w:space="0" w:color="auto"/>
            <w:right w:val="none" w:sz="0" w:space="0" w:color="auto"/>
          </w:divBdr>
          <w:divsChild>
            <w:div w:id="11608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7689">
      <w:bodyDiv w:val="1"/>
      <w:marLeft w:val="0"/>
      <w:marRight w:val="0"/>
      <w:marTop w:val="0"/>
      <w:marBottom w:val="0"/>
      <w:divBdr>
        <w:top w:val="none" w:sz="0" w:space="0" w:color="auto"/>
        <w:left w:val="none" w:sz="0" w:space="0" w:color="auto"/>
        <w:bottom w:val="none" w:sz="0" w:space="0" w:color="auto"/>
        <w:right w:val="none" w:sz="0" w:space="0" w:color="auto"/>
      </w:divBdr>
    </w:div>
    <w:div w:id="945692034">
      <w:bodyDiv w:val="1"/>
      <w:marLeft w:val="0"/>
      <w:marRight w:val="0"/>
      <w:marTop w:val="0"/>
      <w:marBottom w:val="0"/>
      <w:divBdr>
        <w:top w:val="none" w:sz="0" w:space="0" w:color="auto"/>
        <w:left w:val="none" w:sz="0" w:space="0" w:color="auto"/>
        <w:bottom w:val="none" w:sz="0" w:space="0" w:color="auto"/>
        <w:right w:val="none" w:sz="0" w:space="0" w:color="auto"/>
      </w:divBdr>
      <w:divsChild>
        <w:div w:id="342979700">
          <w:marLeft w:val="0"/>
          <w:marRight w:val="0"/>
          <w:marTop w:val="0"/>
          <w:marBottom w:val="0"/>
          <w:divBdr>
            <w:top w:val="none" w:sz="0" w:space="0" w:color="auto"/>
            <w:left w:val="none" w:sz="0" w:space="0" w:color="auto"/>
            <w:bottom w:val="none" w:sz="0" w:space="0" w:color="auto"/>
            <w:right w:val="none" w:sz="0" w:space="0" w:color="auto"/>
          </w:divBdr>
          <w:divsChild>
            <w:div w:id="1617788542">
              <w:marLeft w:val="0"/>
              <w:marRight w:val="0"/>
              <w:marTop w:val="0"/>
              <w:marBottom w:val="0"/>
              <w:divBdr>
                <w:top w:val="none" w:sz="0" w:space="0" w:color="auto"/>
                <w:left w:val="none" w:sz="0" w:space="0" w:color="auto"/>
                <w:bottom w:val="none" w:sz="0" w:space="0" w:color="auto"/>
                <w:right w:val="none" w:sz="0" w:space="0" w:color="auto"/>
              </w:divBdr>
            </w:div>
            <w:div w:id="1518349347">
              <w:marLeft w:val="0"/>
              <w:marRight w:val="0"/>
              <w:marTop w:val="0"/>
              <w:marBottom w:val="0"/>
              <w:divBdr>
                <w:top w:val="none" w:sz="0" w:space="0" w:color="auto"/>
                <w:left w:val="none" w:sz="0" w:space="0" w:color="auto"/>
                <w:bottom w:val="none" w:sz="0" w:space="0" w:color="auto"/>
                <w:right w:val="none" w:sz="0" w:space="0" w:color="auto"/>
              </w:divBdr>
            </w:div>
            <w:div w:id="1306861621">
              <w:marLeft w:val="0"/>
              <w:marRight w:val="0"/>
              <w:marTop w:val="0"/>
              <w:marBottom w:val="0"/>
              <w:divBdr>
                <w:top w:val="none" w:sz="0" w:space="0" w:color="auto"/>
                <w:left w:val="none" w:sz="0" w:space="0" w:color="auto"/>
                <w:bottom w:val="none" w:sz="0" w:space="0" w:color="auto"/>
                <w:right w:val="none" w:sz="0" w:space="0" w:color="auto"/>
              </w:divBdr>
            </w:div>
            <w:div w:id="721101179">
              <w:marLeft w:val="0"/>
              <w:marRight w:val="0"/>
              <w:marTop w:val="0"/>
              <w:marBottom w:val="0"/>
              <w:divBdr>
                <w:top w:val="none" w:sz="0" w:space="0" w:color="auto"/>
                <w:left w:val="none" w:sz="0" w:space="0" w:color="auto"/>
                <w:bottom w:val="none" w:sz="0" w:space="0" w:color="auto"/>
                <w:right w:val="none" w:sz="0" w:space="0" w:color="auto"/>
              </w:divBdr>
            </w:div>
            <w:div w:id="64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5152">
      <w:bodyDiv w:val="1"/>
      <w:marLeft w:val="0"/>
      <w:marRight w:val="0"/>
      <w:marTop w:val="0"/>
      <w:marBottom w:val="0"/>
      <w:divBdr>
        <w:top w:val="none" w:sz="0" w:space="0" w:color="auto"/>
        <w:left w:val="none" w:sz="0" w:space="0" w:color="auto"/>
        <w:bottom w:val="none" w:sz="0" w:space="0" w:color="auto"/>
        <w:right w:val="none" w:sz="0" w:space="0" w:color="auto"/>
      </w:divBdr>
    </w:div>
    <w:div w:id="962152820">
      <w:bodyDiv w:val="1"/>
      <w:marLeft w:val="0"/>
      <w:marRight w:val="0"/>
      <w:marTop w:val="0"/>
      <w:marBottom w:val="0"/>
      <w:divBdr>
        <w:top w:val="none" w:sz="0" w:space="0" w:color="auto"/>
        <w:left w:val="none" w:sz="0" w:space="0" w:color="auto"/>
        <w:bottom w:val="none" w:sz="0" w:space="0" w:color="auto"/>
        <w:right w:val="none" w:sz="0" w:space="0" w:color="auto"/>
      </w:divBdr>
    </w:div>
    <w:div w:id="981468011">
      <w:bodyDiv w:val="1"/>
      <w:marLeft w:val="0"/>
      <w:marRight w:val="0"/>
      <w:marTop w:val="0"/>
      <w:marBottom w:val="0"/>
      <w:divBdr>
        <w:top w:val="none" w:sz="0" w:space="0" w:color="auto"/>
        <w:left w:val="none" w:sz="0" w:space="0" w:color="auto"/>
        <w:bottom w:val="none" w:sz="0" w:space="0" w:color="auto"/>
        <w:right w:val="none" w:sz="0" w:space="0" w:color="auto"/>
      </w:divBdr>
      <w:divsChild>
        <w:div w:id="587615953">
          <w:marLeft w:val="0"/>
          <w:marRight w:val="0"/>
          <w:marTop w:val="0"/>
          <w:marBottom w:val="0"/>
          <w:divBdr>
            <w:top w:val="none" w:sz="0" w:space="0" w:color="auto"/>
            <w:left w:val="none" w:sz="0" w:space="0" w:color="auto"/>
            <w:bottom w:val="none" w:sz="0" w:space="0" w:color="auto"/>
            <w:right w:val="none" w:sz="0" w:space="0" w:color="auto"/>
          </w:divBdr>
          <w:divsChild>
            <w:div w:id="17913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5219">
      <w:bodyDiv w:val="1"/>
      <w:marLeft w:val="0"/>
      <w:marRight w:val="0"/>
      <w:marTop w:val="0"/>
      <w:marBottom w:val="0"/>
      <w:divBdr>
        <w:top w:val="none" w:sz="0" w:space="0" w:color="auto"/>
        <w:left w:val="none" w:sz="0" w:space="0" w:color="auto"/>
        <w:bottom w:val="none" w:sz="0" w:space="0" w:color="auto"/>
        <w:right w:val="none" w:sz="0" w:space="0" w:color="auto"/>
      </w:divBdr>
    </w:div>
    <w:div w:id="1073308681">
      <w:bodyDiv w:val="1"/>
      <w:marLeft w:val="0"/>
      <w:marRight w:val="0"/>
      <w:marTop w:val="0"/>
      <w:marBottom w:val="0"/>
      <w:divBdr>
        <w:top w:val="none" w:sz="0" w:space="0" w:color="auto"/>
        <w:left w:val="none" w:sz="0" w:space="0" w:color="auto"/>
        <w:bottom w:val="none" w:sz="0" w:space="0" w:color="auto"/>
        <w:right w:val="none" w:sz="0" w:space="0" w:color="auto"/>
      </w:divBdr>
      <w:divsChild>
        <w:div w:id="8795939">
          <w:marLeft w:val="0"/>
          <w:marRight w:val="0"/>
          <w:marTop w:val="0"/>
          <w:marBottom w:val="0"/>
          <w:divBdr>
            <w:top w:val="none" w:sz="0" w:space="0" w:color="auto"/>
            <w:left w:val="none" w:sz="0" w:space="0" w:color="auto"/>
            <w:bottom w:val="none" w:sz="0" w:space="0" w:color="auto"/>
            <w:right w:val="none" w:sz="0" w:space="0" w:color="auto"/>
          </w:divBdr>
          <w:divsChild>
            <w:div w:id="800735699">
              <w:marLeft w:val="0"/>
              <w:marRight w:val="0"/>
              <w:marTop w:val="0"/>
              <w:marBottom w:val="0"/>
              <w:divBdr>
                <w:top w:val="none" w:sz="0" w:space="0" w:color="auto"/>
                <w:left w:val="none" w:sz="0" w:space="0" w:color="auto"/>
                <w:bottom w:val="none" w:sz="0" w:space="0" w:color="auto"/>
                <w:right w:val="none" w:sz="0" w:space="0" w:color="auto"/>
              </w:divBdr>
            </w:div>
            <w:div w:id="1759130484">
              <w:marLeft w:val="0"/>
              <w:marRight w:val="0"/>
              <w:marTop w:val="0"/>
              <w:marBottom w:val="0"/>
              <w:divBdr>
                <w:top w:val="none" w:sz="0" w:space="0" w:color="auto"/>
                <w:left w:val="none" w:sz="0" w:space="0" w:color="auto"/>
                <w:bottom w:val="none" w:sz="0" w:space="0" w:color="auto"/>
                <w:right w:val="none" w:sz="0" w:space="0" w:color="auto"/>
              </w:divBdr>
            </w:div>
            <w:div w:id="1873227885">
              <w:marLeft w:val="0"/>
              <w:marRight w:val="0"/>
              <w:marTop w:val="0"/>
              <w:marBottom w:val="0"/>
              <w:divBdr>
                <w:top w:val="none" w:sz="0" w:space="0" w:color="auto"/>
                <w:left w:val="none" w:sz="0" w:space="0" w:color="auto"/>
                <w:bottom w:val="none" w:sz="0" w:space="0" w:color="auto"/>
                <w:right w:val="none" w:sz="0" w:space="0" w:color="auto"/>
              </w:divBdr>
            </w:div>
            <w:div w:id="1273905454">
              <w:marLeft w:val="0"/>
              <w:marRight w:val="0"/>
              <w:marTop w:val="0"/>
              <w:marBottom w:val="0"/>
              <w:divBdr>
                <w:top w:val="none" w:sz="0" w:space="0" w:color="auto"/>
                <w:left w:val="none" w:sz="0" w:space="0" w:color="auto"/>
                <w:bottom w:val="none" w:sz="0" w:space="0" w:color="auto"/>
                <w:right w:val="none" w:sz="0" w:space="0" w:color="auto"/>
              </w:divBdr>
            </w:div>
            <w:div w:id="201018547">
              <w:marLeft w:val="0"/>
              <w:marRight w:val="0"/>
              <w:marTop w:val="0"/>
              <w:marBottom w:val="0"/>
              <w:divBdr>
                <w:top w:val="none" w:sz="0" w:space="0" w:color="auto"/>
                <w:left w:val="none" w:sz="0" w:space="0" w:color="auto"/>
                <w:bottom w:val="none" w:sz="0" w:space="0" w:color="auto"/>
                <w:right w:val="none" w:sz="0" w:space="0" w:color="auto"/>
              </w:divBdr>
            </w:div>
            <w:div w:id="344786660">
              <w:marLeft w:val="0"/>
              <w:marRight w:val="0"/>
              <w:marTop w:val="0"/>
              <w:marBottom w:val="0"/>
              <w:divBdr>
                <w:top w:val="none" w:sz="0" w:space="0" w:color="auto"/>
                <w:left w:val="none" w:sz="0" w:space="0" w:color="auto"/>
                <w:bottom w:val="none" w:sz="0" w:space="0" w:color="auto"/>
                <w:right w:val="none" w:sz="0" w:space="0" w:color="auto"/>
              </w:divBdr>
            </w:div>
            <w:div w:id="1571959611">
              <w:marLeft w:val="0"/>
              <w:marRight w:val="0"/>
              <w:marTop w:val="0"/>
              <w:marBottom w:val="0"/>
              <w:divBdr>
                <w:top w:val="none" w:sz="0" w:space="0" w:color="auto"/>
                <w:left w:val="none" w:sz="0" w:space="0" w:color="auto"/>
                <w:bottom w:val="none" w:sz="0" w:space="0" w:color="auto"/>
                <w:right w:val="none" w:sz="0" w:space="0" w:color="auto"/>
              </w:divBdr>
            </w:div>
            <w:div w:id="43482355">
              <w:marLeft w:val="0"/>
              <w:marRight w:val="0"/>
              <w:marTop w:val="0"/>
              <w:marBottom w:val="0"/>
              <w:divBdr>
                <w:top w:val="none" w:sz="0" w:space="0" w:color="auto"/>
                <w:left w:val="none" w:sz="0" w:space="0" w:color="auto"/>
                <w:bottom w:val="none" w:sz="0" w:space="0" w:color="auto"/>
                <w:right w:val="none" w:sz="0" w:space="0" w:color="auto"/>
              </w:divBdr>
            </w:div>
            <w:div w:id="291324433">
              <w:marLeft w:val="0"/>
              <w:marRight w:val="0"/>
              <w:marTop w:val="0"/>
              <w:marBottom w:val="0"/>
              <w:divBdr>
                <w:top w:val="none" w:sz="0" w:space="0" w:color="auto"/>
                <w:left w:val="none" w:sz="0" w:space="0" w:color="auto"/>
                <w:bottom w:val="none" w:sz="0" w:space="0" w:color="auto"/>
                <w:right w:val="none" w:sz="0" w:space="0" w:color="auto"/>
              </w:divBdr>
            </w:div>
            <w:div w:id="852492670">
              <w:marLeft w:val="0"/>
              <w:marRight w:val="0"/>
              <w:marTop w:val="0"/>
              <w:marBottom w:val="0"/>
              <w:divBdr>
                <w:top w:val="none" w:sz="0" w:space="0" w:color="auto"/>
                <w:left w:val="none" w:sz="0" w:space="0" w:color="auto"/>
                <w:bottom w:val="none" w:sz="0" w:space="0" w:color="auto"/>
                <w:right w:val="none" w:sz="0" w:space="0" w:color="auto"/>
              </w:divBdr>
            </w:div>
            <w:div w:id="894048399">
              <w:marLeft w:val="0"/>
              <w:marRight w:val="0"/>
              <w:marTop w:val="0"/>
              <w:marBottom w:val="0"/>
              <w:divBdr>
                <w:top w:val="none" w:sz="0" w:space="0" w:color="auto"/>
                <w:left w:val="none" w:sz="0" w:space="0" w:color="auto"/>
                <w:bottom w:val="none" w:sz="0" w:space="0" w:color="auto"/>
                <w:right w:val="none" w:sz="0" w:space="0" w:color="auto"/>
              </w:divBdr>
            </w:div>
            <w:div w:id="787553279">
              <w:marLeft w:val="0"/>
              <w:marRight w:val="0"/>
              <w:marTop w:val="0"/>
              <w:marBottom w:val="0"/>
              <w:divBdr>
                <w:top w:val="none" w:sz="0" w:space="0" w:color="auto"/>
                <w:left w:val="none" w:sz="0" w:space="0" w:color="auto"/>
                <w:bottom w:val="none" w:sz="0" w:space="0" w:color="auto"/>
                <w:right w:val="none" w:sz="0" w:space="0" w:color="auto"/>
              </w:divBdr>
            </w:div>
            <w:div w:id="87891547">
              <w:marLeft w:val="0"/>
              <w:marRight w:val="0"/>
              <w:marTop w:val="0"/>
              <w:marBottom w:val="0"/>
              <w:divBdr>
                <w:top w:val="none" w:sz="0" w:space="0" w:color="auto"/>
                <w:left w:val="none" w:sz="0" w:space="0" w:color="auto"/>
                <w:bottom w:val="none" w:sz="0" w:space="0" w:color="auto"/>
                <w:right w:val="none" w:sz="0" w:space="0" w:color="auto"/>
              </w:divBdr>
            </w:div>
            <w:div w:id="755786913">
              <w:marLeft w:val="0"/>
              <w:marRight w:val="0"/>
              <w:marTop w:val="0"/>
              <w:marBottom w:val="0"/>
              <w:divBdr>
                <w:top w:val="none" w:sz="0" w:space="0" w:color="auto"/>
                <w:left w:val="none" w:sz="0" w:space="0" w:color="auto"/>
                <w:bottom w:val="none" w:sz="0" w:space="0" w:color="auto"/>
                <w:right w:val="none" w:sz="0" w:space="0" w:color="auto"/>
              </w:divBdr>
            </w:div>
            <w:div w:id="160045163">
              <w:marLeft w:val="0"/>
              <w:marRight w:val="0"/>
              <w:marTop w:val="0"/>
              <w:marBottom w:val="0"/>
              <w:divBdr>
                <w:top w:val="none" w:sz="0" w:space="0" w:color="auto"/>
                <w:left w:val="none" w:sz="0" w:space="0" w:color="auto"/>
                <w:bottom w:val="none" w:sz="0" w:space="0" w:color="auto"/>
                <w:right w:val="none" w:sz="0" w:space="0" w:color="auto"/>
              </w:divBdr>
            </w:div>
            <w:div w:id="1200358469">
              <w:marLeft w:val="0"/>
              <w:marRight w:val="0"/>
              <w:marTop w:val="0"/>
              <w:marBottom w:val="0"/>
              <w:divBdr>
                <w:top w:val="none" w:sz="0" w:space="0" w:color="auto"/>
                <w:left w:val="none" w:sz="0" w:space="0" w:color="auto"/>
                <w:bottom w:val="none" w:sz="0" w:space="0" w:color="auto"/>
                <w:right w:val="none" w:sz="0" w:space="0" w:color="auto"/>
              </w:divBdr>
            </w:div>
            <w:div w:id="1673680086">
              <w:marLeft w:val="0"/>
              <w:marRight w:val="0"/>
              <w:marTop w:val="0"/>
              <w:marBottom w:val="0"/>
              <w:divBdr>
                <w:top w:val="none" w:sz="0" w:space="0" w:color="auto"/>
                <w:left w:val="none" w:sz="0" w:space="0" w:color="auto"/>
                <w:bottom w:val="none" w:sz="0" w:space="0" w:color="auto"/>
                <w:right w:val="none" w:sz="0" w:space="0" w:color="auto"/>
              </w:divBdr>
            </w:div>
            <w:div w:id="6999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6307">
      <w:bodyDiv w:val="1"/>
      <w:marLeft w:val="0"/>
      <w:marRight w:val="0"/>
      <w:marTop w:val="0"/>
      <w:marBottom w:val="0"/>
      <w:divBdr>
        <w:top w:val="none" w:sz="0" w:space="0" w:color="auto"/>
        <w:left w:val="none" w:sz="0" w:space="0" w:color="auto"/>
        <w:bottom w:val="none" w:sz="0" w:space="0" w:color="auto"/>
        <w:right w:val="none" w:sz="0" w:space="0" w:color="auto"/>
      </w:divBdr>
    </w:div>
    <w:div w:id="1089235543">
      <w:bodyDiv w:val="1"/>
      <w:marLeft w:val="0"/>
      <w:marRight w:val="0"/>
      <w:marTop w:val="0"/>
      <w:marBottom w:val="0"/>
      <w:divBdr>
        <w:top w:val="none" w:sz="0" w:space="0" w:color="auto"/>
        <w:left w:val="none" w:sz="0" w:space="0" w:color="auto"/>
        <w:bottom w:val="none" w:sz="0" w:space="0" w:color="auto"/>
        <w:right w:val="none" w:sz="0" w:space="0" w:color="auto"/>
      </w:divBdr>
    </w:div>
    <w:div w:id="1117022341">
      <w:bodyDiv w:val="1"/>
      <w:marLeft w:val="0"/>
      <w:marRight w:val="0"/>
      <w:marTop w:val="0"/>
      <w:marBottom w:val="0"/>
      <w:divBdr>
        <w:top w:val="none" w:sz="0" w:space="0" w:color="auto"/>
        <w:left w:val="none" w:sz="0" w:space="0" w:color="auto"/>
        <w:bottom w:val="none" w:sz="0" w:space="0" w:color="auto"/>
        <w:right w:val="none" w:sz="0" w:space="0" w:color="auto"/>
      </w:divBdr>
    </w:div>
    <w:div w:id="1118833718">
      <w:bodyDiv w:val="1"/>
      <w:marLeft w:val="0"/>
      <w:marRight w:val="0"/>
      <w:marTop w:val="0"/>
      <w:marBottom w:val="0"/>
      <w:divBdr>
        <w:top w:val="none" w:sz="0" w:space="0" w:color="auto"/>
        <w:left w:val="none" w:sz="0" w:space="0" w:color="auto"/>
        <w:bottom w:val="none" w:sz="0" w:space="0" w:color="auto"/>
        <w:right w:val="none" w:sz="0" w:space="0" w:color="auto"/>
      </w:divBdr>
    </w:div>
    <w:div w:id="1132331806">
      <w:bodyDiv w:val="1"/>
      <w:marLeft w:val="0"/>
      <w:marRight w:val="0"/>
      <w:marTop w:val="0"/>
      <w:marBottom w:val="0"/>
      <w:divBdr>
        <w:top w:val="none" w:sz="0" w:space="0" w:color="auto"/>
        <w:left w:val="none" w:sz="0" w:space="0" w:color="auto"/>
        <w:bottom w:val="none" w:sz="0" w:space="0" w:color="auto"/>
        <w:right w:val="none" w:sz="0" w:space="0" w:color="auto"/>
      </w:divBdr>
      <w:divsChild>
        <w:div w:id="1732800642">
          <w:marLeft w:val="0"/>
          <w:marRight w:val="0"/>
          <w:marTop w:val="0"/>
          <w:marBottom w:val="0"/>
          <w:divBdr>
            <w:top w:val="none" w:sz="0" w:space="0" w:color="auto"/>
            <w:left w:val="none" w:sz="0" w:space="0" w:color="auto"/>
            <w:bottom w:val="none" w:sz="0" w:space="0" w:color="auto"/>
            <w:right w:val="none" w:sz="0" w:space="0" w:color="auto"/>
          </w:divBdr>
          <w:divsChild>
            <w:div w:id="652297333">
              <w:marLeft w:val="0"/>
              <w:marRight w:val="0"/>
              <w:marTop w:val="0"/>
              <w:marBottom w:val="0"/>
              <w:divBdr>
                <w:top w:val="none" w:sz="0" w:space="0" w:color="auto"/>
                <w:left w:val="none" w:sz="0" w:space="0" w:color="auto"/>
                <w:bottom w:val="none" w:sz="0" w:space="0" w:color="auto"/>
                <w:right w:val="none" w:sz="0" w:space="0" w:color="auto"/>
              </w:divBdr>
              <w:divsChild>
                <w:div w:id="427040748">
                  <w:marLeft w:val="0"/>
                  <w:marRight w:val="0"/>
                  <w:marTop w:val="0"/>
                  <w:marBottom w:val="0"/>
                  <w:divBdr>
                    <w:top w:val="none" w:sz="0" w:space="0" w:color="auto"/>
                    <w:left w:val="none" w:sz="0" w:space="0" w:color="auto"/>
                    <w:bottom w:val="none" w:sz="0" w:space="0" w:color="auto"/>
                    <w:right w:val="none" w:sz="0" w:space="0" w:color="auto"/>
                  </w:divBdr>
                  <w:divsChild>
                    <w:div w:id="1196388087">
                      <w:marLeft w:val="0"/>
                      <w:marRight w:val="0"/>
                      <w:marTop w:val="0"/>
                      <w:marBottom w:val="0"/>
                      <w:divBdr>
                        <w:top w:val="none" w:sz="0" w:space="0" w:color="auto"/>
                        <w:left w:val="none" w:sz="0" w:space="0" w:color="auto"/>
                        <w:bottom w:val="none" w:sz="0" w:space="0" w:color="auto"/>
                        <w:right w:val="none" w:sz="0" w:space="0" w:color="auto"/>
                      </w:divBdr>
                      <w:divsChild>
                        <w:div w:id="661784024">
                          <w:marLeft w:val="0"/>
                          <w:marRight w:val="0"/>
                          <w:marTop w:val="0"/>
                          <w:marBottom w:val="0"/>
                          <w:divBdr>
                            <w:top w:val="none" w:sz="0" w:space="0" w:color="auto"/>
                            <w:left w:val="none" w:sz="0" w:space="0" w:color="auto"/>
                            <w:bottom w:val="none" w:sz="0" w:space="0" w:color="auto"/>
                            <w:right w:val="none" w:sz="0" w:space="0" w:color="auto"/>
                          </w:divBdr>
                          <w:divsChild>
                            <w:div w:id="20591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719947">
      <w:bodyDiv w:val="1"/>
      <w:marLeft w:val="0"/>
      <w:marRight w:val="0"/>
      <w:marTop w:val="0"/>
      <w:marBottom w:val="0"/>
      <w:divBdr>
        <w:top w:val="none" w:sz="0" w:space="0" w:color="auto"/>
        <w:left w:val="none" w:sz="0" w:space="0" w:color="auto"/>
        <w:bottom w:val="none" w:sz="0" w:space="0" w:color="auto"/>
        <w:right w:val="none" w:sz="0" w:space="0" w:color="auto"/>
      </w:divBdr>
    </w:div>
    <w:div w:id="1262182837">
      <w:bodyDiv w:val="1"/>
      <w:marLeft w:val="0"/>
      <w:marRight w:val="0"/>
      <w:marTop w:val="0"/>
      <w:marBottom w:val="0"/>
      <w:divBdr>
        <w:top w:val="none" w:sz="0" w:space="0" w:color="auto"/>
        <w:left w:val="none" w:sz="0" w:space="0" w:color="auto"/>
        <w:bottom w:val="none" w:sz="0" w:space="0" w:color="auto"/>
        <w:right w:val="none" w:sz="0" w:space="0" w:color="auto"/>
      </w:divBdr>
      <w:divsChild>
        <w:div w:id="1511286660">
          <w:marLeft w:val="0"/>
          <w:marRight w:val="0"/>
          <w:marTop w:val="0"/>
          <w:marBottom w:val="0"/>
          <w:divBdr>
            <w:top w:val="none" w:sz="0" w:space="0" w:color="auto"/>
            <w:left w:val="none" w:sz="0" w:space="0" w:color="auto"/>
            <w:bottom w:val="none" w:sz="0" w:space="0" w:color="auto"/>
            <w:right w:val="none" w:sz="0" w:space="0" w:color="auto"/>
          </w:divBdr>
          <w:divsChild>
            <w:div w:id="1130392164">
              <w:marLeft w:val="0"/>
              <w:marRight w:val="0"/>
              <w:marTop w:val="0"/>
              <w:marBottom w:val="0"/>
              <w:divBdr>
                <w:top w:val="none" w:sz="0" w:space="0" w:color="auto"/>
                <w:left w:val="none" w:sz="0" w:space="0" w:color="auto"/>
                <w:bottom w:val="none" w:sz="0" w:space="0" w:color="auto"/>
                <w:right w:val="none" w:sz="0" w:space="0" w:color="auto"/>
              </w:divBdr>
            </w:div>
            <w:div w:id="486555668">
              <w:marLeft w:val="0"/>
              <w:marRight w:val="0"/>
              <w:marTop w:val="0"/>
              <w:marBottom w:val="0"/>
              <w:divBdr>
                <w:top w:val="none" w:sz="0" w:space="0" w:color="auto"/>
                <w:left w:val="none" w:sz="0" w:space="0" w:color="auto"/>
                <w:bottom w:val="none" w:sz="0" w:space="0" w:color="auto"/>
                <w:right w:val="none" w:sz="0" w:space="0" w:color="auto"/>
              </w:divBdr>
            </w:div>
            <w:div w:id="1582324859">
              <w:marLeft w:val="0"/>
              <w:marRight w:val="0"/>
              <w:marTop w:val="0"/>
              <w:marBottom w:val="0"/>
              <w:divBdr>
                <w:top w:val="none" w:sz="0" w:space="0" w:color="auto"/>
                <w:left w:val="none" w:sz="0" w:space="0" w:color="auto"/>
                <w:bottom w:val="none" w:sz="0" w:space="0" w:color="auto"/>
                <w:right w:val="none" w:sz="0" w:space="0" w:color="auto"/>
              </w:divBdr>
            </w:div>
            <w:div w:id="2009557962">
              <w:marLeft w:val="0"/>
              <w:marRight w:val="0"/>
              <w:marTop w:val="0"/>
              <w:marBottom w:val="0"/>
              <w:divBdr>
                <w:top w:val="none" w:sz="0" w:space="0" w:color="auto"/>
                <w:left w:val="none" w:sz="0" w:space="0" w:color="auto"/>
                <w:bottom w:val="none" w:sz="0" w:space="0" w:color="auto"/>
                <w:right w:val="none" w:sz="0" w:space="0" w:color="auto"/>
              </w:divBdr>
            </w:div>
            <w:div w:id="1149712647">
              <w:marLeft w:val="0"/>
              <w:marRight w:val="0"/>
              <w:marTop w:val="0"/>
              <w:marBottom w:val="0"/>
              <w:divBdr>
                <w:top w:val="none" w:sz="0" w:space="0" w:color="auto"/>
                <w:left w:val="none" w:sz="0" w:space="0" w:color="auto"/>
                <w:bottom w:val="none" w:sz="0" w:space="0" w:color="auto"/>
                <w:right w:val="none" w:sz="0" w:space="0" w:color="auto"/>
              </w:divBdr>
            </w:div>
            <w:div w:id="1427077521">
              <w:marLeft w:val="0"/>
              <w:marRight w:val="0"/>
              <w:marTop w:val="0"/>
              <w:marBottom w:val="0"/>
              <w:divBdr>
                <w:top w:val="none" w:sz="0" w:space="0" w:color="auto"/>
                <w:left w:val="none" w:sz="0" w:space="0" w:color="auto"/>
                <w:bottom w:val="none" w:sz="0" w:space="0" w:color="auto"/>
                <w:right w:val="none" w:sz="0" w:space="0" w:color="auto"/>
              </w:divBdr>
            </w:div>
            <w:div w:id="1504928683">
              <w:marLeft w:val="0"/>
              <w:marRight w:val="0"/>
              <w:marTop w:val="0"/>
              <w:marBottom w:val="0"/>
              <w:divBdr>
                <w:top w:val="none" w:sz="0" w:space="0" w:color="auto"/>
                <w:left w:val="none" w:sz="0" w:space="0" w:color="auto"/>
                <w:bottom w:val="none" w:sz="0" w:space="0" w:color="auto"/>
                <w:right w:val="none" w:sz="0" w:space="0" w:color="auto"/>
              </w:divBdr>
            </w:div>
            <w:div w:id="1022901552">
              <w:marLeft w:val="0"/>
              <w:marRight w:val="0"/>
              <w:marTop w:val="0"/>
              <w:marBottom w:val="0"/>
              <w:divBdr>
                <w:top w:val="none" w:sz="0" w:space="0" w:color="auto"/>
                <w:left w:val="none" w:sz="0" w:space="0" w:color="auto"/>
                <w:bottom w:val="none" w:sz="0" w:space="0" w:color="auto"/>
                <w:right w:val="none" w:sz="0" w:space="0" w:color="auto"/>
              </w:divBdr>
            </w:div>
            <w:div w:id="1717047431">
              <w:marLeft w:val="0"/>
              <w:marRight w:val="0"/>
              <w:marTop w:val="0"/>
              <w:marBottom w:val="0"/>
              <w:divBdr>
                <w:top w:val="none" w:sz="0" w:space="0" w:color="auto"/>
                <w:left w:val="none" w:sz="0" w:space="0" w:color="auto"/>
                <w:bottom w:val="none" w:sz="0" w:space="0" w:color="auto"/>
                <w:right w:val="none" w:sz="0" w:space="0" w:color="auto"/>
              </w:divBdr>
            </w:div>
            <w:div w:id="107815982">
              <w:marLeft w:val="0"/>
              <w:marRight w:val="0"/>
              <w:marTop w:val="0"/>
              <w:marBottom w:val="0"/>
              <w:divBdr>
                <w:top w:val="none" w:sz="0" w:space="0" w:color="auto"/>
                <w:left w:val="none" w:sz="0" w:space="0" w:color="auto"/>
                <w:bottom w:val="none" w:sz="0" w:space="0" w:color="auto"/>
                <w:right w:val="none" w:sz="0" w:space="0" w:color="auto"/>
              </w:divBdr>
            </w:div>
            <w:div w:id="417139014">
              <w:marLeft w:val="0"/>
              <w:marRight w:val="0"/>
              <w:marTop w:val="0"/>
              <w:marBottom w:val="0"/>
              <w:divBdr>
                <w:top w:val="none" w:sz="0" w:space="0" w:color="auto"/>
                <w:left w:val="none" w:sz="0" w:space="0" w:color="auto"/>
                <w:bottom w:val="none" w:sz="0" w:space="0" w:color="auto"/>
                <w:right w:val="none" w:sz="0" w:space="0" w:color="auto"/>
              </w:divBdr>
            </w:div>
            <w:div w:id="1092777558">
              <w:marLeft w:val="0"/>
              <w:marRight w:val="0"/>
              <w:marTop w:val="0"/>
              <w:marBottom w:val="0"/>
              <w:divBdr>
                <w:top w:val="none" w:sz="0" w:space="0" w:color="auto"/>
                <w:left w:val="none" w:sz="0" w:space="0" w:color="auto"/>
                <w:bottom w:val="none" w:sz="0" w:space="0" w:color="auto"/>
                <w:right w:val="none" w:sz="0" w:space="0" w:color="auto"/>
              </w:divBdr>
            </w:div>
            <w:div w:id="1599364663">
              <w:marLeft w:val="0"/>
              <w:marRight w:val="0"/>
              <w:marTop w:val="0"/>
              <w:marBottom w:val="0"/>
              <w:divBdr>
                <w:top w:val="none" w:sz="0" w:space="0" w:color="auto"/>
                <w:left w:val="none" w:sz="0" w:space="0" w:color="auto"/>
                <w:bottom w:val="none" w:sz="0" w:space="0" w:color="auto"/>
                <w:right w:val="none" w:sz="0" w:space="0" w:color="auto"/>
              </w:divBdr>
            </w:div>
            <w:div w:id="2141264126">
              <w:marLeft w:val="0"/>
              <w:marRight w:val="0"/>
              <w:marTop w:val="0"/>
              <w:marBottom w:val="0"/>
              <w:divBdr>
                <w:top w:val="none" w:sz="0" w:space="0" w:color="auto"/>
                <w:left w:val="none" w:sz="0" w:space="0" w:color="auto"/>
                <w:bottom w:val="none" w:sz="0" w:space="0" w:color="auto"/>
                <w:right w:val="none" w:sz="0" w:space="0" w:color="auto"/>
              </w:divBdr>
            </w:div>
            <w:div w:id="1686127753">
              <w:marLeft w:val="0"/>
              <w:marRight w:val="0"/>
              <w:marTop w:val="0"/>
              <w:marBottom w:val="0"/>
              <w:divBdr>
                <w:top w:val="none" w:sz="0" w:space="0" w:color="auto"/>
                <w:left w:val="none" w:sz="0" w:space="0" w:color="auto"/>
                <w:bottom w:val="none" w:sz="0" w:space="0" w:color="auto"/>
                <w:right w:val="none" w:sz="0" w:space="0" w:color="auto"/>
              </w:divBdr>
            </w:div>
            <w:div w:id="1510831572">
              <w:marLeft w:val="0"/>
              <w:marRight w:val="0"/>
              <w:marTop w:val="0"/>
              <w:marBottom w:val="0"/>
              <w:divBdr>
                <w:top w:val="none" w:sz="0" w:space="0" w:color="auto"/>
                <w:left w:val="none" w:sz="0" w:space="0" w:color="auto"/>
                <w:bottom w:val="none" w:sz="0" w:space="0" w:color="auto"/>
                <w:right w:val="none" w:sz="0" w:space="0" w:color="auto"/>
              </w:divBdr>
            </w:div>
            <w:div w:id="1810434111">
              <w:marLeft w:val="0"/>
              <w:marRight w:val="0"/>
              <w:marTop w:val="0"/>
              <w:marBottom w:val="0"/>
              <w:divBdr>
                <w:top w:val="none" w:sz="0" w:space="0" w:color="auto"/>
                <w:left w:val="none" w:sz="0" w:space="0" w:color="auto"/>
                <w:bottom w:val="none" w:sz="0" w:space="0" w:color="auto"/>
                <w:right w:val="none" w:sz="0" w:space="0" w:color="auto"/>
              </w:divBdr>
            </w:div>
            <w:div w:id="18811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02198">
      <w:bodyDiv w:val="1"/>
      <w:marLeft w:val="0"/>
      <w:marRight w:val="0"/>
      <w:marTop w:val="0"/>
      <w:marBottom w:val="0"/>
      <w:divBdr>
        <w:top w:val="none" w:sz="0" w:space="0" w:color="auto"/>
        <w:left w:val="none" w:sz="0" w:space="0" w:color="auto"/>
        <w:bottom w:val="none" w:sz="0" w:space="0" w:color="auto"/>
        <w:right w:val="none" w:sz="0" w:space="0" w:color="auto"/>
      </w:divBdr>
      <w:divsChild>
        <w:div w:id="1378430547">
          <w:marLeft w:val="0"/>
          <w:marRight w:val="0"/>
          <w:marTop w:val="0"/>
          <w:marBottom w:val="0"/>
          <w:divBdr>
            <w:top w:val="none" w:sz="0" w:space="0" w:color="auto"/>
            <w:left w:val="none" w:sz="0" w:space="0" w:color="auto"/>
            <w:bottom w:val="none" w:sz="0" w:space="0" w:color="auto"/>
            <w:right w:val="none" w:sz="0" w:space="0" w:color="auto"/>
          </w:divBdr>
          <w:divsChild>
            <w:div w:id="19675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6153">
      <w:bodyDiv w:val="1"/>
      <w:marLeft w:val="0"/>
      <w:marRight w:val="0"/>
      <w:marTop w:val="0"/>
      <w:marBottom w:val="0"/>
      <w:divBdr>
        <w:top w:val="none" w:sz="0" w:space="0" w:color="auto"/>
        <w:left w:val="none" w:sz="0" w:space="0" w:color="auto"/>
        <w:bottom w:val="none" w:sz="0" w:space="0" w:color="auto"/>
        <w:right w:val="none" w:sz="0" w:space="0" w:color="auto"/>
      </w:divBdr>
    </w:div>
    <w:div w:id="1331061987">
      <w:bodyDiv w:val="1"/>
      <w:marLeft w:val="0"/>
      <w:marRight w:val="0"/>
      <w:marTop w:val="0"/>
      <w:marBottom w:val="0"/>
      <w:divBdr>
        <w:top w:val="none" w:sz="0" w:space="0" w:color="auto"/>
        <w:left w:val="none" w:sz="0" w:space="0" w:color="auto"/>
        <w:bottom w:val="none" w:sz="0" w:space="0" w:color="auto"/>
        <w:right w:val="none" w:sz="0" w:space="0" w:color="auto"/>
      </w:divBdr>
    </w:div>
    <w:div w:id="1340892253">
      <w:bodyDiv w:val="1"/>
      <w:marLeft w:val="0"/>
      <w:marRight w:val="0"/>
      <w:marTop w:val="0"/>
      <w:marBottom w:val="0"/>
      <w:divBdr>
        <w:top w:val="none" w:sz="0" w:space="0" w:color="auto"/>
        <w:left w:val="none" w:sz="0" w:space="0" w:color="auto"/>
        <w:bottom w:val="none" w:sz="0" w:space="0" w:color="auto"/>
        <w:right w:val="none" w:sz="0" w:space="0" w:color="auto"/>
      </w:divBdr>
    </w:div>
    <w:div w:id="1347946821">
      <w:bodyDiv w:val="1"/>
      <w:marLeft w:val="0"/>
      <w:marRight w:val="0"/>
      <w:marTop w:val="0"/>
      <w:marBottom w:val="0"/>
      <w:divBdr>
        <w:top w:val="none" w:sz="0" w:space="0" w:color="auto"/>
        <w:left w:val="none" w:sz="0" w:space="0" w:color="auto"/>
        <w:bottom w:val="none" w:sz="0" w:space="0" w:color="auto"/>
        <w:right w:val="none" w:sz="0" w:space="0" w:color="auto"/>
      </w:divBdr>
    </w:div>
    <w:div w:id="1364285897">
      <w:bodyDiv w:val="1"/>
      <w:marLeft w:val="0"/>
      <w:marRight w:val="0"/>
      <w:marTop w:val="0"/>
      <w:marBottom w:val="0"/>
      <w:divBdr>
        <w:top w:val="none" w:sz="0" w:space="0" w:color="auto"/>
        <w:left w:val="none" w:sz="0" w:space="0" w:color="auto"/>
        <w:bottom w:val="none" w:sz="0" w:space="0" w:color="auto"/>
        <w:right w:val="none" w:sz="0" w:space="0" w:color="auto"/>
      </w:divBdr>
    </w:div>
    <w:div w:id="1446731853">
      <w:bodyDiv w:val="1"/>
      <w:marLeft w:val="0"/>
      <w:marRight w:val="0"/>
      <w:marTop w:val="0"/>
      <w:marBottom w:val="0"/>
      <w:divBdr>
        <w:top w:val="none" w:sz="0" w:space="0" w:color="auto"/>
        <w:left w:val="none" w:sz="0" w:space="0" w:color="auto"/>
        <w:bottom w:val="none" w:sz="0" w:space="0" w:color="auto"/>
        <w:right w:val="none" w:sz="0" w:space="0" w:color="auto"/>
      </w:divBdr>
    </w:div>
    <w:div w:id="1463309729">
      <w:bodyDiv w:val="1"/>
      <w:marLeft w:val="0"/>
      <w:marRight w:val="0"/>
      <w:marTop w:val="0"/>
      <w:marBottom w:val="0"/>
      <w:divBdr>
        <w:top w:val="none" w:sz="0" w:space="0" w:color="auto"/>
        <w:left w:val="none" w:sz="0" w:space="0" w:color="auto"/>
        <w:bottom w:val="none" w:sz="0" w:space="0" w:color="auto"/>
        <w:right w:val="none" w:sz="0" w:space="0" w:color="auto"/>
      </w:divBdr>
      <w:divsChild>
        <w:div w:id="589582637">
          <w:marLeft w:val="0"/>
          <w:marRight w:val="0"/>
          <w:marTop w:val="0"/>
          <w:marBottom w:val="0"/>
          <w:divBdr>
            <w:top w:val="none" w:sz="0" w:space="0" w:color="auto"/>
            <w:left w:val="none" w:sz="0" w:space="0" w:color="auto"/>
            <w:bottom w:val="none" w:sz="0" w:space="0" w:color="auto"/>
            <w:right w:val="none" w:sz="0" w:space="0" w:color="auto"/>
          </w:divBdr>
          <w:divsChild>
            <w:div w:id="18767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5809">
      <w:bodyDiv w:val="1"/>
      <w:marLeft w:val="0"/>
      <w:marRight w:val="0"/>
      <w:marTop w:val="0"/>
      <w:marBottom w:val="0"/>
      <w:divBdr>
        <w:top w:val="none" w:sz="0" w:space="0" w:color="auto"/>
        <w:left w:val="none" w:sz="0" w:space="0" w:color="auto"/>
        <w:bottom w:val="none" w:sz="0" w:space="0" w:color="auto"/>
        <w:right w:val="none" w:sz="0" w:space="0" w:color="auto"/>
      </w:divBdr>
    </w:div>
    <w:div w:id="1516723862">
      <w:bodyDiv w:val="1"/>
      <w:marLeft w:val="0"/>
      <w:marRight w:val="0"/>
      <w:marTop w:val="0"/>
      <w:marBottom w:val="0"/>
      <w:divBdr>
        <w:top w:val="none" w:sz="0" w:space="0" w:color="auto"/>
        <w:left w:val="none" w:sz="0" w:space="0" w:color="auto"/>
        <w:bottom w:val="none" w:sz="0" w:space="0" w:color="auto"/>
        <w:right w:val="none" w:sz="0" w:space="0" w:color="auto"/>
      </w:divBdr>
    </w:div>
    <w:div w:id="1591889499">
      <w:bodyDiv w:val="1"/>
      <w:marLeft w:val="0"/>
      <w:marRight w:val="0"/>
      <w:marTop w:val="0"/>
      <w:marBottom w:val="0"/>
      <w:divBdr>
        <w:top w:val="none" w:sz="0" w:space="0" w:color="auto"/>
        <w:left w:val="none" w:sz="0" w:space="0" w:color="auto"/>
        <w:bottom w:val="none" w:sz="0" w:space="0" w:color="auto"/>
        <w:right w:val="none" w:sz="0" w:space="0" w:color="auto"/>
      </w:divBdr>
    </w:div>
    <w:div w:id="1631667468">
      <w:bodyDiv w:val="1"/>
      <w:marLeft w:val="0"/>
      <w:marRight w:val="0"/>
      <w:marTop w:val="0"/>
      <w:marBottom w:val="0"/>
      <w:divBdr>
        <w:top w:val="none" w:sz="0" w:space="0" w:color="auto"/>
        <w:left w:val="none" w:sz="0" w:space="0" w:color="auto"/>
        <w:bottom w:val="none" w:sz="0" w:space="0" w:color="auto"/>
        <w:right w:val="none" w:sz="0" w:space="0" w:color="auto"/>
      </w:divBdr>
    </w:div>
    <w:div w:id="1639191817">
      <w:bodyDiv w:val="1"/>
      <w:marLeft w:val="0"/>
      <w:marRight w:val="0"/>
      <w:marTop w:val="0"/>
      <w:marBottom w:val="0"/>
      <w:divBdr>
        <w:top w:val="none" w:sz="0" w:space="0" w:color="auto"/>
        <w:left w:val="none" w:sz="0" w:space="0" w:color="auto"/>
        <w:bottom w:val="none" w:sz="0" w:space="0" w:color="auto"/>
        <w:right w:val="none" w:sz="0" w:space="0" w:color="auto"/>
      </w:divBdr>
    </w:div>
    <w:div w:id="1660041354">
      <w:bodyDiv w:val="1"/>
      <w:marLeft w:val="0"/>
      <w:marRight w:val="0"/>
      <w:marTop w:val="0"/>
      <w:marBottom w:val="0"/>
      <w:divBdr>
        <w:top w:val="none" w:sz="0" w:space="0" w:color="auto"/>
        <w:left w:val="none" w:sz="0" w:space="0" w:color="auto"/>
        <w:bottom w:val="none" w:sz="0" w:space="0" w:color="auto"/>
        <w:right w:val="none" w:sz="0" w:space="0" w:color="auto"/>
      </w:divBdr>
    </w:div>
    <w:div w:id="1691950092">
      <w:bodyDiv w:val="1"/>
      <w:marLeft w:val="0"/>
      <w:marRight w:val="0"/>
      <w:marTop w:val="0"/>
      <w:marBottom w:val="0"/>
      <w:divBdr>
        <w:top w:val="none" w:sz="0" w:space="0" w:color="auto"/>
        <w:left w:val="none" w:sz="0" w:space="0" w:color="auto"/>
        <w:bottom w:val="none" w:sz="0" w:space="0" w:color="auto"/>
        <w:right w:val="none" w:sz="0" w:space="0" w:color="auto"/>
      </w:divBdr>
    </w:div>
    <w:div w:id="1733700302">
      <w:bodyDiv w:val="1"/>
      <w:marLeft w:val="0"/>
      <w:marRight w:val="0"/>
      <w:marTop w:val="0"/>
      <w:marBottom w:val="0"/>
      <w:divBdr>
        <w:top w:val="none" w:sz="0" w:space="0" w:color="auto"/>
        <w:left w:val="none" w:sz="0" w:space="0" w:color="auto"/>
        <w:bottom w:val="none" w:sz="0" w:space="0" w:color="auto"/>
        <w:right w:val="none" w:sz="0" w:space="0" w:color="auto"/>
      </w:divBdr>
    </w:div>
    <w:div w:id="1736583493">
      <w:bodyDiv w:val="1"/>
      <w:marLeft w:val="0"/>
      <w:marRight w:val="0"/>
      <w:marTop w:val="0"/>
      <w:marBottom w:val="0"/>
      <w:divBdr>
        <w:top w:val="none" w:sz="0" w:space="0" w:color="auto"/>
        <w:left w:val="none" w:sz="0" w:space="0" w:color="auto"/>
        <w:bottom w:val="none" w:sz="0" w:space="0" w:color="auto"/>
        <w:right w:val="none" w:sz="0" w:space="0" w:color="auto"/>
      </w:divBdr>
    </w:div>
    <w:div w:id="1749421414">
      <w:bodyDiv w:val="1"/>
      <w:marLeft w:val="0"/>
      <w:marRight w:val="0"/>
      <w:marTop w:val="0"/>
      <w:marBottom w:val="0"/>
      <w:divBdr>
        <w:top w:val="none" w:sz="0" w:space="0" w:color="auto"/>
        <w:left w:val="none" w:sz="0" w:space="0" w:color="auto"/>
        <w:bottom w:val="none" w:sz="0" w:space="0" w:color="auto"/>
        <w:right w:val="none" w:sz="0" w:space="0" w:color="auto"/>
      </w:divBdr>
    </w:div>
    <w:div w:id="1835491309">
      <w:bodyDiv w:val="1"/>
      <w:marLeft w:val="0"/>
      <w:marRight w:val="0"/>
      <w:marTop w:val="0"/>
      <w:marBottom w:val="0"/>
      <w:divBdr>
        <w:top w:val="none" w:sz="0" w:space="0" w:color="auto"/>
        <w:left w:val="none" w:sz="0" w:space="0" w:color="auto"/>
        <w:bottom w:val="none" w:sz="0" w:space="0" w:color="auto"/>
        <w:right w:val="none" w:sz="0" w:space="0" w:color="auto"/>
      </w:divBdr>
      <w:divsChild>
        <w:div w:id="1095324871">
          <w:marLeft w:val="0"/>
          <w:marRight w:val="0"/>
          <w:marTop w:val="0"/>
          <w:marBottom w:val="0"/>
          <w:divBdr>
            <w:top w:val="none" w:sz="0" w:space="0" w:color="auto"/>
            <w:left w:val="none" w:sz="0" w:space="0" w:color="auto"/>
            <w:bottom w:val="none" w:sz="0" w:space="0" w:color="auto"/>
            <w:right w:val="none" w:sz="0" w:space="0" w:color="auto"/>
          </w:divBdr>
          <w:divsChild>
            <w:div w:id="19932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0899">
      <w:bodyDiv w:val="1"/>
      <w:marLeft w:val="0"/>
      <w:marRight w:val="0"/>
      <w:marTop w:val="0"/>
      <w:marBottom w:val="0"/>
      <w:divBdr>
        <w:top w:val="none" w:sz="0" w:space="0" w:color="auto"/>
        <w:left w:val="none" w:sz="0" w:space="0" w:color="auto"/>
        <w:bottom w:val="none" w:sz="0" w:space="0" w:color="auto"/>
        <w:right w:val="none" w:sz="0" w:space="0" w:color="auto"/>
      </w:divBdr>
    </w:div>
    <w:div w:id="1936937227">
      <w:bodyDiv w:val="1"/>
      <w:marLeft w:val="0"/>
      <w:marRight w:val="0"/>
      <w:marTop w:val="0"/>
      <w:marBottom w:val="0"/>
      <w:divBdr>
        <w:top w:val="none" w:sz="0" w:space="0" w:color="auto"/>
        <w:left w:val="none" w:sz="0" w:space="0" w:color="auto"/>
        <w:bottom w:val="none" w:sz="0" w:space="0" w:color="auto"/>
        <w:right w:val="none" w:sz="0" w:space="0" w:color="auto"/>
      </w:divBdr>
    </w:div>
    <w:div w:id="2002351033">
      <w:bodyDiv w:val="1"/>
      <w:marLeft w:val="0"/>
      <w:marRight w:val="0"/>
      <w:marTop w:val="0"/>
      <w:marBottom w:val="0"/>
      <w:divBdr>
        <w:top w:val="none" w:sz="0" w:space="0" w:color="auto"/>
        <w:left w:val="none" w:sz="0" w:space="0" w:color="auto"/>
        <w:bottom w:val="none" w:sz="0" w:space="0" w:color="auto"/>
        <w:right w:val="none" w:sz="0" w:space="0" w:color="auto"/>
      </w:divBdr>
    </w:div>
    <w:div w:id="2018075632">
      <w:bodyDiv w:val="1"/>
      <w:marLeft w:val="0"/>
      <w:marRight w:val="0"/>
      <w:marTop w:val="0"/>
      <w:marBottom w:val="0"/>
      <w:divBdr>
        <w:top w:val="none" w:sz="0" w:space="0" w:color="auto"/>
        <w:left w:val="none" w:sz="0" w:space="0" w:color="auto"/>
        <w:bottom w:val="none" w:sz="0" w:space="0" w:color="auto"/>
        <w:right w:val="none" w:sz="0" w:space="0" w:color="auto"/>
      </w:divBdr>
    </w:div>
    <w:div w:id="2087025825">
      <w:bodyDiv w:val="1"/>
      <w:marLeft w:val="0"/>
      <w:marRight w:val="0"/>
      <w:marTop w:val="0"/>
      <w:marBottom w:val="0"/>
      <w:divBdr>
        <w:top w:val="none" w:sz="0" w:space="0" w:color="auto"/>
        <w:left w:val="none" w:sz="0" w:space="0" w:color="auto"/>
        <w:bottom w:val="none" w:sz="0" w:space="0" w:color="auto"/>
        <w:right w:val="none" w:sz="0" w:space="0" w:color="auto"/>
      </w:divBdr>
    </w:div>
    <w:div w:id="210661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16/j.inteco.2020.03.005" TargetMode="External"/><Relationship Id="rId21" Type="http://schemas.openxmlformats.org/officeDocument/2006/relationships/image" Target="media/image15.png"/><Relationship Id="rId34" Type="http://schemas.openxmlformats.org/officeDocument/2006/relationships/hyperlink" Target="https://doi.org/10.1016/j.frl.2020.101428" TargetMode="External"/><Relationship Id="rId42" Type="http://schemas.openxmlformats.org/officeDocument/2006/relationships/hyperlink" Target="https://www.kaspersky.com/resource-center/definitions/what-is-cryptocurrency"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nter-market-dynamics-gold-oil-bitcoin.onrender.com" TargetMode="External"/><Relationship Id="rId37" Type="http://schemas.openxmlformats.org/officeDocument/2006/relationships/hyperlink" Target="https://doi.org/10.1016/j.eneco.2024.106454" TargetMode="External"/><Relationship Id="rId40" Type="http://schemas.openxmlformats.org/officeDocument/2006/relationships/hyperlink" Target="https://doi.org/10.1016/j.najef.2023.101694" TargetMode="External"/><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504/IJFMD.2020.10027321" TargetMode="External"/><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coderacheal/Inter-Market-Dynamics-Gold-Oil-Bitcoin-Dollar-Index-"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i.org/10.1016/j.jbankfin.2009.12.008" TargetMode="External"/><Relationship Id="rId43" Type="http://schemas.openxmlformats.org/officeDocument/2006/relationships/image" Target="media/image25.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scitotenv.2022.154249" TargetMode="External"/><Relationship Id="rId38" Type="http://schemas.openxmlformats.org/officeDocument/2006/relationships/hyperlink" Target="https://doi.org/10.1016/j.eneco.2015.04.012" TargetMode="External"/><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s://www.investopedia.com/terms/u/usdx.as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6350</Words>
  <Characters>36195</Characters>
  <Application>Microsoft Office Word</Application>
  <DocSecurity>0</DocSecurity>
  <Lines>301</Lines>
  <Paragraphs>84</Paragraphs>
  <ScaleCrop>false</ScaleCrop>
  <Company/>
  <LinksUpToDate>false</LinksUpToDate>
  <CharactersWithSpaces>42461</CharactersWithSpaces>
  <SharedDoc>false</SharedDoc>
  <HLinks>
    <vt:vector size="228" baseType="variant">
      <vt:variant>
        <vt:i4>1835093</vt:i4>
      </vt:variant>
      <vt:variant>
        <vt:i4>192</vt:i4>
      </vt:variant>
      <vt:variant>
        <vt:i4>0</vt:i4>
      </vt:variant>
      <vt:variant>
        <vt:i4>5</vt:i4>
      </vt:variant>
      <vt:variant>
        <vt:lpwstr>https://www.kaspersky.com/resource-center/definitions/what-is-cryptocurrency</vt:lpwstr>
      </vt:variant>
      <vt:variant>
        <vt:lpwstr/>
      </vt:variant>
      <vt:variant>
        <vt:i4>67</vt:i4>
      </vt:variant>
      <vt:variant>
        <vt:i4>189</vt:i4>
      </vt:variant>
      <vt:variant>
        <vt:i4>0</vt:i4>
      </vt:variant>
      <vt:variant>
        <vt:i4>5</vt:i4>
      </vt:variant>
      <vt:variant>
        <vt:lpwstr>https://www.investopedia.com/terms/u/usdx.asp</vt:lpwstr>
      </vt:variant>
      <vt:variant>
        <vt:lpwstr/>
      </vt:variant>
      <vt:variant>
        <vt:i4>2883708</vt:i4>
      </vt:variant>
      <vt:variant>
        <vt:i4>186</vt:i4>
      </vt:variant>
      <vt:variant>
        <vt:i4>0</vt:i4>
      </vt:variant>
      <vt:variant>
        <vt:i4>5</vt:i4>
      </vt:variant>
      <vt:variant>
        <vt:lpwstr>https://doi.org/10.1016/j.najef.2023.101694</vt:lpwstr>
      </vt:variant>
      <vt:variant>
        <vt:lpwstr/>
      </vt:variant>
      <vt:variant>
        <vt:i4>4194376</vt:i4>
      </vt:variant>
      <vt:variant>
        <vt:i4>183</vt:i4>
      </vt:variant>
      <vt:variant>
        <vt:i4>0</vt:i4>
      </vt:variant>
      <vt:variant>
        <vt:i4>5</vt:i4>
      </vt:variant>
      <vt:variant>
        <vt:lpwstr>https://doi.org/10.1016/j.inteco.2020.03.005</vt:lpwstr>
      </vt:variant>
      <vt:variant>
        <vt:lpwstr/>
      </vt:variant>
      <vt:variant>
        <vt:i4>3473520</vt:i4>
      </vt:variant>
      <vt:variant>
        <vt:i4>180</vt:i4>
      </vt:variant>
      <vt:variant>
        <vt:i4>0</vt:i4>
      </vt:variant>
      <vt:variant>
        <vt:i4>5</vt:i4>
      </vt:variant>
      <vt:variant>
        <vt:lpwstr>https://doi.org/10.1016/j.eneco.2015.04.012</vt:lpwstr>
      </vt:variant>
      <vt:variant>
        <vt:lpwstr/>
      </vt:variant>
      <vt:variant>
        <vt:i4>2687091</vt:i4>
      </vt:variant>
      <vt:variant>
        <vt:i4>177</vt:i4>
      </vt:variant>
      <vt:variant>
        <vt:i4>0</vt:i4>
      </vt:variant>
      <vt:variant>
        <vt:i4>5</vt:i4>
      </vt:variant>
      <vt:variant>
        <vt:lpwstr>https://doi.org/10.1016/j.eneco.2024.106454</vt:lpwstr>
      </vt:variant>
      <vt:variant>
        <vt:lpwstr/>
      </vt:variant>
      <vt:variant>
        <vt:i4>4063279</vt:i4>
      </vt:variant>
      <vt:variant>
        <vt:i4>174</vt:i4>
      </vt:variant>
      <vt:variant>
        <vt:i4>0</vt:i4>
      </vt:variant>
      <vt:variant>
        <vt:i4>5</vt:i4>
      </vt:variant>
      <vt:variant>
        <vt:lpwstr>https://doi.org/10.1504/IJFMD.2020.10027321</vt:lpwstr>
      </vt:variant>
      <vt:variant>
        <vt:lpwstr/>
      </vt:variant>
      <vt:variant>
        <vt:i4>3014711</vt:i4>
      </vt:variant>
      <vt:variant>
        <vt:i4>171</vt:i4>
      </vt:variant>
      <vt:variant>
        <vt:i4>0</vt:i4>
      </vt:variant>
      <vt:variant>
        <vt:i4>5</vt:i4>
      </vt:variant>
      <vt:variant>
        <vt:lpwstr>https://doi.org/10.1016/j.jbankfin.2009.12.008</vt:lpwstr>
      </vt:variant>
      <vt:variant>
        <vt:lpwstr/>
      </vt:variant>
      <vt:variant>
        <vt:i4>5373974</vt:i4>
      </vt:variant>
      <vt:variant>
        <vt:i4>168</vt:i4>
      </vt:variant>
      <vt:variant>
        <vt:i4>0</vt:i4>
      </vt:variant>
      <vt:variant>
        <vt:i4>5</vt:i4>
      </vt:variant>
      <vt:variant>
        <vt:lpwstr>https://doi.org/10.1016/j.frl.2020.101428</vt:lpwstr>
      </vt:variant>
      <vt:variant>
        <vt:lpwstr/>
      </vt:variant>
      <vt:variant>
        <vt:i4>2883705</vt:i4>
      </vt:variant>
      <vt:variant>
        <vt:i4>165</vt:i4>
      </vt:variant>
      <vt:variant>
        <vt:i4>0</vt:i4>
      </vt:variant>
      <vt:variant>
        <vt:i4>5</vt:i4>
      </vt:variant>
      <vt:variant>
        <vt:lpwstr>https://doi.org/10.1016/j.scitotenv.2022.154249</vt:lpwstr>
      </vt:variant>
      <vt:variant>
        <vt:lpwstr/>
      </vt:variant>
      <vt:variant>
        <vt:i4>458822</vt:i4>
      </vt:variant>
      <vt:variant>
        <vt:i4>162</vt:i4>
      </vt:variant>
      <vt:variant>
        <vt:i4>0</vt:i4>
      </vt:variant>
      <vt:variant>
        <vt:i4>5</vt:i4>
      </vt:variant>
      <vt:variant>
        <vt:lpwstr>https://inter-market-dynamics-gold-oil-bitcoin.onrender.com/</vt:lpwstr>
      </vt:variant>
      <vt:variant>
        <vt:lpwstr/>
      </vt:variant>
      <vt:variant>
        <vt:i4>7405604</vt:i4>
      </vt:variant>
      <vt:variant>
        <vt:i4>159</vt:i4>
      </vt:variant>
      <vt:variant>
        <vt:i4>0</vt:i4>
      </vt:variant>
      <vt:variant>
        <vt:i4>5</vt:i4>
      </vt:variant>
      <vt:variant>
        <vt:lpwstr>https://github.com/coderacheal/Inter-Market-Dynamics-Gold-Oil-Bitcoin-Dollar-Index-</vt:lpwstr>
      </vt:variant>
      <vt:variant>
        <vt:lpwstr/>
      </vt:variant>
      <vt:variant>
        <vt:i4>1114163</vt:i4>
      </vt:variant>
      <vt:variant>
        <vt:i4>152</vt:i4>
      </vt:variant>
      <vt:variant>
        <vt:i4>0</vt:i4>
      </vt:variant>
      <vt:variant>
        <vt:i4>5</vt:i4>
      </vt:variant>
      <vt:variant>
        <vt:lpwstr/>
      </vt:variant>
      <vt:variant>
        <vt:lpwstr>_Toc183981965</vt:lpwstr>
      </vt:variant>
      <vt:variant>
        <vt:i4>1114163</vt:i4>
      </vt:variant>
      <vt:variant>
        <vt:i4>146</vt:i4>
      </vt:variant>
      <vt:variant>
        <vt:i4>0</vt:i4>
      </vt:variant>
      <vt:variant>
        <vt:i4>5</vt:i4>
      </vt:variant>
      <vt:variant>
        <vt:lpwstr/>
      </vt:variant>
      <vt:variant>
        <vt:lpwstr>_Toc183981964</vt:lpwstr>
      </vt:variant>
      <vt:variant>
        <vt:i4>1114163</vt:i4>
      </vt:variant>
      <vt:variant>
        <vt:i4>140</vt:i4>
      </vt:variant>
      <vt:variant>
        <vt:i4>0</vt:i4>
      </vt:variant>
      <vt:variant>
        <vt:i4>5</vt:i4>
      </vt:variant>
      <vt:variant>
        <vt:lpwstr/>
      </vt:variant>
      <vt:variant>
        <vt:lpwstr>_Toc183981963</vt:lpwstr>
      </vt:variant>
      <vt:variant>
        <vt:i4>1114163</vt:i4>
      </vt:variant>
      <vt:variant>
        <vt:i4>134</vt:i4>
      </vt:variant>
      <vt:variant>
        <vt:i4>0</vt:i4>
      </vt:variant>
      <vt:variant>
        <vt:i4>5</vt:i4>
      </vt:variant>
      <vt:variant>
        <vt:lpwstr/>
      </vt:variant>
      <vt:variant>
        <vt:lpwstr>_Toc183981962</vt:lpwstr>
      </vt:variant>
      <vt:variant>
        <vt:i4>1114163</vt:i4>
      </vt:variant>
      <vt:variant>
        <vt:i4>128</vt:i4>
      </vt:variant>
      <vt:variant>
        <vt:i4>0</vt:i4>
      </vt:variant>
      <vt:variant>
        <vt:i4>5</vt:i4>
      </vt:variant>
      <vt:variant>
        <vt:lpwstr/>
      </vt:variant>
      <vt:variant>
        <vt:lpwstr>_Toc183981961</vt:lpwstr>
      </vt:variant>
      <vt:variant>
        <vt:i4>1114163</vt:i4>
      </vt:variant>
      <vt:variant>
        <vt:i4>122</vt:i4>
      </vt:variant>
      <vt:variant>
        <vt:i4>0</vt:i4>
      </vt:variant>
      <vt:variant>
        <vt:i4>5</vt:i4>
      </vt:variant>
      <vt:variant>
        <vt:lpwstr/>
      </vt:variant>
      <vt:variant>
        <vt:lpwstr>_Toc183981960</vt:lpwstr>
      </vt:variant>
      <vt:variant>
        <vt:i4>1179699</vt:i4>
      </vt:variant>
      <vt:variant>
        <vt:i4>116</vt:i4>
      </vt:variant>
      <vt:variant>
        <vt:i4>0</vt:i4>
      </vt:variant>
      <vt:variant>
        <vt:i4>5</vt:i4>
      </vt:variant>
      <vt:variant>
        <vt:lpwstr/>
      </vt:variant>
      <vt:variant>
        <vt:lpwstr>_Toc183981959</vt:lpwstr>
      </vt:variant>
      <vt:variant>
        <vt:i4>1179699</vt:i4>
      </vt:variant>
      <vt:variant>
        <vt:i4>110</vt:i4>
      </vt:variant>
      <vt:variant>
        <vt:i4>0</vt:i4>
      </vt:variant>
      <vt:variant>
        <vt:i4>5</vt:i4>
      </vt:variant>
      <vt:variant>
        <vt:lpwstr/>
      </vt:variant>
      <vt:variant>
        <vt:lpwstr>_Toc183981958</vt:lpwstr>
      </vt:variant>
      <vt:variant>
        <vt:i4>1179699</vt:i4>
      </vt:variant>
      <vt:variant>
        <vt:i4>104</vt:i4>
      </vt:variant>
      <vt:variant>
        <vt:i4>0</vt:i4>
      </vt:variant>
      <vt:variant>
        <vt:i4>5</vt:i4>
      </vt:variant>
      <vt:variant>
        <vt:lpwstr/>
      </vt:variant>
      <vt:variant>
        <vt:lpwstr>_Toc183981957</vt:lpwstr>
      </vt:variant>
      <vt:variant>
        <vt:i4>1179699</vt:i4>
      </vt:variant>
      <vt:variant>
        <vt:i4>98</vt:i4>
      </vt:variant>
      <vt:variant>
        <vt:i4>0</vt:i4>
      </vt:variant>
      <vt:variant>
        <vt:i4>5</vt:i4>
      </vt:variant>
      <vt:variant>
        <vt:lpwstr/>
      </vt:variant>
      <vt:variant>
        <vt:lpwstr>_Toc183981956</vt:lpwstr>
      </vt:variant>
      <vt:variant>
        <vt:i4>1179699</vt:i4>
      </vt:variant>
      <vt:variant>
        <vt:i4>92</vt:i4>
      </vt:variant>
      <vt:variant>
        <vt:i4>0</vt:i4>
      </vt:variant>
      <vt:variant>
        <vt:i4>5</vt:i4>
      </vt:variant>
      <vt:variant>
        <vt:lpwstr/>
      </vt:variant>
      <vt:variant>
        <vt:lpwstr>_Toc183981955</vt:lpwstr>
      </vt:variant>
      <vt:variant>
        <vt:i4>1179699</vt:i4>
      </vt:variant>
      <vt:variant>
        <vt:i4>86</vt:i4>
      </vt:variant>
      <vt:variant>
        <vt:i4>0</vt:i4>
      </vt:variant>
      <vt:variant>
        <vt:i4>5</vt:i4>
      </vt:variant>
      <vt:variant>
        <vt:lpwstr/>
      </vt:variant>
      <vt:variant>
        <vt:lpwstr>_Toc183981954</vt:lpwstr>
      </vt:variant>
      <vt:variant>
        <vt:i4>1179699</vt:i4>
      </vt:variant>
      <vt:variant>
        <vt:i4>80</vt:i4>
      </vt:variant>
      <vt:variant>
        <vt:i4>0</vt:i4>
      </vt:variant>
      <vt:variant>
        <vt:i4>5</vt:i4>
      </vt:variant>
      <vt:variant>
        <vt:lpwstr/>
      </vt:variant>
      <vt:variant>
        <vt:lpwstr>_Toc183981953</vt:lpwstr>
      </vt:variant>
      <vt:variant>
        <vt:i4>1179699</vt:i4>
      </vt:variant>
      <vt:variant>
        <vt:i4>74</vt:i4>
      </vt:variant>
      <vt:variant>
        <vt:i4>0</vt:i4>
      </vt:variant>
      <vt:variant>
        <vt:i4>5</vt:i4>
      </vt:variant>
      <vt:variant>
        <vt:lpwstr/>
      </vt:variant>
      <vt:variant>
        <vt:lpwstr>_Toc183981952</vt:lpwstr>
      </vt:variant>
      <vt:variant>
        <vt:i4>1179699</vt:i4>
      </vt:variant>
      <vt:variant>
        <vt:i4>68</vt:i4>
      </vt:variant>
      <vt:variant>
        <vt:i4>0</vt:i4>
      </vt:variant>
      <vt:variant>
        <vt:i4>5</vt:i4>
      </vt:variant>
      <vt:variant>
        <vt:lpwstr/>
      </vt:variant>
      <vt:variant>
        <vt:lpwstr>_Toc183981951</vt:lpwstr>
      </vt:variant>
      <vt:variant>
        <vt:i4>1179699</vt:i4>
      </vt:variant>
      <vt:variant>
        <vt:i4>62</vt:i4>
      </vt:variant>
      <vt:variant>
        <vt:i4>0</vt:i4>
      </vt:variant>
      <vt:variant>
        <vt:i4>5</vt:i4>
      </vt:variant>
      <vt:variant>
        <vt:lpwstr/>
      </vt:variant>
      <vt:variant>
        <vt:lpwstr>_Toc183981950</vt:lpwstr>
      </vt:variant>
      <vt:variant>
        <vt:i4>1245235</vt:i4>
      </vt:variant>
      <vt:variant>
        <vt:i4>56</vt:i4>
      </vt:variant>
      <vt:variant>
        <vt:i4>0</vt:i4>
      </vt:variant>
      <vt:variant>
        <vt:i4>5</vt:i4>
      </vt:variant>
      <vt:variant>
        <vt:lpwstr/>
      </vt:variant>
      <vt:variant>
        <vt:lpwstr>_Toc183981949</vt:lpwstr>
      </vt:variant>
      <vt:variant>
        <vt:i4>1245235</vt:i4>
      </vt:variant>
      <vt:variant>
        <vt:i4>50</vt:i4>
      </vt:variant>
      <vt:variant>
        <vt:i4>0</vt:i4>
      </vt:variant>
      <vt:variant>
        <vt:i4>5</vt:i4>
      </vt:variant>
      <vt:variant>
        <vt:lpwstr/>
      </vt:variant>
      <vt:variant>
        <vt:lpwstr>_Toc183981948</vt:lpwstr>
      </vt:variant>
      <vt:variant>
        <vt:i4>1245235</vt:i4>
      </vt:variant>
      <vt:variant>
        <vt:i4>44</vt:i4>
      </vt:variant>
      <vt:variant>
        <vt:i4>0</vt:i4>
      </vt:variant>
      <vt:variant>
        <vt:i4>5</vt:i4>
      </vt:variant>
      <vt:variant>
        <vt:lpwstr/>
      </vt:variant>
      <vt:variant>
        <vt:lpwstr>_Toc183981947</vt:lpwstr>
      </vt:variant>
      <vt:variant>
        <vt:i4>1245235</vt:i4>
      </vt:variant>
      <vt:variant>
        <vt:i4>38</vt:i4>
      </vt:variant>
      <vt:variant>
        <vt:i4>0</vt:i4>
      </vt:variant>
      <vt:variant>
        <vt:i4>5</vt:i4>
      </vt:variant>
      <vt:variant>
        <vt:lpwstr/>
      </vt:variant>
      <vt:variant>
        <vt:lpwstr>_Toc183981946</vt:lpwstr>
      </vt:variant>
      <vt:variant>
        <vt:i4>1245235</vt:i4>
      </vt:variant>
      <vt:variant>
        <vt:i4>32</vt:i4>
      </vt:variant>
      <vt:variant>
        <vt:i4>0</vt:i4>
      </vt:variant>
      <vt:variant>
        <vt:i4>5</vt:i4>
      </vt:variant>
      <vt:variant>
        <vt:lpwstr/>
      </vt:variant>
      <vt:variant>
        <vt:lpwstr>_Toc183981945</vt:lpwstr>
      </vt:variant>
      <vt:variant>
        <vt:i4>1245235</vt:i4>
      </vt:variant>
      <vt:variant>
        <vt:i4>26</vt:i4>
      </vt:variant>
      <vt:variant>
        <vt:i4>0</vt:i4>
      </vt:variant>
      <vt:variant>
        <vt:i4>5</vt:i4>
      </vt:variant>
      <vt:variant>
        <vt:lpwstr/>
      </vt:variant>
      <vt:variant>
        <vt:lpwstr>_Toc183981944</vt:lpwstr>
      </vt:variant>
      <vt:variant>
        <vt:i4>1245235</vt:i4>
      </vt:variant>
      <vt:variant>
        <vt:i4>20</vt:i4>
      </vt:variant>
      <vt:variant>
        <vt:i4>0</vt:i4>
      </vt:variant>
      <vt:variant>
        <vt:i4>5</vt:i4>
      </vt:variant>
      <vt:variant>
        <vt:lpwstr/>
      </vt:variant>
      <vt:variant>
        <vt:lpwstr>_Toc183981943</vt:lpwstr>
      </vt:variant>
      <vt:variant>
        <vt:i4>1245235</vt:i4>
      </vt:variant>
      <vt:variant>
        <vt:i4>14</vt:i4>
      </vt:variant>
      <vt:variant>
        <vt:i4>0</vt:i4>
      </vt:variant>
      <vt:variant>
        <vt:i4>5</vt:i4>
      </vt:variant>
      <vt:variant>
        <vt:lpwstr/>
      </vt:variant>
      <vt:variant>
        <vt:lpwstr>_Toc183981942</vt:lpwstr>
      </vt:variant>
      <vt:variant>
        <vt:i4>1245235</vt:i4>
      </vt:variant>
      <vt:variant>
        <vt:i4>8</vt:i4>
      </vt:variant>
      <vt:variant>
        <vt:i4>0</vt:i4>
      </vt:variant>
      <vt:variant>
        <vt:i4>5</vt:i4>
      </vt:variant>
      <vt:variant>
        <vt:lpwstr/>
      </vt:variant>
      <vt:variant>
        <vt:lpwstr>_Toc183981941</vt:lpwstr>
      </vt:variant>
      <vt:variant>
        <vt:i4>1245235</vt:i4>
      </vt:variant>
      <vt:variant>
        <vt:i4>2</vt:i4>
      </vt:variant>
      <vt:variant>
        <vt:i4>0</vt:i4>
      </vt:variant>
      <vt:variant>
        <vt:i4>5</vt:i4>
      </vt:variant>
      <vt:variant>
        <vt:lpwstr/>
      </vt:variant>
      <vt:variant>
        <vt:lpwstr>_Toc183981940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Racheal Appiah-kubi</dc:creator>
  <cp:keywords/>
  <dc:description/>
  <cp:lastModifiedBy>Racheal Appiah-kubi</cp:lastModifiedBy>
  <cp:revision>2</cp:revision>
  <dcterms:created xsi:type="dcterms:W3CDTF">2024-12-02T04:04:00Z</dcterms:created>
  <dcterms:modified xsi:type="dcterms:W3CDTF">2024-12-02T04:04:00Z</dcterms:modified>
</cp:coreProperties>
</file>