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Service Level Agreements in the Kenyan IT Context</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Executive Strategy and Contextual Analysis</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The Imperative of Professional Service Assurance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In the rapidly maturing landscape of Information Technology services within East Africa, the Service Level Agreement (SLA) has transcended its traditional role as a mere contractual appendix. It has evolved into a primary instrument of risk management, commercial differentiation, and operational governance. For entities seeking to mirror the professional stature of established market leaders like Amband Limited—a firm notable for its engagement with high-stakes government projects such as the Huduma Kenya digitization initiative and strategic partnerships with research bodies like TCC Africa—the SLA must be reconstructed from a document of "intent" into a document of "guarantee".</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transition from a draft SLA to a professional, enterprise-grade agreement requires a fundamental shift in perspective. A draft agreement typically focuses on "best effort" delivery, often characterized by vague promises of uptime and responsiveness. In contrast, a professional SLA, such as those utilized by Amband and its peers in the managed services sector, is rooted in mathematical precision, legal enforceability under local statutes (specifically the Kenyan Data Protection Act 2019), and clearly defined financial consequences for non-performance. This report provides an exhaustive deconstruction of the necessary components to elevate a standard service contract to this level, ensuring it serves not only as a safeguard for the client but as a robust framework for the provider’s own operational maturity.</w:t>
      </w:r>
      <w:r w:rsidDel="00000000" w:rsidR="00000000" w:rsidRPr="00000000">
        <w:rPr>
          <w:rFonts w:ascii="Google Sans Text" w:cs="Google Sans Text" w:eastAsia="Google Sans Text" w:hAnsi="Google Sans Text"/>
          <w:color w:val="444746"/>
          <w:sz w:val="24"/>
          <w:szCs w:val="24"/>
          <w:vertAlign w:val="superscript"/>
          <w:rtl w:val="0"/>
        </w:rPr>
        <w:t xml:space="preserve">4</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strategic value of a rigorous SLA extends beyond the immediate vendor-client relationship. In the context of public sector tendering—where Amband has demonstrated capability—an SLA serves as a proxy for the bidder's reliability. Government entities and large enterprises view the specificity of an SLA as an indicator of the provider's confidence in their own infrastructure. A provider that commits to "99.99% availability" with defined financial penalties for breach signals a higher degree of infrastructure redundancy and operational discipline than one offering undefined "reliable service".</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f1f1f"/>
          <w:rtl w:val="0"/>
        </w:rPr>
        <w:t xml:space="preserve"> Consequently, the enhancements proposed in this report are designed to position the drafting entity as a Tier-1 provider capable of handling mission-critical workloads.</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 The "Amband" Standard: Bespoke and Compliance-Driven</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Amband’s market positioning as a provider of "bespoke and out-of-the-box IT solutions" suggests a hybrid approach to SLA drafting that balances standardization with customization.</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Analysis of their engagement profile indicates a necessity for SLAs that are robust enough to handle sensitive government data yet flexible enough to accommodate dynamic software development lifecycles.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To replicate this standard, the drafted SLA must move away from generic templates and incorporate specific "Service Schedules" that tailor the agreement to the specific service being consumed—whether it be software development, managed hosting, or cybersecurity consultation. Furthermore, given Amband's operation within Nairobi and its handling of potentially sensitive data (e.g., RFID solutions, identity management), the SLA must be hermetically sealed against the nuances of Kenyan law. This involves moving beyond generic international arbitration clauses to specific references to the Nairobi Centre for International Arbitration (NCIA) and aligning force majeure clauses with the specific infrastructural and political realities of the region.</w:t>
      </w:r>
      <w:r w:rsidDel="00000000" w:rsidR="00000000" w:rsidRPr="00000000">
        <w:rPr>
          <w:rFonts w:ascii="Google Sans Text" w:cs="Google Sans Text" w:eastAsia="Google Sans Text" w:hAnsi="Google Sans Text"/>
          <w:color w:val="444746"/>
          <w:sz w:val="24"/>
          <w:szCs w:val="24"/>
          <w:vertAlign w:val="superscript"/>
          <w:rtl w:val="0"/>
        </w:rPr>
        <w:t xml:space="preserve">7</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report will systematically dismantle the components of a high-performance SLA, categorized into legal compliance, operational metrics, financial remedies, and incident management. By integrating these elements, the resulting agreement will not only protect revenue streams through liability caps but also enhance customer retention through transparent performance accountability.</w:t>
      </w:r>
    </w:p>
    <w:p w:rsidR="00000000" w:rsidDel="00000000" w:rsidP="00000000" w:rsidRDefault="00000000" w:rsidRPr="00000000" w14:paraId="0000000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Legal Architecture and Regulatory Compliance</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Governing Law and Dispute Resolution</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 hallmark of a professional SLA is clarity regarding jurisdiction. Ambiguity in this area is a significant liability, particularly in cross-border service delivery which is common in East Africa’s integrated technology market. For a Kenyan-based entity like Amband, or an entity aspiring to that level, the SLA must explicitly seat the contract within the Laws of Kenya.</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However, professional agreements in this domain increasingly favor Alternative Dispute Resolution (ADR) over litigation, primarily due to the technical nature of IT disputes and the need for confidentiality—a critical concern in software development and data hosting. The standard template should therefore include a multi-tiered dispute resolution clause. This begins with "Amicable Settlement" between senior executives (e.g., CTOs of both parties), escalating to Mediation, and finally to Arbitration if necessary.</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Strategic Recommendation:</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SLA should designate the Nairobi Centre for International Arbitration (NCIA) as the administering body. The inclusion of the NCIA rules signals local legitimacy and aligns with government procurement preferences. The clause must specify the number of arbitrators (typically one for speed and cost-efficiency in commercial disputes) and the language of arbitration (English). This structure prevents the paralysis often caused by protracted court battles and ensures that disputes are adjudicated by individuals with commercial and technical fluency.8</w:t>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Data Protection and Privacy (The DPA 2019 Imperative)</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Since the enactment of the Data Protection Act (DPA) 2019, an IT service provider in Kenya cannot issue an SLA that ignores data privacy. Doing so renders the contract professionally immature and legally hazardous. Amband’s involvement in "Information Systems" and "RFID Solutions" implies the processing of personal data, which necessitates a strict delineation of roles.</w:t>
      </w:r>
      <w:r w:rsidDel="00000000" w:rsidR="00000000" w:rsidRPr="00000000">
        <w:rPr>
          <w:rFonts w:ascii="Google Sans Text" w:cs="Google Sans Text" w:eastAsia="Google Sans Text" w:hAnsi="Google Sans Text"/>
          <w:color w:val="444746"/>
          <w:sz w:val="24"/>
          <w:szCs w:val="24"/>
          <w:vertAlign w:val="superscript"/>
          <w:rtl w:val="0"/>
        </w:rPr>
        <w:t xml:space="preserve">7</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SLA must explicitly categorize the Service Provider as a </w:t>
      </w:r>
      <w:r w:rsidDel="00000000" w:rsidR="00000000" w:rsidRPr="00000000">
        <w:rPr>
          <w:rFonts w:ascii="Google Sans Text" w:cs="Google Sans Text" w:eastAsia="Google Sans Text" w:hAnsi="Google Sans Text"/>
          <w:b w:val="1"/>
          <w:bCs w:val="1"/>
          <w:color w:val="1f1f1f"/>
          <w:rtl w:val="0"/>
        </w:rPr>
        <w:t xml:space="preserve">Data Processor</w:t>
      </w:r>
      <w:r w:rsidDel="00000000" w:rsidR="00000000" w:rsidRPr="00000000">
        <w:rPr>
          <w:rFonts w:ascii="Google Sans Text" w:cs="Google Sans Text" w:eastAsia="Google Sans Text" w:hAnsi="Google Sans Text"/>
          <w:color w:val="1f1f1f"/>
          <w:rtl w:val="0"/>
        </w:rPr>
        <w:t xml:space="preserve"> and the Client as the </w:t>
      </w:r>
      <w:r w:rsidDel="00000000" w:rsidR="00000000" w:rsidRPr="00000000">
        <w:rPr>
          <w:rFonts w:ascii="Google Sans Text" w:cs="Google Sans Text" w:eastAsia="Google Sans Text" w:hAnsi="Google Sans Text"/>
          <w:b w:val="1"/>
          <w:bCs w:val="1"/>
          <w:color w:val="1f1f1f"/>
          <w:rtl w:val="0"/>
        </w:rPr>
        <w:t xml:space="preserve">Data Controller</w:t>
      </w:r>
      <w:r w:rsidDel="00000000" w:rsidR="00000000" w:rsidRPr="00000000">
        <w:rPr>
          <w:rFonts w:ascii="Google Sans Text" w:cs="Google Sans Text" w:eastAsia="Google Sans Text" w:hAnsi="Google Sans Text"/>
          <w:color w:val="1f1f1f"/>
          <w:rtl w:val="0"/>
        </w:rPr>
        <w:t xml:space="preserve">. This distinction is vital because it shifts the primary statutory liability for data collection legality to the client, while the provider accepts liability for security and processing integrity.</w:t>
      </w:r>
    </w:p>
    <w:p w:rsidR="00000000" w:rsidDel="00000000" w:rsidP="00000000" w:rsidRDefault="00000000" w:rsidRPr="00000000" w14:paraId="00000014">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2.2.1 Mandatory Processing Clauses</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 meet professional standards, the SLA must incorporate a Data Processing Addendum (DPA) or specific clauses that mirror the statutory requirements of the Act. This includes:</w:t>
      </w:r>
    </w:p>
    <w:p w:rsidR="00000000" w:rsidDel="00000000" w:rsidP="00000000" w:rsidRDefault="00000000" w:rsidRPr="00000000" w14:paraId="00000016">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Lawful Basis:</w:t>
      </w:r>
      <w:r w:rsidDel="00000000" w:rsidR="00000000" w:rsidRPr="00000000">
        <w:rPr>
          <w:rFonts w:ascii="Google Sans Text" w:cs="Google Sans Text" w:eastAsia="Google Sans Text" w:hAnsi="Google Sans Text"/>
          <w:color w:val="1f1f1f"/>
          <w:rtl w:val="0"/>
        </w:rPr>
        <w:t xml:space="preserve"> A declaration that the processing is necessary for the performance of the contract, satisfying Section 30 of the DPA.</w:t>
      </w:r>
      <w:r w:rsidDel="00000000" w:rsidR="00000000" w:rsidRPr="00000000">
        <w:rPr>
          <w:rFonts w:ascii="Google Sans Text" w:cs="Google Sans Text" w:eastAsia="Google Sans Text" w:hAnsi="Google Sans Text"/>
          <w:color w:val="444746"/>
          <w:sz w:val="24"/>
          <w:szCs w:val="24"/>
          <w:vertAlign w:val="superscript"/>
          <w:rtl w:val="0"/>
        </w:rPr>
        <w:t xml:space="preserve">11</w:t>
      </w:r>
    </w:p>
    <w:p w:rsidR="00000000" w:rsidDel="00000000" w:rsidP="00000000" w:rsidRDefault="00000000" w:rsidRPr="00000000" w14:paraId="00000017">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Cross-Border Transfers:</w:t>
      </w:r>
      <w:r w:rsidDel="00000000" w:rsidR="00000000" w:rsidRPr="00000000">
        <w:rPr>
          <w:rFonts w:ascii="Google Sans Text" w:cs="Google Sans Text" w:eastAsia="Google Sans Text" w:hAnsi="Google Sans Text"/>
          <w:color w:val="1f1f1f"/>
          <w:rtl w:val="0"/>
        </w:rPr>
        <w:t xml:space="preserve"> Many Kenyan IT firms utilize hyperscale cloud providers (AWS, Azure, Google Cloud) which may host data outside Kenya. The SLA must explicitly warrant that such transfers comply with Section 48 of the DPA, ensuring that the destination country has adequate data protection safeguards or that appropriate standard contractual clauses are in place. Failure to disclose this transfer mechanism is a common compliance gap in draft SLAs.</w:t>
      </w:r>
      <w:r w:rsidDel="00000000" w:rsidR="00000000" w:rsidRPr="00000000">
        <w:rPr>
          <w:rFonts w:ascii="Google Sans Text" w:cs="Google Sans Text" w:eastAsia="Google Sans Text" w:hAnsi="Google Sans Text"/>
          <w:color w:val="444746"/>
          <w:sz w:val="24"/>
          <w:szCs w:val="24"/>
          <w:vertAlign w:val="superscript"/>
          <w:rtl w:val="0"/>
        </w:rPr>
        <w:t xml:space="preserve">13</w:t>
      </w:r>
    </w:p>
    <w:p w:rsidR="00000000" w:rsidDel="00000000" w:rsidP="00000000" w:rsidRDefault="00000000" w:rsidRPr="00000000" w14:paraId="00000018">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Breach Notification Protocols:</w:t>
      </w:r>
      <w:r w:rsidDel="00000000" w:rsidR="00000000" w:rsidRPr="00000000">
        <w:rPr>
          <w:rFonts w:ascii="Google Sans Text" w:cs="Google Sans Text" w:eastAsia="Google Sans Text" w:hAnsi="Google Sans Text"/>
          <w:color w:val="1f1f1f"/>
          <w:rtl w:val="0"/>
        </w:rPr>
        <w:t xml:space="preserve"> The Act requires data controllers to notify the Data Commissioner of a breach within 72 hours. Consequently, the SLA must impose a tighter deadline on the Service Provider—typically </w:t>
      </w:r>
      <w:r w:rsidDel="00000000" w:rsidR="00000000" w:rsidRPr="00000000">
        <w:rPr>
          <w:rFonts w:ascii="Google Sans Text" w:cs="Google Sans Text" w:eastAsia="Google Sans Text" w:hAnsi="Google Sans Text"/>
          <w:b w:val="1"/>
          <w:bCs w:val="1"/>
          <w:color w:val="1f1f1f"/>
          <w:rtl w:val="0"/>
        </w:rPr>
        <w:t xml:space="preserve">24 to 48 hours</w:t>
      </w:r>
      <w:r w:rsidDel="00000000" w:rsidR="00000000" w:rsidRPr="00000000">
        <w:rPr>
          <w:rFonts w:ascii="Google Sans Text" w:cs="Google Sans Text" w:eastAsia="Google Sans Text" w:hAnsi="Google Sans Text"/>
          <w:color w:val="1f1f1f"/>
          <w:rtl w:val="0"/>
        </w:rPr>
        <w:t xml:space="preserve">—to notify the Client of any security incident. This buffer is critical for the Client to meet their own regulatory obligations.</w:t>
      </w:r>
      <w:r w:rsidDel="00000000" w:rsidR="00000000" w:rsidRPr="00000000">
        <w:rPr>
          <w:rFonts w:ascii="Google Sans Text" w:cs="Google Sans Text" w:eastAsia="Google Sans Text" w:hAnsi="Google Sans Text"/>
          <w:color w:val="444746"/>
          <w:sz w:val="24"/>
          <w:szCs w:val="24"/>
          <w:vertAlign w:val="superscript"/>
          <w:rtl w:val="0"/>
        </w:rPr>
        <w:t xml:space="preserve">11</w:t>
      </w:r>
    </w:p>
    <w:p w:rsidR="00000000" w:rsidDel="00000000" w:rsidP="00000000" w:rsidRDefault="00000000" w:rsidRPr="00000000" w14:paraId="00000019">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 Limitation of Liability and Indemnification</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Professionalism in contracting is often defined by how risk is allocated. A "friendly" draft SLA often leaves liability unlimited, which is financially catastrophic for an IT provider. To emulate the robustness of an established firm, the SLA must include a "Limitation of Liability" clause.</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Financial Caps:</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Standard industry practice, supported by legal precedent in commercial technology contracts, limits the provider’s total liability to the fees paid by the client during the twelve (12) months preceding the claim. This "liability cap" ensures that a $10,000 contract does not expose the provider to $1 million in damages. However, professional SLAs also include specific exclusions to this cap. Liability for data breaches caused by gross negligence, willful misconduct, or intellectual property infringement (indemnification) should remain uncapped to reassure the client.14</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Indemnification Logic:</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SLA must include a mutual indemnification clause. The Provider indemnifies the Client against Third-Party IP claims (e.g., "The software we built for you was stolen from someone else"), while the Client indemnifies the Provider against claims arising from the Client’s content or misuse of the service. This reciprocity is a hallmark of balanced, mature commercial agreements.16</w:t>
      </w:r>
    </w:p>
    <w:p w:rsidR="00000000" w:rsidDel="00000000" w:rsidP="00000000" w:rsidRDefault="00000000" w:rsidRPr="00000000" w14:paraId="0000001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Service Level Objectives (SLOs) and Operational Metrics</w:t>
      </w:r>
    </w:p>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Defining "Availability" with Mathematical Precision</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In a professional SLA, "Uptime" is not a marketing term; it is a mathematical definition. Draft agreements often fail because they do not define </w:t>
      </w:r>
      <w:r w:rsidDel="00000000" w:rsidR="00000000" w:rsidRPr="00000000">
        <w:rPr>
          <w:rFonts w:ascii="Google Sans Text" w:cs="Google Sans Text" w:eastAsia="Google Sans Text" w:hAnsi="Google Sans Text"/>
          <w:i w:val="1"/>
          <w:iCs w:val="1"/>
          <w:color w:val="1f1f1f"/>
          <w:rtl w:val="0"/>
        </w:rPr>
        <w:t xml:space="preserve">how</w:t>
      </w:r>
      <w:r w:rsidDel="00000000" w:rsidR="00000000" w:rsidRPr="00000000">
        <w:rPr>
          <w:rFonts w:ascii="Google Sans Text" w:cs="Google Sans Text" w:eastAsia="Google Sans Text" w:hAnsi="Google Sans Text"/>
          <w:color w:val="1f1f1f"/>
          <w:rtl w:val="0"/>
        </w:rPr>
        <w:t xml:space="preserve"> uptime is measured or </w:t>
      </w:r>
      <w:r w:rsidDel="00000000" w:rsidR="00000000" w:rsidRPr="00000000">
        <w:rPr>
          <w:rFonts w:ascii="Google Sans Text" w:cs="Google Sans Text" w:eastAsia="Google Sans Text" w:hAnsi="Google Sans Text"/>
          <w:i w:val="1"/>
          <w:iCs w:val="1"/>
          <w:color w:val="1f1f1f"/>
          <w:rtl w:val="0"/>
        </w:rPr>
        <w:t xml:space="preserve">what</w:t>
      </w:r>
      <w:r w:rsidDel="00000000" w:rsidR="00000000" w:rsidRPr="00000000">
        <w:rPr>
          <w:rFonts w:ascii="Google Sans Text" w:cs="Google Sans Text" w:eastAsia="Google Sans Text" w:hAnsi="Google Sans Text"/>
          <w:color w:val="1f1f1f"/>
          <w:rtl w:val="0"/>
        </w:rPr>
        <w:t xml:space="preserve"> constitutes downtime. To match Amband’s technical rigor, the SLA must specify the "Availability Calculation."</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Standard Formula:</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SLA should utilize the following calculation for Monthly Uptime Percentage:</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$$\text{Availability} = \left( \frac{\text{Total Minutes} - \text{Excluded Minutes} - \text{Downtime}}{\text{Total Minutes} - \text{Excluded Minutes}} \right) \times 100$$</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formula is critical because it explicitly accounts for "Excluded Minutes." Without this deduction, a provider could be penalized for scheduled maintenance or force majeure events.</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Granularity of Measurement:</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SLA should specify the monitoring interval. Professional standards dictate that availability is measured using external synthetic monitoring (e.g., ping checks every 1-5 minutes) from neutral geographic locations. Defining the "Source of Truth" (e.g., "Provider’s Status Page" or "Third-Party Monitor") eliminates disputes during outage reporting.18</w:t>
      </w:r>
    </w:p>
    <w:p w:rsidR="00000000" w:rsidDel="00000000" w:rsidP="00000000" w:rsidRDefault="00000000" w:rsidRPr="00000000" w14:paraId="0000002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Service Tiers and Performance targets</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Recognizing that not all services require the same level of assurance, a professional SLA often employs a tiered structure. This allows the provider to upsell higher reliability at a premium price point, a strategy likely employed by Amband across their varied portfolio (e.g., Web Development vs. RFID Security Systems).</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Table 1: Standard Service Tier Definitions</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Tier Classification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Availability Target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Permitted Downtime (Monthly)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Target Workload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Mission Critical (Platinum)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99.99%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~4.38 Minutes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Financial Transactions, Core Government Services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Business Critical (Gold)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99.9%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~43.8 Minutes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Enterprise ERP, Email, Customer Portals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Standard (Silver)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99.5%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~3.65 Hours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Internal Tools, Knowledge Bases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Economy (Bronze)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99.0%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~7.31 Hours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Test/Dev Environments, Non-Production Archives</w:t>
            </w:r>
          </w:p>
        </w:tc>
      </w:tr>
    </w:tbl>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This tiered approach demonstrates operational maturity by acknowledging that achieving 99.99% availability requires significantly more redundant infrastructure than 99.0%, and prices the risk accordingly.</w:t>
      </w:r>
      <w:r w:rsidDel="00000000" w:rsidR="00000000" w:rsidRPr="00000000">
        <w:rPr>
          <w:rFonts w:ascii="Google Sans Text" w:cs="Google Sans Text" w:eastAsia="Google Sans Text" w:hAnsi="Google Sans Text"/>
          <w:color w:val="444746"/>
          <w:sz w:val="24"/>
          <w:szCs w:val="24"/>
          <w:vertAlign w:val="superscript"/>
          <w:rtl w:val="0"/>
        </w:rPr>
        <w:t xml:space="preserve">20</w:t>
      </w:r>
    </w:p>
    <w:p w:rsidR="00000000" w:rsidDel="00000000" w:rsidP="00000000" w:rsidRDefault="00000000" w:rsidRPr="00000000" w14:paraId="0000004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 Differentiating Response and Resolution</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 common pitfall in draft SLAs is the conflation of "Response Time" (acknowledgment) and "Resolution Time" (fix). A professional SLA must distinguish these clearly to manage expectations.</w:t>
      </w:r>
    </w:p>
    <w:p w:rsidR="00000000" w:rsidDel="00000000" w:rsidP="00000000" w:rsidRDefault="00000000" w:rsidRPr="00000000" w14:paraId="00000044">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Response Time (MTTA - Mean Time to Acknowledge):</w:t>
      </w:r>
      <w:r w:rsidDel="00000000" w:rsidR="00000000" w:rsidRPr="00000000">
        <w:rPr>
          <w:rFonts w:ascii="Google Sans Text" w:cs="Google Sans Text" w:eastAsia="Google Sans Text" w:hAnsi="Google Sans Text"/>
          <w:color w:val="1f1f1f"/>
          <w:rtl w:val="0"/>
        </w:rPr>
        <w:t xml:space="preserve"> The time from the customer logging a ticket to receiving a human-generated acknowledgment (not an auto-reply). This metric measures the Service Desk’s agility.</w:t>
      </w:r>
    </w:p>
    <w:p w:rsidR="00000000" w:rsidDel="00000000" w:rsidP="00000000" w:rsidRDefault="00000000" w:rsidRPr="00000000" w14:paraId="00000045">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Resolution Time (MTTR - Mean Time to Resolve):</w:t>
      </w:r>
      <w:r w:rsidDel="00000000" w:rsidR="00000000" w:rsidRPr="00000000">
        <w:rPr>
          <w:rFonts w:ascii="Google Sans Text" w:cs="Google Sans Text" w:eastAsia="Google Sans Text" w:hAnsi="Google Sans Text"/>
          <w:color w:val="1f1f1f"/>
          <w:rtl w:val="0"/>
        </w:rPr>
        <w:t xml:space="preserve"> The time required to restore the service to operational status. It is crucial to note that professional SLAs often commit to "Resolution Effort" rather than guaranteed "Resolution Time," as complex software bugs may take indeterminate time to debug. However, for hardware or infrastructure issues, fixed resolution times are standard.</w:t>
      </w:r>
      <w:r w:rsidDel="00000000" w:rsidR="00000000" w:rsidRPr="00000000">
        <w:rPr>
          <w:rFonts w:ascii="Google Sans Text" w:cs="Google Sans Text" w:eastAsia="Google Sans Text" w:hAnsi="Google Sans Text"/>
          <w:color w:val="444746"/>
          <w:sz w:val="24"/>
          <w:szCs w:val="24"/>
          <w:vertAlign w:val="superscript"/>
          <w:rtl w:val="0"/>
        </w:rPr>
        <w:t xml:space="preserve">22</w:t>
      </w:r>
    </w:p>
    <w:p w:rsidR="00000000" w:rsidDel="00000000" w:rsidP="00000000" w:rsidRDefault="00000000" w:rsidRPr="00000000" w14:paraId="00000046">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Incident Management and Escalation Frameworks</w:t>
      </w:r>
    </w:p>
    <w:p w:rsidR="00000000" w:rsidDel="00000000" w:rsidP="00000000" w:rsidRDefault="00000000" w:rsidRPr="00000000" w14:paraId="0000004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The Priority Matrix</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 operationalize the SLA, incidents must be triaged based on their impact on the client’s business. This aligns with ITIL best practices and ensures that critical resources are not wasted on minor issues. The SLA should include a rigorous Priority Matrix that combines "Urgency" and "Impact."</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Table 2: Incident Priority Classification</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Priority Level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Definition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Impact Scope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Urgency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P1 - Critical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Complete service outage; Data corruption; Critical security breach.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All Users / Entire Organization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Immediate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P2 - High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Major feature failure; Severe performance degradation; No workaround available.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Multiple Departments / Critical Business Function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High</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P3 - Normal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Minor functional error; Single user unable to access non-critical feature; Workaround available.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Single User / Small Group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Medium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P4 - Low</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Cosmetic issue; Documentation error; Feature request; General inquiry.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Minimal / Non-Operational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Low</w:t>
            </w:r>
          </w:p>
        </w:tc>
      </w:tr>
    </w:tbl>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This matrix serves as the governing logic for the Service Desk. By incorporating this into the contract, the provider protects themselves from clients demanding immediate attention for trivial issues (e.g., a typo on a webpage).</w:t>
      </w:r>
      <w:r w:rsidDel="00000000" w:rsidR="00000000" w:rsidRPr="00000000">
        <w:rPr>
          <w:rFonts w:ascii="Google Sans Text" w:cs="Google Sans Text" w:eastAsia="Google Sans Text" w:hAnsi="Google Sans Text"/>
          <w:color w:val="444746"/>
          <w:sz w:val="24"/>
          <w:szCs w:val="24"/>
          <w:vertAlign w:val="superscript"/>
          <w:rtl w:val="0"/>
        </w:rPr>
        <w:t xml:space="preserve">24</w:t>
      </w:r>
    </w:p>
    <w:p w:rsidR="00000000" w:rsidDel="00000000" w:rsidP="00000000" w:rsidRDefault="00000000" w:rsidRPr="00000000" w14:paraId="0000005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Response and Resolution Targets</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Once priority is established, the SLA must dictate the speed of action. For a provider like Amband, which supports government interfaces, P1 issues likely demand a 24/7 response, whereas P3/P4 may be restricted to business hours (Monday-Friday, 08:00–17:00 EAT).</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Table 3: Service Level Targets (SLTs)</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Priority Level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Response Time Goal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Update Frequency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Target Resolution Time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Support Hours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P1 - Critical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&lt; 15 Minutes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Every 1 Hour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4 Hours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24/7/365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P2 - High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&lt; 1 Hour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Every 4 Hours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8 Hours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24/7/365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P3 - Normal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&lt; 4 Business Hours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Every 2 Business Days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3 Business Days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Business Hours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P4 - Low</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&lt; 1 Business Day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Weekly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Next Release Cycle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Business Hours</w:t>
            </w:r>
          </w:p>
        </w:tc>
      </w:tr>
    </w:tbl>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Integrating "Update Frequency" is a subtle but powerful addition found in high-end SLAs. It reassures the client that they will not be left in the dark during a crisis, often reducing the need for the client to aggressively follow up.</w:t>
      </w:r>
      <w:r w:rsidDel="00000000" w:rsidR="00000000" w:rsidRPr="00000000">
        <w:rPr>
          <w:rFonts w:ascii="Google Sans Text" w:cs="Google Sans Text" w:eastAsia="Google Sans Text" w:hAnsi="Google Sans Text"/>
          <w:color w:val="444746"/>
          <w:sz w:val="24"/>
          <w:szCs w:val="24"/>
          <w:vertAlign w:val="superscript"/>
          <w:rtl w:val="0"/>
        </w:rPr>
        <w:t xml:space="preserve">26</w:t>
      </w:r>
    </w:p>
    <w:p w:rsidR="00000000" w:rsidDel="00000000" w:rsidP="00000000" w:rsidRDefault="00000000" w:rsidRPr="00000000" w14:paraId="0000007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4.3 The Escalation Matrix</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 further professionalize the agreement, an Escalation Matrix should be included. This defines the hierarchy of communication when SLTs are breached. It provides the client with a clear "ladder" of contacts, reducing panic during outages.</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Table 4: Management Escalation Path</w:t>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Escalation Level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Role / Title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Trigger Condition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Contact Method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Level 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Service Desk Engineer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Immediate upon Ticket Creation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Portal / Email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Level 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Incident Manager / Team Lead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P1 Response missed by 15 mins OR Resolution &gt; 2 Hours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Phone / SMS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Level 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Service Delivery Manager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P1 Resolution &gt; 4 Hours OR P2 &gt; 12 Hours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Direct Mobile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Level 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CTO / Director of Operations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P1 Resolution &gt; 8 Hours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Direct Mobile</w:t>
            </w:r>
          </w:p>
        </w:tc>
      </w:tr>
    </w:tbl>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This transparency mimics the operational structures of global MSPs and instills confidence in the provider's organizational depth.</w:t>
      </w:r>
      <w:r w:rsidDel="00000000" w:rsidR="00000000" w:rsidRPr="00000000">
        <w:rPr>
          <w:rFonts w:ascii="Google Sans Text" w:cs="Google Sans Text" w:eastAsia="Google Sans Text" w:hAnsi="Google Sans Text"/>
          <w:color w:val="444746"/>
          <w:sz w:val="24"/>
          <w:szCs w:val="24"/>
          <w:vertAlign w:val="superscript"/>
          <w:rtl w:val="0"/>
        </w:rPr>
        <w:t xml:space="preserve">28</w:t>
      </w:r>
    </w:p>
    <w:p w:rsidR="00000000" w:rsidDel="00000000" w:rsidP="00000000" w:rsidRDefault="00000000" w:rsidRPr="00000000" w14:paraId="0000009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Financial Remedies and Service Credits</w:t>
      </w:r>
    </w:p>
    <w:p w:rsidR="00000000" w:rsidDel="00000000" w:rsidP="00000000" w:rsidRDefault="00000000" w:rsidRPr="00000000" w14:paraId="0000009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The Shift from Refunds to Service Credits</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In professional B2B SLAs, cash refunds are rare. Instead, "Service Credits" are utilized. This mechanism ensures client retention (the client must stay to use the credit) and simplifies accounting. The SLA must explicitly state that Service Credits are the </w:t>
      </w:r>
      <w:r w:rsidDel="00000000" w:rsidR="00000000" w:rsidRPr="00000000">
        <w:rPr>
          <w:rFonts w:ascii="Google Sans Text" w:cs="Google Sans Text" w:eastAsia="Google Sans Text" w:hAnsi="Google Sans Text"/>
          <w:b w:val="1"/>
          <w:bCs w:val="1"/>
          <w:color w:val="1f1f1f"/>
          <w:rtl w:val="0"/>
        </w:rPr>
        <w:t xml:space="preserve">sole and exclusive remedy</w:t>
      </w:r>
      <w:r w:rsidDel="00000000" w:rsidR="00000000" w:rsidRPr="00000000">
        <w:rPr>
          <w:rFonts w:ascii="Google Sans Text" w:cs="Google Sans Text" w:eastAsia="Google Sans Text" w:hAnsi="Google Sans Text"/>
          <w:color w:val="1f1f1f"/>
          <w:rtl w:val="0"/>
        </w:rPr>
        <w:t xml:space="preserve"> for performance failures, preventing the client from suing for breach of contract due to a minor downtime event.</w:t>
      </w:r>
      <w:r w:rsidDel="00000000" w:rsidR="00000000" w:rsidRPr="00000000">
        <w:rPr>
          <w:rFonts w:ascii="Google Sans Text" w:cs="Google Sans Text" w:eastAsia="Google Sans Text" w:hAnsi="Google Sans Text"/>
          <w:color w:val="444746"/>
          <w:sz w:val="24"/>
          <w:szCs w:val="24"/>
          <w:vertAlign w:val="superscript"/>
          <w:rtl w:val="0"/>
        </w:rPr>
        <w:t xml:space="preserve">15</w:t>
      </w:r>
    </w:p>
    <w:p w:rsidR="00000000" w:rsidDel="00000000" w:rsidP="00000000" w:rsidRDefault="00000000" w:rsidRPr="00000000" w14:paraId="0000009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Calculation Logic</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calculation of credits should be progressive—punishing severe failure more harshly than minor slips. This aligns incentives between provider and client.</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Table 5: Service Credit Schedule</w:t>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Monthly Availability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Service Credit (% of Monthly Recurring Fee)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99.9% - 100%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0% (Target Met)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99.0% - 99.89%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95.0% - 98.99%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90.0% - 94.99%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Below 90.0%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50% (Material Breach territory)</w:t>
            </w:r>
          </w:p>
        </w:tc>
      </w:tr>
    </w:tbl>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f1f1f"/>
          <w:rtl w:val="0"/>
        </w:rPr>
        <w:t xml:space="preserve">Drafting Note:</w:t>
      </w:r>
      <w:r w:rsidDel="00000000" w:rsidR="00000000" w:rsidRPr="00000000">
        <w:rPr>
          <w:rFonts w:ascii="Google Sans Text" w:cs="Google Sans Text" w:eastAsia="Google Sans Text" w:hAnsi="Google Sans Text"/>
          <w:color w:val="1f1f1f"/>
          <w:rtl w:val="0"/>
        </w:rPr>
        <w:t xml:space="preserve"> The SLA should include a "Cap" on service credits, typically set at 50% or 100% of the monthly fee. This protects the provider from owing the client more money than the contract value in a catastrophic month.</w:t>
      </w:r>
      <w:r w:rsidDel="00000000" w:rsidR="00000000" w:rsidRPr="00000000">
        <w:rPr>
          <w:rFonts w:ascii="Google Sans Text" w:cs="Google Sans Text" w:eastAsia="Google Sans Text" w:hAnsi="Google Sans Text"/>
          <w:color w:val="444746"/>
          <w:sz w:val="24"/>
          <w:szCs w:val="24"/>
          <w:vertAlign w:val="superscript"/>
          <w:rtl w:val="0"/>
        </w:rPr>
        <w:t xml:space="preserve">31</w:t>
      </w:r>
    </w:p>
    <w:p w:rsidR="00000000" w:rsidDel="00000000" w:rsidP="00000000" w:rsidRDefault="00000000" w:rsidRPr="00000000" w14:paraId="000000A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Exclusions, Force Majeure, and Risk Allocation</w:t>
      </w:r>
    </w:p>
    <w:p w:rsidR="00000000" w:rsidDel="00000000" w:rsidP="00000000" w:rsidRDefault="00000000" w:rsidRPr="00000000" w14:paraId="000000A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6.1 Defining Excused Downtime</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 professional SLA is defined as much by what it </w:t>
      </w:r>
      <w:r w:rsidDel="00000000" w:rsidR="00000000" w:rsidRPr="00000000">
        <w:rPr>
          <w:rFonts w:ascii="Google Sans Text" w:cs="Google Sans Text" w:eastAsia="Google Sans Text" w:hAnsi="Google Sans Text"/>
          <w:i w:val="1"/>
          <w:iCs w:val="1"/>
          <w:color w:val="1f1f1f"/>
          <w:rtl w:val="0"/>
        </w:rPr>
        <w:t xml:space="preserve">excludes</w:t>
      </w:r>
      <w:r w:rsidDel="00000000" w:rsidR="00000000" w:rsidRPr="00000000">
        <w:rPr>
          <w:rFonts w:ascii="Google Sans Text" w:cs="Google Sans Text" w:eastAsia="Google Sans Text" w:hAnsi="Google Sans Text"/>
          <w:color w:val="1f1f1f"/>
          <w:rtl w:val="0"/>
        </w:rPr>
        <w:t xml:space="preserve"> as what it includes. To protect the provider's margins, specific scenarios must be deemed "Excused Downtime" and subtracted from the availability calculation.</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Key exclusions for the Kenyan IT context include:</w:t>
      </w:r>
    </w:p>
    <w:p w:rsidR="00000000" w:rsidDel="00000000" w:rsidP="00000000" w:rsidRDefault="00000000" w:rsidRPr="00000000" w14:paraId="000000AB">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Scheduled Maintenance:</w:t>
      </w:r>
      <w:r w:rsidDel="00000000" w:rsidR="00000000" w:rsidRPr="00000000">
        <w:rPr>
          <w:rFonts w:ascii="Google Sans Text" w:cs="Google Sans Text" w:eastAsia="Google Sans Text" w:hAnsi="Google Sans Text"/>
          <w:color w:val="1f1f1f"/>
          <w:rtl w:val="0"/>
        </w:rPr>
        <w:t xml:space="preserve"> Pre-announced windows (e.g., Sundays 00:00-04:00 EAT) where services are taken offline for patching.</w:t>
      </w:r>
    </w:p>
    <w:p w:rsidR="00000000" w:rsidDel="00000000" w:rsidP="00000000" w:rsidRDefault="00000000" w:rsidRPr="00000000" w14:paraId="000000AC">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Third-Party Failures:</w:t>
      </w:r>
      <w:r w:rsidDel="00000000" w:rsidR="00000000" w:rsidRPr="00000000">
        <w:rPr>
          <w:rFonts w:ascii="Google Sans Text" w:cs="Google Sans Text" w:eastAsia="Google Sans Text" w:hAnsi="Google Sans Text"/>
          <w:color w:val="1f1f1f"/>
          <w:rtl w:val="0"/>
        </w:rPr>
        <w:t xml:space="preserve"> Downtime caused by upstream providers (e.g., an AWS region outage or a Safaricom fiber cut) if the provider has redundant links.</w:t>
      </w:r>
    </w:p>
    <w:p w:rsidR="00000000" w:rsidDel="00000000" w:rsidP="00000000" w:rsidRDefault="00000000" w:rsidRPr="00000000" w14:paraId="000000AD">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Client Negligence:</w:t>
      </w:r>
      <w:r w:rsidDel="00000000" w:rsidR="00000000" w:rsidRPr="00000000">
        <w:rPr>
          <w:rFonts w:ascii="Google Sans Text" w:cs="Google Sans Text" w:eastAsia="Google Sans Text" w:hAnsi="Google Sans Text"/>
          <w:color w:val="1f1f1f"/>
          <w:rtl w:val="0"/>
        </w:rPr>
        <w:t xml:space="preserve"> Issues caused by the client’s mismanagement of credentials, custom code injections, or failure to adhere to minimum system requirements.</w:t>
      </w:r>
      <w:r w:rsidDel="00000000" w:rsidR="00000000" w:rsidRPr="00000000">
        <w:rPr>
          <w:rFonts w:ascii="Google Sans Text" w:cs="Google Sans Text" w:eastAsia="Google Sans Text" w:hAnsi="Google Sans Text"/>
          <w:color w:val="444746"/>
          <w:sz w:val="24"/>
          <w:szCs w:val="24"/>
          <w:vertAlign w:val="superscript"/>
          <w:rtl w:val="0"/>
        </w:rPr>
        <w:t xml:space="preserve">33</w:t>
      </w:r>
    </w:p>
    <w:p w:rsidR="00000000" w:rsidDel="00000000" w:rsidP="00000000" w:rsidRDefault="00000000" w:rsidRPr="00000000" w14:paraId="000000AE">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6.2 Force Majeure in the East African Context</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While standard Force Majeure clauses cover "Acts of God," a localized professional SLA must address regional specifics. For an entity like Amband, risks such as political unrest (impacting staff mobility), government-mandated internet shutdowns, or widespread utility (KPLC) failures should be implicitly or explicitly covered under "Civil Commotion" or "Infrastructure Failure" clauses.</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Strategic Drafting:</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clause should require the affected party to provide notice within a specific timeframe (e.g., 3 days) and to take "reasonable steps to mitigate" the impact (e.g., activating a Disaster Recovery site). This prevents the clause from being used as a "get out of jail free" card for laziness.35</w:t>
      </w:r>
    </w:p>
    <w:p w:rsidR="00000000" w:rsidDel="00000000" w:rsidP="00000000" w:rsidRDefault="00000000" w:rsidRPr="00000000" w14:paraId="000000B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Disaster Recovery and Business Continuity</w:t>
      </w:r>
    </w:p>
    <w:p w:rsidR="00000000" w:rsidDel="00000000" w:rsidP="00000000" w:rsidRDefault="00000000" w:rsidRPr="00000000" w14:paraId="000000B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7.1 RTO and RPO Commitments</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For high-value contracts, particularly government tenders, the SLA must address data survivability. The inclusion of Recovery Time Objective (RTO) and Recovery Point Objective (RPO) metrics distinguishes a sophisticated Managed Service Provider (MSP) from a basic IT shop.</w:t>
      </w:r>
    </w:p>
    <w:p w:rsidR="00000000" w:rsidDel="00000000" w:rsidP="00000000" w:rsidRDefault="00000000" w:rsidRPr="00000000" w14:paraId="000000B5">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Recovery Point Objective (RPO):</w:t>
      </w:r>
      <w:r w:rsidDel="00000000" w:rsidR="00000000" w:rsidRPr="00000000">
        <w:rPr>
          <w:rFonts w:ascii="Google Sans Text" w:cs="Google Sans Text" w:eastAsia="Google Sans Text" w:hAnsi="Google Sans Text"/>
          <w:color w:val="1f1f1f"/>
          <w:rtl w:val="0"/>
        </w:rPr>
        <w:t xml:space="preserve"> The maximum age of files recovered from backup storage for normal operations to resume. A standard target is 24 hours for standard tiers and 1 hour for high-availability tiers.</w:t>
      </w:r>
    </w:p>
    <w:p w:rsidR="00000000" w:rsidDel="00000000" w:rsidP="00000000" w:rsidRDefault="00000000" w:rsidRPr="00000000" w14:paraId="000000B6">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Recovery Time Objective (RTO):</w:t>
      </w:r>
      <w:r w:rsidDel="00000000" w:rsidR="00000000" w:rsidRPr="00000000">
        <w:rPr>
          <w:rFonts w:ascii="Google Sans Text" w:cs="Google Sans Text" w:eastAsia="Google Sans Text" w:hAnsi="Google Sans Text"/>
          <w:color w:val="1f1f1f"/>
          <w:rtl w:val="0"/>
        </w:rPr>
        <w:t xml:space="preserve"> The maximum amount of time allowed to restore the service after a disaster is declared.</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Table 6: Disaster Recovery Commitments</w:t>
      </w:r>
    </w:p>
    <w:tbl>
      <w:tblPr>
        <w:tblStyle w:val="Table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Service Level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Backup Frequency (RPO)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Restoration Target (RTO)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Retention Policy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Platinum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15 Minutes (Log Shipping)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4 Hours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7 Years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Gold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24 Hours (Daily Snapshot)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24 Hours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 Year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Silver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Weekly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48 Hours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30 Days</w:t>
            </w:r>
          </w:p>
        </w:tc>
      </w:tr>
    </w:tbl>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Including this table demonstrates that the provider has a tested Business Continuity Plan (BCP) in place.</w:t>
      </w:r>
      <w:r w:rsidDel="00000000" w:rsidR="00000000" w:rsidRPr="00000000">
        <w:rPr>
          <w:rFonts w:ascii="Google Sans Text" w:cs="Google Sans Text" w:eastAsia="Google Sans Text" w:hAnsi="Google Sans Text"/>
          <w:color w:val="444746"/>
          <w:sz w:val="24"/>
          <w:szCs w:val="24"/>
          <w:vertAlign w:val="superscript"/>
          <w:rtl w:val="0"/>
        </w:rPr>
        <w:t xml:space="preserve">6</w:t>
      </w:r>
    </w:p>
    <w:p w:rsidR="00000000" w:rsidDel="00000000" w:rsidP="00000000" w:rsidRDefault="00000000" w:rsidRPr="00000000" w14:paraId="000000C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 Comprehensive SLA Template Drafting</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The following text represents the drafted Professional Service Level Agreement, incorporating the strategic elements discussed above. This text is ready for adaptation and insertion into the Master Services Agreement.</w:t>
      </w:r>
    </w:p>
    <w:p w:rsidR="00000000" w:rsidDel="00000000" w:rsidP="00000000" w:rsidRDefault="00000000" w:rsidRPr="00000000" w14:paraId="000000CB">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f1f1f"/>
          <w:sz w:val="28"/>
          <w:szCs w:val="28"/>
        </w:rPr>
      </w:pPr>
      <w:r w:rsidDel="00000000" w:rsidR="00000000" w:rsidRPr="00000000">
        <w:pict>
          <v:rect style="width:0.0pt;height:1.5pt" o:hr="t" o:hrstd="t" o:hralign="center" fillcolor="#A0A0A0" stroked="f"/>
        </w:pict>
      </w:r>
      <w:r w:rsidDel="00000000" w:rsidR="00000000" w:rsidRPr="00000000">
        <w:rPr>
          <w:rFonts w:ascii="Google Sans Text" w:cs="Google Sans Text" w:eastAsia="Google Sans Text" w:hAnsi="Google Sans Text"/>
          <w:b w:val="1"/>
          <w:bCs w:val="1"/>
          <w:i w:val="0"/>
          <w:iCs w:val="0"/>
          <w:color w:val="1f1f1f"/>
          <w:sz w:val="28"/>
          <w:szCs w:val="28"/>
          <w:rtl w:val="0"/>
        </w:rPr>
        <w:t xml:space="preserve">SERVICE LEVEL AGREEMENT (SLA)</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DOCUMENT ID: SLA-AMB-2025-V1</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JURISDICTION: REPUBLIC OF KENYA</w:t>
      </w:r>
    </w:p>
    <w:p w:rsidR="00000000" w:rsidDel="00000000" w:rsidP="00000000" w:rsidRDefault="00000000" w:rsidRPr="00000000" w14:paraId="000000CE">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f1f1f"/>
          <w:sz w:val="24"/>
          <w:szCs w:val="24"/>
        </w:rPr>
      </w:pPr>
      <w:r w:rsidDel="00000000" w:rsidR="00000000" w:rsidRPr="00000000">
        <w:rPr>
          <w:rFonts w:ascii="Google Sans Text" w:cs="Google Sans Text" w:eastAsia="Google Sans Text" w:hAnsi="Google Sans Text"/>
          <w:b w:val="1"/>
          <w:bCs w:val="1"/>
          <w:i w:val="0"/>
          <w:iCs w:val="0"/>
          <w:color w:val="1f1f1f"/>
          <w:sz w:val="24"/>
          <w:szCs w:val="24"/>
          <w:rtl w:val="0"/>
        </w:rPr>
        <w:t xml:space="preserve">1. PREAMBLE AND SCOPE</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Service Level Agreement ("SLA") is an integral part of the Master Services Agreement ("MSA") between </w:t>
      </w:r>
      <w:r w:rsidDel="00000000" w:rsidR="00000000" w:rsidRPr="00000000">
        <w:rPr>
          <w:rFonts w:ascii="Google Sans Text" w:cs="Google Sans Text" w:eastAsia="Google Sans Text" w:hAnsi="Google Sans Text"/>
          <w:b w:val="1"/>
          <w:bCs w:val="1"/>
          <w:color w:val="1f1f1f"/>
          <w:rtl w:val="0"/>
        </w:rPr>
        <w:t xml:space="preserve">[Provider Name]</w:t>
      </w:r>
      <w:r w:rsidDel="00000000" w:rsidR="00000000" w:rsidRPr="00000000">
        <w:rPr>
          <w:rFonts w:ascii="Google Sans Text" w:cs="Google Sans Text" w:eastAsia="Google Sans Text" w:hAnsi="Google Sans Text"/>
          <w:color w:val="1f1f1f"/>
          <w:rtl w:val="0"/>
        </w:rPr>
        <w:t xml:space="preserve"> ("Service Provider") and </w:t>
      </w:r>
      <w:r w:rsidDel="00000000" w:rsidR="00000000" w:rsidRPr="00000000">
        <w:rPr>
          <w:rFonts w:ascii="Google Sans Text" w:cs="Google Sans Text" w:eastAsia="Google Sans Text" w:hAnsi="Google Sans Text"/>
          <w:b w:val="1"/>
          <w:bCs w:val="1"/>
          <w:color w:val="1f1f1f"/>
          <w:rtl w:val="0"/>
        </w:rPr>
        <w:t xml:space="preserve">[Client Name]</w:t>
      </w:r>
      <w:r w:rsidDel="00000000" w:rsidR="00000000" w:rsidRPr="00000000">
        <w:rPr>
          <w:rFonts w:ascii="Google Sans Text" w:cs="Google Sans Text" w:eastAsia="Google Sans Text" w:hAnsi="Google Sans Text"/>
          <w:color w:val="1f1f1f"/>
          <w:rtl w:val="0"/>
        </w:rPr>
        <w:t xml:space="preserve"> ("Customer"). This SLA defines the quantitative and qualitative service standards, the methods for measuring performance, and the remedies available to the Customer in the event of non-performance.</w:t>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1.1. Service Scope:</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This SLA applies to the following services (the "Services"):</w:t>
      </w:r>
    </w:p>
    <w:p w:rsidR="00000000" w:rsidDel="00000000" w:rsidP="00000000" w:rsidRDefault="00000000" w:rsidRPr="00000000" w14:paraId="000000D2">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 ] Managed Cloud Hosting</w:t>
      </w:r>
    </w:p>
    <w:p w:rsidR="00000000" w:rsidDel="00000000" w:rsidP="00000000" w:rsidRDefault="00000000" w:rsidRPr="00000000" w14:paraId="000000D3">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 ] Software as a Service (SaaS) Platform Access</w:t>
      </w:r>
    </w:p>
    <w:p w:rsidR="00000000" w:rsidDel="00000000" w:rsidP="00000000" w:rsidRDefault="00000000" w:rsidRPr="00000000" w14:paraId="000000D4">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 ] Technical Support and Maintenance</w:t>
      </w:r>
    </w:p>
    <w:p w:rsidR="00000000" w:rsidDel="00000000" w:rsidP="00000000" w:rsidRDefault="00000000" w:rsidRPr="00000000" w14:paraId="000000D5">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 ] Cyber Security Monitoring</w:t>
      </w:r>
    </w:p>
    <w:p w:rsidR="00000000" w:rsidDel="00000000" w:rsidP="00000000" w:rsidRDefault="00000000" w:rsidRPr="00000000" w14:paraId="000000D6">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b w:val="1"/>
          <w:bCs w:val="1"/>
          <w:i w:val="0"/>
          <w:iCs w:val="0"/>
          <w:color w:val="1f1f1f"/>
          <w:sz w:val="24"/>
          <w:szCs w:val="24"/>
        </w:rPr>
      </w:pPr>
      <w:r w:rsidDel="00000000" w:rsidR="00000000" w:rsidRPr="00000000">
        <w:rPr>
          <w:rFonts w:ascii="Google Sans Text" w:cs="Google Sans Text" w:eastAsia="Google Sans Text" w:hAnsi="Google Sans Text"/>
          <w:b w:val="1"/>
          <w:bCs w:val="1"/>
          <w:i w:val="0"/>
          <w:iCs w:val="0"/>
          <w:color w:val="1f1f1f"/>
          <w:sz w:val="24"/>
          <w:szCs w:val="24"/>
          <w:rtl w:val="0"/>
        </w:rPr>
        <w:t xml:space="preserve">2. SERVICE AVAILABILITY COMMITMENTS</w:t>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2.1. Availability Target:</w:t>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Service Provider guarantees that the Service will be available 99.9% of the time during each calendar month (the "Availability Target").</w:t>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2.2. Calculation Methodology:</w:t>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Availability is calculated using the following formula:</w:t>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$$\text{Availability \%} = \left( \frac{\text{Total Minutes} - \text{Excused Downtime} - \text{Unplanned Downtime}}{\text{Total Minutes} - \text{Excused Downtime}} \right) \times 100$$</w:t>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2.3. Excused Downtime:</w:t>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following events shall not be counted as "Unplanned Downtime" for the purpose of SLA calculations:</w:t>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Scheduled Maintenance: Maintenance performed during the Standard Maintenance Window (Sundays 02:00 – 06:00 EAT) or notified to the Customer at least seventy-two (72) hours in advance.</w:t>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 Force Majeure: Events beyond the reasonable control of the Service Provider, including but not limited to fiber optic cable cuts, acts of government, civil unrest, war, natural disasters, or upstream utility failures (power/internet).</w:t>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 Customer Actions: Unavailability caused by Customer’s custom code, negligence, failure to update credentials, or breach of the Acceptable Use Policy (AUP).</w:t>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 Suspension: Service suspension due to non-payment of invoices as per the MSA terms.</w:t>
      </w:r>
    </w:p>
    <w:p w:rsidR="00000000" w:rsidDel="00000000" w:rsidP="00000000" w:rsidRDefault="00000000" w:rsidRPr="00000000" w14:paraId="000000E4">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f1f1f"/>
          <w:sz w:val="24"/>
          <w:szCs w:val="24"/>
        </w:rPr>
      </w:pPr>
      <w:r w:rsidDel="00000000" w:rsidR="00000000" w:rsidRPr="00000000">
        <w:rPr>
          <w:rFonts w:ascii="Google Sans Text" w:cs="Google Sans Text" w:eastAsia="Google Sans Text" w:hAnsi="Google Sans Text"/>
          <w:b w:val="1"/>
          <w:bCs w:val="1"/>
          <w:i w:val="0"/>
          <w:iCs w:val="0"/>
          <w:color w:val="1f1f1f"/>
          <w:sz w:val="24"/>
          <w:szCs w:val="24"/>
          <w:rtl w:val="0"/>
        </w:rPr>
        <w:t xml:space="preserve">3. INCIDENT MANAGEMENT</w:t>
      </w:r>
    </w:p>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3.1. Incident Submission:</w:t>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Customer shall report all incidents via the Provider’s Ticketing Portal or designated Support Email. P1 (Critical) incidents must be followed up by a telephone call to the Emergency Hotline.</w:t>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3.2. Response and Resolution Targets:</w:t>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Provider commits to the following Service Level Targets (SLTs):</w:t>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(Insert Table 3 from Section 4.2 above)</w:t>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3.3. Support Hours:</w:t>
      </w:r>
    </w:p>
    <w:p w:rsidR="00000000" w:rsidDel="00000000" w:rsidP="00000000" w:rsidRDefault="00000000" w:rsidRPr="00000000" w14:paraId="000000EB">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Standard Support:</w:t>
      </w:r>
      <w:r w:rsidDel="00000000" w:rsidR="00000000" w:rsidRPr="00000000">
        <w:rPr>
          <w:rFonts w:ascii="Google Sans Text" w:cs="Google Sans Text" w:eastAsia="Google Sans Text" w:hAnsi="Google Sans Text"/>
          <w:color w:val="1f1f1f"/>
          <w:rtl w:val="0"/>
        </w:rPr>
        <w:t xml:space="preserve"> 08:00 to 17:00 East Africa Time (EAT), Monday through Friday, excluding Kenyan Public Holidays.</w:t>
      </w:r>
    </w:p>
    <w:p w:rsidR="00000000" w:rsidDel="00000000" w:rsidP="00000000" w:rsidRDefault="00000000" w:rsidRPr="00000000" w14:paraId="000000EC">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Emergency Support:</w:t>
      </w:r>
      <w:r w:rsidDel="00000000" w:rsidR="00000000" w:rsidRPr="00000000">
        <w:rPr>
          <w:rFonts w:ascii="Google Sans Text" w:cs="Google Sans Text" w:eastAsia="Google Sans Text" w:hAnsi="Google Sans Text"/>
          <w:color w:val="1f1f1f"/>
          <w:rtl w:val="0"/>
        </w:rPr>
        <w:t xml:space="preserve"> 24 hours a day, 7 days a week, 365 days a year (Valid only for P1 Critical Incidents).</w:t>
      </w:r>
    </w:p>
    <w:p w:rsidR="00000000" w:rsidDel="00000000" w:rsidP="00000000" w:rsidRDefault="00000000" w:rsidRPr="00000000" w14:paraId="000000ED">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b w:val="1"/>
          <w:bCs w:val="1"/>
          <w:i w:val="0"/>
          <w:iCs w:val="0"/>
          <w:color w:val="1f1f1f"/>
          <w:sz w:val="24"/>
          <w:szCs w:val="24"/>
        </w:rPr>
      </w:pPr>
      <w:r w:rsidDel="00000000" w:rsidR="00000000" w:rsidRPr="00000000">
        <w:rPr>
          <w:rFonts w:ascii="Google Sans Text" w:cs="Google Sans Text" w:eastAsia="Google Sans Text" w:hAnsi="Google Sans Text"/>
          <w:b w:val="1"/>
          <w:bCs w:val="1"/>
          <w:i w:val="0"/>
          <w:iCs w:val="0"/>
          <w:color w:val="1f1f1f"/>
          <w:sz w:val="24"/>
          <w:szCs w:val="24"/>
          <w:rtl w:val="0"/>
        </w:rPr>
        <w:t xml:space="preserve">4. SERVICE CREDITS AND REMEDIES</w:t>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4.1. Eligibility:</w:t>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In the event the Provider fails to meet the Availability Target in a given calendar month, the Customer shall be eligible for Service Credits.</w:t>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4.2. Credit Schedule:</w:t>
      </w:r>
    </w:p>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(Insert Table 5 from Section 5.2 above)</w:t>
      </w:r>
    </w:p>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4.3. Claim Process:</w:t>
      </w:r>
    </w:p>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To receive a Service Credit, the Customer must submit a claim in writing within thirty (30) days of the end of the month in which the SLA breach occurred. The Provider will validate the claim against system logs. Verified credits will be applied to the next billing cycle invoice.</w:t>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4.4. Exclusive Remedy:</w:t>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Service Credits specified herein constitute the Customer’s sole and exclusive remedy for any failure by the Provider to meet the Service Level Targets. In no event shall Service Credits exceed 100% of the Monthly Service Fee for the affected month.</w:t>
      </w:r>
    </w:p>
    <w:p w:rsidR="00000000" w:rsidDel="00000000" w:rsidP="00000000" w:rsidRDefault="00000000" w:rsidRPr="00000000" w14:paraId="000000F6">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f1f1f"/>
          <w:sz w:val="24"/>
          <w:szCs w:val="24"/>
        </w:rPr>
      </w:pPr>
      <w:r w:rsidDel="00000000" w:rsidR="00000000" w:rsidRPr="00000000">
        <w:rPr>
          <w:rFonts w:ascii="Google Sans Text" w:cs="Google Sans Text" w:eastAsia="Google Sans Text" w:hAnsi="Google Sans Text"/>
          <w:b w:val="1"/>
          <w:bCs w:val="1"/>
          <w:i w:val="0"/>
          <w:iCs w:val="0"/>
          <w:color w:val="1f1f1f"/>
          <w:sz w:val="24"/>
          <w:szCs w:val="24"/>
          <w:rtl w:val="0"/>
        </w:rPr>
        <w:t xml:space="preserve">5. DATA PROTECTION AND COMPLIANCE</w:t>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5.1. Data Processor Status:</w:t>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Parties acknowledge that for the purposes of the Data Protection Act, 2019 (Kenya), the Customer is the Data Controller and the Service Provider is the Data Processor.</w:t>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5.2. Provider Obligations:</w:t>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Service Provider warrants that it shall:</w:t>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Process Personal Data only in accordance with the written instructions of the Customer.</w:t>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 Implement appropriate technical and organizational measures to ensure a level of security appropriate to the risk, as required by Section 41 of the Act.</w:t>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 Notify the Customer without undue delay, and in any event within forty-eight (48) hours, after becoming aware of a Personal Data Breach to enable the Customer to comply with statutory notification requirements.</w:t>
      </w:r>
    </w:p>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 Ensure that any transfer of personal data outside of Kenya complies with the cross-border transfer requirements of Section 48 of the Act.</w:t>
      </w:r>
    </w:p>
    <w:p w:rsidR="00000000" w:rsidDel="00000000" w:rsidP="00000000" w:rsidRDefault="00000000" w:rsidRPr="00000000" w14:paraId="000000FF">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f1f1f"/>
          <w:sz w:val="24"/>
          <w:szCs w:val="24"/>
        </w:rPr>
      </w:pPr>
      <w:r w:rsidDel="00000000" w:rsidR="00000000" w:rsidRPr="00000000">
        <w:rPr>
          <w:rFonts w:ascii="Google Sans Text" w:cs="Google Sans Text" w:eastAsia="Google Sans Text" w:hAnsi="Google Sans Text"/>
          <w:b w:val="1"/>
          <w:bCs w:val="1"/>
          <w:i w:val="0"/>
          <w:iCs w:val="0"/>
          <w:color w:val="1f1f1f"/>
          <w:sz w:val="24"/>
          <w:szCs w:val="24"/>
          <w:rtl w:val="0"/>
        </w:rPr>
        <w:t xml:space="preserve">6. LIABILITY AND INDEMNIFICATION</w:t>
      </w:r>
    </w:p>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6.1. Limitation of Liability:</w:t>
      </w:r>
    </w:p>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Except for obligations regarding Indemnification (Clause 6.2) and Confidentiality, the Service Provider’s total aggregate liability arising out of or in connection with this Agreement shall be limited to the total fees paid by the Customer during the twelve (12) months immediately preceding the date of the claim.</w:t>
      </w:r>
    </w:p>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6.2. Indemnification:</w:t>
      </w:r>
    </w:p>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Service Provider agrees to indemnify, defend, and hold harmless the Customer against any third-party claims alleging that the Service infringes any patent, copyright, or trademark, provided the Customer promptly notifies the Provider of such claim and allows the Provider to control the defense.</w:t>
      </w:r>
    </w:p>
    <w:p w:rsidR="00000000" w:rsidDel="00000000" w:rsidP="00000000" w:rsidRDefault="00000000" w:rsidRPr="00000000" w14:paraId="00000104">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f1f1f"/>
          <w:sz w:val="24"/>
          <w:szCs w:val="24"/>
        </w:rPr>
      </w:pPr>
      <w:r w:rsidDel="00000000" w:rsidR="00000000" w:rsidRPr="00000000">
        <w:rPr>
          <w:rFonts w:ascii="Google Sans Text" w:cs="Google Sans Text" w:eastAsia="Google Sans Text" w:hAnsi="Google Sans Text"/>
          <w:b w:val="1"/>
          <w:bCs w:val="1"/>
          <w:i w:val="0"/>
          <w:iCs w:val="0"/>
          <w:color w:val="1f1f1f"/>
          <w:sz w:val="24"/>
          <w:szCs w:val="24"/>
          <w:rtl w:val="0"/>
        </w:rPr>
        <w:t xml:space="preserve">7. GOVERNING LAW AND DISPUTE RESOLUTION</w:t>
      </w:r>
    </w:p>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7.1. Governing Law:</w:t>
      </w:r>
    </w:p>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This Agreement shall be governed by and construed in accordance with the Laws of the Republic of Kenya.</w:t>
      </w:r>
    </w:p>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7.2. Arbitration:</w:t>
      </w:r>
    </w:p>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Any dispute arising out of or in connection with this Agreement shall be referred to and finally resolved by arbitration administered by the Nairobi Centre for International Arbitration (NCIA) under the Arbitration Rules of the NCIA. The seat of arbitration shall be Nairobi, Kenya. The language of the arbitration shall be English.</w:t>
      </w:r>
    </w:p>
    <w:p w:rsidR="00000000" w:rsidDel="00000000" w:rsidP="00000000" w:rsidRDefault="00000000" w:rsidRPr="00000000" w14:paraId="00000109">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0000ee"/>
          <w:sz w:val="24"/>
          <w:szCs w:val="24"/>
          <w:u w:val="single"/>
        </w:rPr>
      </w:pPr>
      <w:r w:rsidDel="00000000" w:rsidR="00000000" w:rsidRPr="00000000">
        <w:pict>
          <v:rect style="width:0.0pt;height:1.5pt" o:hr="t" o:hrstd="t" o:hralign="center" fillcolor="#A0A0A0" stroked="f"/>
        </w:pict>
      </w: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