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75.9999942779541" w:lineRule="auto"/>
        <w:jc w:val="both"/>
        <w:rPr>
          <w:rFonts w:ascii="Tahoma" w:cs="Tahoma" w:eastAsia="Tahoma" w:hAnsi="Tahoma"/>
          <w:sz w:val="28"/>
          <w:szCs w:val="28"/>
        </w:rPr>
      </w:pPr>
      <w:bookmarkStart w:colFirst="0" w:colLast="0" w:name="_rhelq6qc2776" w:id="0"/>
      <w:bookmarkEnd w:id="0"/>
      <w:r w:rsidDel="00000000" w:rsidR="00000000" w:rsidRPr="00000000">
        <w:rPr>
          <w:rFonts w:ascii="Tahoma" w:cs="Tahoma" w:eastAsia="Tahoma" w:hAnsi="Tahoma"/>
          <w:sz w:val="28"/>
          <w:szCs w:val="28"/>
          <w:rtl w:val="0"/>
        </w:rPr>
        <w:t xml:space="preserve">1. Executive Summary</w:t>
      </w:r>
    </w:p>
    <w:p w:rsidR="00000000" w:rsidDel="00000000" w:rsidP="00000000" w:rsidRDefault="00000000" w:rsidRPr="00000000" w14:paraId="00000002">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Hydrolife Tech Limited proposes the implementation of a standalone Inpatient Revenue Management System for Isiolo County health facilities. This system will operate independently from the existing EMR (Caresoft), which will continue to be used exclusively for outpatient services.</w:t>
      </w:r>
    </w:p>
    <w:p w:rsidR="00000000" w:rsidDel="00000000" w:rsidP="00000000" w:rsidRDefault="00000000" w:rsidRPr="00000000" w14:paraId="00000003">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proposed solution will digitize inpatient service capture, eliminate manual processes, improve accountability, and ensure accurate revenue collection. In parallel, we will integrate the billing component of the existing Caresoft EMR with the County Revenue Automation System’s centralized payment gateway to achieve unified revenue collection(while respecting FIF rules) and reporting across the County.</w:t>
      </w:r>
    </w:p>
    <w:p w:rsidR="00000000" w:rsidDel="00000000" w:rsidP="00000000" w:rsidRDefault="00000000" w:rsidRPr="00000000" w14:paraId="00000004">
      <w:pPr>
        <w:pStyle w:val="Heading2"/>
        <w:spacing w:after="80" w:before="160" w:line="275.9999942779541" w:lineRule="auto"/>
        <w:jc w:val="both"/>
        <w:rPr>
          <w:rFonts w:ascii="Tahoma" w:cs="Tahoma" w:eastAsia="Tahoma" w:hAnsi="Tahoma"/>
          <w:sz w:val="28"/>
          <w:szCs w:val="28"/>
        </w:rPr>
      </w:pPr>
      <w:bookmarkStart w:colFirst="0" w:colLast="0" w:name="_72h3og230f5u" w:id="1"/>
      <w:bookmarkEnd w:id="1"/>
      <w:r w:rsidDel="00000000" w:rsidR="00000000" w:rsidRPr="00000000">
        <w:rPr>
          <w:rtl w:val="0"/>
        </w:rPr>
      </w:r>
    </w:p>
    <w:p w:rsidR="00000000" w:rsidDel="00000000" w:rsidP="00000000" w:rsidRDefault="00000000" w:rsidRPr="00000000" w14:paraId="00000005">
      <w:pPr>
        <w:pStyle w:val="Heading2"/>
        <w:spacing w:after="80" w:before="160" w:line="275.9999942779541" w:lineRule="auto"/>
        <w:jc w:val="both"/>
        <w:rPr>
          <w:rFonts w:ascii="Tahoma" w:cs="Tahoma" w:eastAsia="Tahoma" w:hAnsi="Tahoma"/>
          <w:sz w:val="28"/>
          <w:szCs w:val="28"/>
        </w:rPr>
      </w:pPr>
      <w:bookmarkStart w:colFirst="0" w:colLast="0" w:name="_t7tks5oc9kr9" w:id="2"/>
      <w:bookmarkEnd w:id="2"/>
      <w:r w:rsidDel="00000000" w:rsidR="00000000" w:rsidRPr="00000000">
        <w:rPr>
          <w:rFonts w:ascii="Tahoma" w:cs="Tahoma" w:eastAsia="Tahoma" w:hAnsi="Tahoma"/>
          <w:sz w:val="28"/>
          <w:szCs w:val="28"/>
          <w:rtl w:val="0"/>
        </w:rPr>
        <w:t xml:space="preserve">2. Problem Statement</w:t>
      </w:r>
    </w:p>
    <w:p w:rsidR="00000000" w:rsidDel="00000000" w:rsidP="00000000" w:rsidRDefault="00000000" w:rsidRPr="00000000" w14:paraId="00000006">
      <w:pPr>
        <w:pStyle w:val="Heading3"/>
        <w:spacing w:after="80" w:before="160" w:line="275.9999942779541" w:lineRule="auto"/>
        <w:jc w:val="both"/>
        <w:rPr>
          <w:rFonts w:ascii="Tahoma" w:cs="Tahoma" w:eastAsia="Tahoma" w:hAnsi="Tahoma"/>
          <w:sz w:val="24"/>
          <w:szCs w:val="24"/>
        </w:rPr>
      </w:pPr>
      <w:bookmarkStart w:colFirst="0" w:colLast="0" w:name="_8c2u5rt2d219" w:id="3"/>
      <w:bookmarkEnd w:id="3"/>
      <w:r w:rsidDel="00000000" w:rsidR="00000000" w:rsidRPr="00000000">
        <w:rPr>
          <w:rFonts w:ascii="Tahoma" w:cs="Tahoma" w:eastAsia="Tahoma" w:hAnsi="Tahoma"/>
          <w:sz w:val="24"/>
          <w:szCs w:val="24"/>
          <w:rtl w:val="0"/>
        </w:rPr>
        <w:t xml:space="preserve">2.1 Manual Inpatient Processes</w:t>
      </w:r>
    </w:p>
    <w:p w:rsidR="00000000" w:rsidDel="00000000" w:rsidP="00000000" w:rsidRDefault="00000000" w:rsidRPr="00000000" w14:paraId="00000007">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Inpatient services across ICTRH, Garbatulla Sub-County Hospital, and Merti Sub-County Hospital are currently managed using paper-based systems. This reliance on manual processes leads to several critical issues, including the loss of services that go unbilled, delays in patient discharge, and inefficient reconciliation of services and payments</w:t>
      </w:r>
    </w:p>
    <w:p w:rsidR="00000000" w:rsidDel="00000000" w:rsidP="00000000" w:rsidRDefault="00000000" w:rsidRPr="00000000" w14:paraId="00000008">
      <w:pPr>
        <w:spacing w:after="180" w:before="180" w:line="275.9999942779541"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2.2 System Fragmentation</w:t>
      </w:r>
    </w:p>
    <w:p w:rsidR="00000000" w:rsidDel="00000000" w:rsidP="00000000" w:rsidRDefault="00000000" w:rsidRPr="00000000" w14:paraId="00000009">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current system suffers from significant fragmentation, as ICTRH utilizes the Caresoft HMIS strictly for outpatient services. Consequently, inpatient workflows remain undigitized. An additional challenge is that payment processing within the existing system is not integrated with the County’s centralized revenue system.</w:t>
      </w:r>
    </w:p>
    <w:p w:rsidR="00000000" w:rsidDel="00000000" w:rsidP="00000000" w:rsidRDefault="00000000" w:rsidRPr="00000000" w14:paraId="0000000A">
      <w:pPr>
        <w:pStyle w:val="Heading3"/>
        <w:spacing w:after="80" w:before="160" w:line="275.9999942779541" w:lineRule="auto"/>
        <w:jc w:val="both"/>
        <w:rPr>
          <w:rFonts w:ascii="Tahoma" w:cs="Tahoma" w:eastAsia="Tahoma" w:hAnsi="Tahoma"/>
          <w:sz w:val="24"/>
          <w:szCs w:val="24"/>
        </w:rPr>
      </w:pPr>
      <w:bookmarkStart w:colFirst="0" w:colLast="0" w:name="_82tyzmb54fno" w:id="4"/>
      <w:bookmarkEnd w:id="4"/>
      <w:r w:rsidDel="00000000" w:rsidR="00000000" w:rsidRPr="00000000">
        <w:rPr>
          <w:rFonts w:ascii="Tahoma" w:cs="Tahoma" w:eastAsia="Tahoma" w:hAnsi="Tahoma"/>
          <w:sz w:val="24"/>
          <w:szCs w:val="24"/>
          <w:rtl w:val="0"/>
        </w:rPr>
        <w:t xml:space="preserve">2.3 Lack of Accountability and Traceability</w:t>
      </w:r>
    </w:p>
    <w:p w:rsidR="00000000" w:rsidDel="00000000" w:rsidP="00000000" w:rsidRDefault="00000000" w:rsidRPr="00000000" w14:paraId="0000000B">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processes severely limit accountability and traceability. This setup makes it difficult to link services rendered to specific healthcare providers, track all billable items accurately, and ultimately ensure the completeness of patient billing.</w:t>
      </w:r>
    </w:p>
    <w:p w:rsidR="00000000" w:rsidDel="00000000" w:rsidP="00000000" w:rsidRDefault="00000000" w:rsidRPr="00000000" w14:paraId="0000000C">
      <w:pPr>
        <w:pStyle w:val="Heading2"/>
        <w:spacing w:after="80" w:before="160" w:line="275.9999942779541" w:lineRule="auto"/>
        <w:jc w:val="both"/>
        <w:rPr>
          <w:rFonts w:ascii="Tahoma" w:cs="Tahoma" w:eastAsia="Tahoma" w:hAnsi="Tahoma"/>
          <w:b w:val="0"/>
          <w:bCs w:val="0"/>
          <w:sz w:val="24"/>
          <w:szCs w:val="24"/>
        </w:rPr>
      </w:pPr>
      <w:bookmarkStart w:colFirst="0" w:colLast="0" w:name="_3i6gt2by6c7o" w:id="5"/>
      <w:bookmarkEnd w:id="5"/>
      <w:r w:rsidDel="00000000" w:rsidR="00000000" w:rsidRPr="00000000">
        <w:rPr>
          <w:rtl w:val="0"/>
        </w:rPr>
      </w:r>
    </w:p>
    <w:p w:rsidR="00000000" w:rsidDel="00000000" w:rsidP="00000000" w:rsidRDefault="00000000" w:rsidRPr="00000000" w14:paraId="0000000D">
      <w:pPr>
        <w:pStyle w:val="Heading2"/>
        <w:spacing w:after="80" w:before="160" w:line="275.9999942779541" w:lineRule="auto"/>
        <w:jc w:val="both"/>
        <w:rPr>
          <w:rFonts w:ascii="Tahoma" w:cs="Tahoma" w:eastAsia="Tahoma" w:hAnsi="Tahoma"/>
          <w:sz w:val="28"/>
          <w:szCs w:val="28"/>
        </w:rPr>
      </w:pPr>
      <w:bookmarkStart w:colFirst="0" w:colLast="0" w:name="_4wkiaf8tpx3x" w:id="6"/>
      <w:bookmarkEnd w:id="6"/>
      <w:r w:rsidDel="00000000" w:rsidR="00000000" w:rsidRPr="00000000">
        <w:rPr>
          <w:rFonts w:ascii="Tahoma" w:cs="Tahoma" w:eastAsia="Tahoma" w:hAnsi="Tahoma"/>
          <w:sz w:val="28"/>
          <w:szCs w:val="28"/>
          <w:rtl w:val="0"/>
        </w:rPr>
        <w:t xml:space="preserve">3. Proposed Solution</w:t>
      </w:r>
    </w:p>
    <w:p w:rsidR="00000000" w:rsidDel="00000000" w:rsidP="00000000" w:rsidRDefault="00000000" w:rsidRPr="00000000" w14:paraId="0000000E">
      <w:pPr>
        <w:pStyle w:val="Heading3"/>
        <w:spacing w:after="80" w:before="160" w:line="275.9999942779541" w:lineRule="auto"/>
        <w:jc w:val="both"/>
        <w:rPr>
          <w:rFonts w:ascii="Tahoma" w:cs="Tahoma" w:eastAsia="Tahoma" w:hAnsi="Tahoma"/>
          <w:sz w:val="24"/>
          <w:szCs w:val="24"/>
        </w:rPr>
      </w:pPr>
      <w:bookmarkStart w:colFirst="0" w:colLast="0" w:name="_6p6k6vegkl7d" w:id="7"/>
      <w:bookmarkEnd w:id="7"/>
      <w:r w:rsidDel="00000000" w:rsidR="00000000" w:rsidRPr="00000000">
        <w:rPr>
          <w:rFonts w:ascii="Tahoma" w:cs="Tahoma" w:eastAsia="Tahoma" w:hAnsi="Tahoma"/>
          <w:sz w:val="24"/>
          <w:szCs w:val="24"/>
          <w:rtl w:val="0"/>
        </w:rPr>
        <w:t xml:space="preserve">3.1 Standalone Inpatient Revenue Management System</w:t>
      </w:r>
    </w:p>
    <w:p w:rsidR="00000000" w:rsidDel="00000000" w:rsidP="00000000" w:rsidRDefault="00000000" w:rsidRPr="00000000" w14:paraId="0000000F">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Hydrolife Tech Limited will design and deploy a dedicated inpatient module that operates independently of the existing EMR. Key Features will be: - </w:t>
      </w:r>
    </w:p>
    <w:p w:rsidR="00000000" w:rsidDel="00000000" w:rsidP="00000000" w:rsidRDefault="00000000" w:rsidRPr="00000000" w14:paraId="00000010">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Independent Operation:</w:t>
      </w:r>
      <w:r w:rsidDel="00000000" w:rsidR="00000000" w:rsidRPr="00000000">
        <w:rPr>
          <w:rFonts w:ascii="Tahoma" w:cs="Tahoma" w:eastAsia="Tahoma" w:hAnsi="Tahoma"/>
          <w:sz w:val="24"/>
          <w:szCs w:val="24"/>
          <w:rtl w:val="0"/>
        </w:rPr>
        <w:t xml:space="preserve"> The inpatient system will function as a standalone platform and will not rely on Caresoft for its core operations. </w:t>
      </w:r>
    </w:p>
    <w:p w:rsidR="00000000" w:rsidDel="00000000" w:rsidP="00000000" w:rsidRDefault="00000000" w:rsidRPr="00000000" w14:paraId="00000011">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Real-Time Service Capture:</w:t>
      </w:r>
      <w:r w:rsidDel="00000000" w:rsidR="00000000" w:rsidRPr="00000000">
        <w:rPr>
          <w:rFonts w:ascii="Tahoma" w:cs="Tahoma" w:eastAsia="Tahoma" w:hAnsi="Tahoma"/>
          <w:sz w:val="24"/>
          <w:szCs w:val="24"/>
          <w:rtl w:val="0"/>
        </w:rPr>
        <w:t xml:space="preserve"> Nurses and Medical Officers will record all services (procedures, drugs, ward usage) at the point of care. </w:t>
      </w:r>
    </w:p>
    <w:p w:rsidR="00000000" w:rsidDel="00000000" w:rsidP="00000000" w:rsidRDefault="00000000" w:rsidRPr="00000000" w14:paraId="00000012">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Draft Invoice Generation:</w:t>
      </w:r>
      <w:r w:rsidDel="00000000" w:rsidR="00000000" w:rsidRPr="00000000">
        <w:rPr>
          <w:rFonts w:ascii="Tahoma" w:cs="Tahoma" w:eastAsia="Tahoma" w:hAnsi="Tahoma"/>
          <w:sz w:val="24"/>
          <w:szCs w:val="24"/>
          <w:rtl w:val="0"/>
        </w:rPr>
        <w:t xml:space="preserve"> All captured services will automatically populate a continuously updated draft invoice for each patient. </w:t>
      </w:r>
    </w:p>
    <w:p w:rsidR="00000000" w:rsidDel="00000000" w:rsidP="00000000" w:rsidRDefault="00000000" w:rsidRPr="00000000" w14:paraId="00000013">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Discharge-Based Billing:</w:t>
      </w:r>
      <w:r w:rsidDel="00000000" w:rsidR="00000000" w:rsidRPr="00000000">
        <w:rPr>
          <w:rFonts w:ascii="Tahoma" w:cs="Tahoma" w:eastAsia="Tahoma" w:hAnsi="Tahoma"/>
          <w:sz w:val="24"/>
          <w:szCs w:val="24"/>
          <w:rtl w:val="0"/>
        </w:rPr>
        <w:t xml:space="preserve"> The final invoice will be settled upon patient discharge.</w:t>
      </w:r>
    </w:p>
    <w:p w:rsidR="00000000" w:rsidDel="00000000" w:rsidP="00000000" w:rsidRDefault="00000000" w:rsidRPr="00000000" w14:paraId="00000014">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Accountability Controls:</w:t>
      </w:r>
      <w:r w:rsidDel="00000000" w:rsidR="00000000" w:rsidRPr="00000000">
        <w:rPr>
          <w:rFonts w:ascii="Tahoma" w:cs="Tahoma" w:eastAsia="Tahoma" w:hAnsi="Tahoma"/>
          <w:sz w:val="24"/>
          <w:szCs w:val="24"/>
          <w:rtl w:val="0"/>
        </w:rPr>
        <w:t xml:space="preserve"> To ensure robust traceability, every service entry captured in the system will be timestamped. Furthermore, each entry will be linked to the specific attending staff member, identified as the Actor, and connected to the relevant patient, designated as the Stakeholder.</w:t>
      </w:r>
    </w:p>
    <w:p w:rsidR="00000000" w:rsidDel="00000000" w:rsidP="00000000" w:rsidRDefault="00000000" w:rsidRPr="00000000" w14:paraId="00000015">
      <w:pPr>
        <w:spacing w:after="180" w:before="180" w:line="275.9999942779541"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6">
      <w:pPr>
        <w:pStyle w:val="Heading3"/>
        <w:spacing w:after="80" w:before="160" w:line="275.9999942779541" w:lineRule="auto"/>
        <w:jc w:val="both"/>
        <w:rPr>
          <w:rFonts w:ascii="Tahoma" w:cs="Tahoma" w:eastAsia="Tahoma" w:hAnsi="Tahoma"/>
          <w:sz w:val="24"/>
          <w:szCs w:val="24"/>
        </w:rPr>
      </w:pPr>
      <w:bookmarkStart w:colFirst="0" w:colLast="0" w:name="_iroegt8vnucr" w:id="8"/>
      <w:bookmarkEnd w:id="8"/>
      <w:r w:rsidDel="00000000" w:rsidR="00000000" w:rsidRPr="00000000">
        <w:rPr>
          <w:rFonts w:ascii="Tahoma" w:cs="Tahoma" w:eastAsia="Tahoma" w:hAnsi="Tahoma"/>
          <w:sz w:val="24"/>
          <w:szCs w:val="24"/>
          <w:rtl w:val="0"/>
        </w:rPr>
        <w:t xml:space="preserve">3.2 EMR Billing Integration (Caresoft)</w:t>
      </w:r>
    </w:p>
    <w:p w:rsidR="00000000" w:rsidDel="00000000" w:rsidP="00000000" w:rsidRDefault="00000000" w:rsidRPr="00000000" w14:paraId="00000017">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existing Caresoft HMIS will remain in use exclusively for outpatient services. However, its billing and payment components will be integrated with the County Revenue Automation System.</w:t>
      </w:r>
    </w:p>
    <w:p w:rsidR="00000000" w:rsidDel="00000000" w:rsidP="00000000" w:rsidRDefault="00000000" w:rsidRPr="00000000" w14:paraId="00000018">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of Integration: - Caresoft will no longer process payments directly - All outpatient billing transactions will be routed through the County’s centralized payment gateway - This ensures consistency in revenue collection, reconciliation, and reporting across both outpatient (via Caresoft) and inpatient (via the new standalone system)</w:t>
      </w:r>
    </w:p>
    <w:p w:rsidR="00000000" w:rsidDel="00000000" w:rsidP="00000000" w:rsidRDefault="00000000" w:rsidRPr="00000000" w14:paraId="00000019">
      <w:pPr>
        <w:pStyle w:val="Heading2"/>
        <w:spacing w:after="80" w:before="160" w:line="275.9999942779541" w:lineRule="auto"/>
        <w:jc w:val="both"/>
        <w:rPr>
          <w:rFonts w:ascii="Tahoma" w:cs="Tahoma" w:eastAsia="Tahoma" w:hAnsi="Tahoma"/>
          <w:sz w:val="28"/>
          <w:szCs w:val="28"/>
        </w:rPr>
      </w:pPr>
      <w:bookmarkStart w:colFirst="0" w:colLast="0" w:name="_5488od7n7y5i" w:id="9"/>
      <w:bookmarkEnd w:id="9"/>
      <w:r w:rsidDel="00000000" w:rsidR="00000000" w:rsidRPr="00000000">
        <w:rPr>
          <w:rtl w:val="0"/>
        </w:rPr>
      </w:r>
    </w:p>
    <w:p w:rsidR="00000000" w:rsidDel="00000000" w:rsidP="00000000" w:rsidRDefault="00000000" w:rsidRPr="00000000" w14:paraId="0000001A">
      <w:pPr>
        <w:pStyle w:val="Heading2"/>
        <w:spacing w:after="80" w:before="160" w:line="275.9999942779541" w:lineRule="auto"/>
        <w:jc w:val="both"/>
        <w:rPr>
          <w:rFonts w:ascii="Tahoma" w:cs="Tahoma" w:eastAsia="Tahoma" w:hAnsi="Tahoma"/>
          <w:sz w:val="28"/>
          <w:szCs w:val="28"/>
        </w:rPr>
      </w:pPr>
      <w:bookmarkStart w:colFirst="0" w:colLast="0" w:name="_yauzqrsywjbj" w:id="10"/>
      <w:bookmarkEnd w:id="10"/>
      <w:r w:rsidDel="00000000" w:rsidR="00000000" w:rsidRPr="00000000">
        <w:rPr>
          <w:rFonts w:ascii="Tahoma" w:cs="Tahoma" w:eastAsia="Tahoma" w:hAnsi="Tahoma"/>
          <w:sz w:val="28"/>
          <w:szCs w:val="28"/>
          <w:rtl w:val="0"/>
        </w:rPr>
        <w:t xml:space="preserve">4. Technical Integration Requirements</w:t>
      </w:r>
    </w:p>
    <w:p w:rsidR="00000000" w:rsidDel="00000000" w:rsidP="00000000" w:rsidRDefault="00000000" w:rsidRPr="00000000" w14:paraId="0000001B">
      <w:pPr>
        <w:numPr>
          <w:ilvl w:val="0"/>
          <w:numId w:val="1"/>
        </w:numPr>
        <w:spacing w:before="240" w:line="276.0005454545455" w:lineRule="auto"/>
        <w:ind w:left="720" w:hanging="360"/>
        <w:jc w:val="both"/>
        <w:rPr>
          <w:rFonts w:ascii="Tahoma" w:cs="Tahoma" w:eastAsia="Tahoma" w:hAnsi="Tahoma"/>
        </w:rPr>
      </w:pPr>
      <w:r w:rsidDel="00000000" w:rsidR="00000000" w:rsidRPr="00000000">
        <w:rPr>
          <w:rFonts w:ascii="Tahoma" w:cs="Tahoma" w:eastAsia="Tahoma" w:hAnsi="Tahoma"/>
          <w:sz w:val="24"/>
          <w:szCs w:val="24"/>
          <w:rtl w:val="0"/>
        </w:rPr>
        <w:t xml:space="preserve">Centralized Payment Integration</w:t>
        <w:br w:type="textWrapping"/>
        <w:t xml:space="preserve">All existing payment methods within the EMR system shall be removed/disabled, and all payment options integrated exclusively through the County’s centralized payment gateway. Hydrolife Tech Limited will provide the necessary APIs and technical documentation.</w:t>
        <w:br w:type="textWrapping"/>
        <w:t xml:space="preserve">For avoidance of operational disruption, the disabling of existing payment methods shall only be effected upon successful deployment, testing, and go-live of the County Revenue Automation System, in coordination with the Hospital and Hydrolife Tech Limited.</w:t>
      </w:r>
    </w:p>
    <w:p w:rsidR="00000000" w:rsidDel="00000000" w:rsidP="00000000" w:rsidRDefault="00000000" w:rsidRPr="00000000" w14:paraId="0000001C">
      <w:pPr>
        <w:numPr>
          <w:ilvl w:val="0"/>
          <w:numId w:val="1"/>
        </w:numPr>
        <w:spacing w:line="276.0005454545455" w:lineRule="auto"/>
        <w:ind w:left="720" w:hanging="360"/>
        <w:jc w:val="both"/>
        <w:rPr>
          <w:rFonts w:ascii="Tahoma" w:cs="Tahoma" w:eastAsia="Tahoma" w:hAnsi="Tahoma"/>
        </w:rPr>
      </w:pPr>
      <w:r w:rsidDel="00000000" w:rsidR="00000000" w:rsidRPr="00000000">
        <w:rPr>
          <w:rFonts w:ascii="Tahoma" w:cs="Tahoma" w:eastAsia="Tahoma" w:hAnsi="Tahoma"/>
          <w:sz w:val="24"/>
          <w:szCs w:val="24"/>
          <w:rtl w:val="0"/>
        </w:rPr>
        <w:t xml:space="preserve">Transaction-Level Posting and Traceability</w:t>
        <w:br w:type="textWrapping"/>
        <w:t xml:space="preserve">Ensure that upon payment, the bill items paid for are posted with the actor details, the citizen stakeholder details and that each bill item carries a unique identifier/code.</w:t>
      </w:r>
    </w:p>
    <w:p w:rsidR="00000000" w:rsidDel="00000000" w:rsidP="00000000" w:rsidRDefault="00000000" w:rsidRPr="00000000" w14:paraId="0000001D">
      <w:pPr>
        <w:numPr>
          <w:ilvl w:val="0"/>
          <w:numId w:val="1"/>
        </w:numPr>
        <w:spacing w:line="276.0005454545455" w:lineRule="auto"/>
        <w:ind w:left="720" w:hanging="360"/>
        <w:jc w:val="both"/>
        <w:rPr>
          <w:rFonts w:ascii="Tahoma" w:cs="Tahoma" w:eastAsia="Tahoma" w:hAnsi="Tahoma"/>
        </w:rPr>
      </w:pPr>
      <w:r w:rsidDel="00000000" w:rsidR="00000000" w:rsidRPr="00000000">
        <w:rPr>
          <w:rFonts w:ascii="Tahoma" w:cs="Tahoma" w:eastAsia="Tahoma" w:hAnsi="Tahoma"/>
          <w:sz w:val="24"/>
          <w:szCs w:val="24"/>
          <w:rtl w:val="0"/>
        </w:rPr>
        <w:t xml:space="preserve">Payment Notification (Callback Mechanism)</w:t>
        <w:br w:type="textWrapping"/>
        <w:t xml:space="preserve">Provide a callback URL to enable the County Revenue Automation System to notify the EMR system when a payment is successfully made.</w:t>
      </w:r>
    </w:p>
    <w:p w:rsidR="00000000" w:rsidDel="00000000" w:rsidP="00000000" w:rsidRDefault="00000000" w:rsidRPr="00000000" w14:paraId="0000001E">
      <w:pPr>
        <w:numPr>
          <w:ilvl w:val="0"/>
          <w:numId w:val="1"/>
        </w:numPr>
        <w:spacing w:after="240" w:line="276.0005454545455" w:lineRule="auto"/>
        <w:ind w:left="720" w:hanging="360"/>
        <w:jc w:val="both"/>
        <w:rPr>
          <w:rFonts w:ascii="Tahoma" w:cs="Tahoma" w:eastAsia="Tahoma" w:hAnsi="Tahoma"/>
        </w:rPr>
      </w:pPr>
      <w:r w:rsidDel="00000000" w:rsidR="00000000" w:rsidRPr="00000000">
        <w:rPr>
          <w:rFonts w:ascii="Tahoma" w:cs="Tahoma" w:eastAsia="Tahoma" w:hAnsi="Tahoma"/>
          <w:sz w:val="24"/>
          <w:szCs w:val="24"/>
          <w:rtl w:val="0"/>
        </w:rPr>
        <w:t xml:space="preserve">Transaction Status Verification</w:t>
        <w:br w:type="textWrapping"/>
        <w:t xml:space="preserve">Optionally, support the integration of a “check transaction status” API that Hydrolife Tech will provide.</w:t>
      </w:r>
    </w:p>
    <w:p w:rsidR="00000000" w:rsidDel="00000000" w:rsidP="00000000" w:rsidRDefault="00000000" w:rsidRPr="00000000" w14:paraId="0000001F">
      <w:pPr>
        <w:spacing w:after="40" w:before="40" w:line="275.9999942779541" w:lineRule="auto"/>
        <w:ind w:left="144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0">
      <w:pPr>
        <w:pStyle w:val="Heading2"/>
        <w:spacing w:after="80" w:before="160" w:line="275.9999942779541" w:lineRule="auto"/>
        <w:jc w:val="both"/>
        <w:rPr>
          <w:rFonts w:ascii="Tahoma" w:cs="Tahoma" w:eastAsia="Tahoma" w:hAnsi="Tahoma"/>
          <w:sz w:val="28"/>
          <w:szCs w:val="28"/>
        </w:rPr>
      </w:pPr>
      <w:bookmarkStart w:colFirst="0" w:colLast="0" w:name="_2ia5y7fr4bfq" w:id="11"/>
      <w:bookmarkEnd w:id="11"/>
      <w:r w:rsidDel="00000000" w:rsidR="00000000" w:rsidRPr="00000000">
        <w:rPr>
          <w:rFonts w:ascii="Tahoma" w:cs="Tahoma" w:eastAsia="Tahoma" w:hAnsi="Tahoma"/>
          <w:sz w:val="28"/>
          <w:szCs w:val="28"/>
          <w:rtl w:val="0"/>
        </w:rPr>
        <w:t xml:space="preserve">5. Implementation Roadmap</w:t>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575"/>
        <w:tblGridChange w:id="0">
          <w:tblGrid>
            <w:gridCol w:w="4575"/>
            <w:gridCol w:w="4575"/>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21">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Activity</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22">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Timeline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Audit &amp; API Documentation Sharing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Day 1</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Development of Standalone Inpatient System &amp; Caresoft Integration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Day 1–4</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Staff Training &amp; Pilot Launch (ICTRH)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Day 5–8</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County-wide Go-Live &amp; Legacy Payment Deactivation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40" w:before="4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Day 9</w:t>
            </w:r>
          </w:p>
        </w:tc>
      </w:tr>
    </w:tbl>
    <w:p w:rsidR="00000000" w:rsidDel="00000000" w:rsidP="00000000" w:rsidRDefault="00000000" w:rsidRPr="00000000" w14:paraId="0000002B">
      <w:pPr>
        <w:pStyle w:val="Heading2"/>
        <w:spacing w:after="80" w:before="160" w:line="275.9999942779541" w:lineRule="auto"/>
        <w:jc w:val="both"/>
        <w:rPr>
          <w:rFonts w:ascii="Tahoma" w:cs="Tahoma" w:eastAsia="Tahoma" w:hAnsi="Tahoma"/>
          <w:sz w:val="28"/>
          <w:szCs w:val="28"/>
        </w:rPr>
      </w:pPr>
      <w:bookmarkStart w:colFirst="0" w:colLast="0" w:name="_f48ivrswlru6" w:id="12"/>
      <w:bookmarkEnd w:id="12"/>
      <w:r w:rsidDel="00000000" w:rsidR="00000000" w:rsidRPr="00000000">
        <w:rPr>
          <w:rtl w:val="0"/>
        </w:rPr>
      </w:r>
    </w:p>
    <w:p w:rsidR="00000000" w:rsidDel="00000000" w:rsidP="00000000" w:rsidRDefault="00000000" w:rsidRPr="00000000" w14:paraId="0000002C">
      <w:pPr>
        <w:pStyle w:val="Heading2"/>
        <w:spacing w:after="80" w:before="160" w:line="275.9999942779541" w:lineRule="auto"/>
        <w:jc w:val="both"/>
        <w:rPr>
          <w:rFonts w:ascii="Tahoma" w:cs="Tahoma" w:eastAsia="Tahoma" w:hAnsi="Tahoma"/>
          <w:sz w:val="28"/>
          <w:szCs w:val="28"/>
        </w:rPr>
      </w:pPr>
      <w:bookmarkStart w:colFirst="0" w:colLast="0" w:name="_6f7b6qh1yeex" w:id="13"/>
      <w:bookmarkEnd w:id="13"/>
      <w:r w:rsidDel="00000000" w:rsidR="00000000" w:rsidRPr="00000000">
        <w:rPr>
          <w:rFonts w:ascii="Tahoma" w:cs="Tahoma" w:eastAsia="Tahoma" w:hAnsi="Tahoma"/>
          <w:sz w:val="28"/>
          <w:szCs w:val="28"/>
          <w:rtl w:val="0"/>
        </w:rPr>
        <w:t xml:space="preserve">6. Accountability and Revenue Assurance</w:t>
      </w:r>
    </w:p>
    <w:p w:rsidR="00000000" w:rsidDel="00000000" w:rsidP="00000000" w:rsidRDefault="00000000" w:rsidRPr="00000000" w14:paraId="0000002D">
      <w:pPr>
        <w:spacing w:after="180" w:before="180" w:line="275.9999942779541"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introduction of a standalone inpatient system with automated draft invoicing ensures that all services rendered are captured and accurately billed, thereby minimizing revenue leakage. Furthermore, this system provides the County with the crucial ability to audit medical supplies usage against revenue collected, and each billable service will be directly linked to the responsible healthcare provider, ensuring full accountability. This approach ensures a clear separation of responsibilities: Caresoft will manage outpatient clinical workflows and billing routed through the centralized payment gateway, while the Hydrolife System will handle fully independent inpatient service capture, billing, and revenue management. Ultimately, this architecture guarantees scalability, accountability, and unified revenue visibility across all County health facilities.</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Tahoma" w:cs="Tahoma" w:eastAsia="Tahoma" w:hAnsi="Tahoma"/>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