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MEMO: LEGAL REVIEW</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TO:</w:t>
      </w:r>
      <w:r w:rsidDel="00000000" w:rsidR="00000000" w:rsidRPr="00000000">
        <w:rPr>
          <w:rFonts w:ascii="Google Sans Text" w:cs="Google Sans Text" w:eastAsia="Google Sans Text" w:hAnsi="Google Sans Text"/>
          <w:color w:val="1f1f1f"/>
          <w:rtl w:val="0"/>
        </w:rPr>
        <w:t xml:space="preserve"> County Attorney / Legal Department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FROM:</w:t>
      </w:r>
      <w:r w:rsidDel="00000000" w:rsidR="00000000" w:rsidRPr="00000000">
        <w:rPr>
          <w:rFonts w:ascii="Google Sans Text" w:cs="Google Sans Text" w:eastAsia="Google Sans Text" w:hAnsi="Google Sans Text"/>
          <w:color w:val="1f1f1f"/>
          <w:rtl w:val="0"/>
        </w:rPr>
        <w:t xml:space="preserve"> Revenue Department / Project Management Team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DATE:</w:t>
      </w:r>
      <w:r w:rsidDel="00000000" w:rsidR="00000000" w:rsidRPr="00000000">
        <w:rPr>
          <w:rFonts w:ascii="Google Sans Text" w:cs="Google Sans Text" w:eastAsia="Google Sans Text" w:hAnsi="Google Sans Text"/>
          <w:color w:val="1f1f1f"/>
          <w:rtl w:val="0"/>
        </w:rPr>
        <w:t xml:space="preserve"> December 28, 2025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SUBJECT:</w:t>
      </w:r>
      <w:r w:rsidDel="00000000" w:rsidR="00000000" w:rsidRPr="00000000">
        <w:rPr>
          <w:rFonts w:ascii="Google Sans Text" w:cs="Google Sans Text" w:eastAsia="Google Sans Text" w:hAnsi="Google Sans Text"/>
          <w:color w:val="1f1f1f"/>
          <w:rtl w:val="0"/>
        </w:rPr>
        <w:t xml:space="preserve"> Identification of Internal Inconsistencies and Commercial Risks: RMS Service Level Agreement (Hydrolife Tech Limited)</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memo outlines several critical internal inconsistencies and legal risks identified within the Service Level Agreement (SLA) for the Isiolo County Revenue Management System (RMS). These discrepancies primarily concern the payment structure, hardware ownership, and the enforceability of termination clauses.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Financial and Commercial Inconsistencies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Ambiguity in Consideration (Double-Payment Risk)</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Recital C (Page 1):</w:t>
      </w:r>
      <w:r w:rsidDel="00000000" w:rsidR="00000000" w:rsidRPr="00000000">
        <w:rPr>
          <w:rFonts w:ascii="Google Sans Text" w:cs="Google Sans Text" w:eastAsia="Google Sans Text" w:hAnsi="Google Sans Text"/>
          <w:color w:val="1f1f1f"/>
          <w:rtl w:val="0"/>
        </w:rPr>
        <w:t xml:space="preserve"> States the contract was awarded for a fixed sum of </w:t>
      </w:r>
      <w:r w:rsidDel="00000000" w:rsidR="00000000" w:rsidRPr="00000000">
        <w:rPr>
          <w:rFonts w:ascii="Google Sans Text" w:cs="Google Sans Text" w:eastAsia="Google Sans Text" w:hAnsi="Google Sans Text"/>
          <w:b w:val="1"/>
          <w:bCs w:val="1"/>
          <w:color w:val="1f1f1f"/>
          <w:rtl w:val="0"/>
        </w:rPr>
        <w:t xml:space="preserve">Ksh 19,980,000</w:t>
      </w:r>
      <w:r w:rsidDel="00000000" w:rsidR="00000000" w:rsidRPr="00000000">
        <w:rPr>
          <w:rFonts w:ascii="Google Sans Text" w:cs="Google Sans Text" w:eastAsia="Google Sans Text" w:hAnsi="Google Sans Text"/>
          <w:color w:val="1f1f1f"/>
          <w:rtl w:val="0"/>
        </w:rPr>
        <w:t xml:space="preserve"> specifically for the "build, delivery, installation, testing, and commissioning" of the System.</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Clause 5.1 (Page 8):</w:t>
      </w:r>
      <w:r w:rsidDel="00000000" w:rsidR="00000000" w:rsidRPr="00000000">
        <w:rPr>
          <w:rFonts w:ascii="Google Sans Text" w:cs="Google Sans Text" w:eastAsia="Google Sans Text" w:hAnsi="Google Sans Text"/>
          <w:color w:val="1f1f1f"/>
          <w:rtl w:val="0"/>
        </w:rPr>
        <w:t xml:space="preserve"> States the </w:t>
      </w:r>
      <w:r w:rsidDel="00000000" w:rsidR="00000000" w:rsidRPr="00000000">
        <w:rPr>
          <w:rFonts w:ascii="Google Sans Text" w:cs="Google Sans Text" w:eastAsia="Google Sans Text" w:hAnsi="Google Sans Text"/>
          <w:b w:val="1"/>
          <w:bCs w:val="1"/>
          <w:color w:val="1f1f1f"/>
          <w:rtl w:val="0"/>
        </w:rPr>
        <w:t xml:space="preserve">10% Service Charge</w:t>
      </w:r>
      <w:r w:rsidDel="00000000" w:rsidR="00000000" w:rsidRPr="00000000">
        <w:rPr>
          <w:rFonts w:ascii="Google Sans Text" w:cs="Google Sans Text" w:eastAsia="Google Sans Text" w:hAnsi="Google Sans Text"/>
          <w:color w:val="1f1f1f"/>
          <w:rtl w:val="0"/>
        </w:rPr>
        <w:t xml:space="preserve"> (Revenue Share) is paid "in consideration of... hardware provision."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Conflict:</w:t>
      </w:r>
      <w:r w:rsidDel="00000000" w:rsidR="00000000" w:rsidRPr="00000000">
        <w:rPr>
          <w:rFonts w:ascii="Google Sans Text" w:cs="Google Sans Text" w:eastAsia="Google Sans Text" w:hAnsi="Google Sans Text"/>
          <w:color w:val="1f1f1f"/>
          <w:rtl w:val="0"/>
        </w:rPr>
        <w:t xml:space="preserve"> It is unclear if the initial Ksh 19.9M covers the acquisition of the 50 POS terminals. If it does, the 10% revenue share should not list "hardware provision" as a justification for ongoing payment. This creates a risk of the County paying twice for the same assets.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Payment Timing: Arrears vs. Advance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Clause 5.3(b) (Page 9):</w:t>
      </w:r>
      <w:r w:rsidDel="00000000" w:rsidR="00000000" w:rsidRPr="00000000">
        <w:rPr>
          <w:rFonts w:ascii="Google Sans Text" w:cs="Google Sans Text" w:eastAsia="Google Sans Text" w:hAnsi="Google Sans Text"/>
          <w:color w:val="1f1f1f"/>
          <w:rtl w:val="0"/>
        </w:rPr>
        <w:t xml:space="preserve"> Establishes a standard billing cycle "quarterly in arrears."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Clause 3.2.5(d) (Page 7):</w:t>
      </w:r>
      <w:r w:rsidDel="00000000" w:rsidR="00000000" w:rsidRPr="00000000">
        <w:rPr>
          <w:rFonts w:ascii="Google Sans Text" w:cs="Google Sans Text" w:eastAsia="Google Sans Text" w:hAnsi="Google Sans Text"/>
          <w:color w:val="1f1f1f"/>
          <w:rtl w:val="0"/>
        </w:rPr>
        <w:t xml:space="preserve"> Grants the Service Provider the right to require "advance funding or the maintenance of a prepaid communication credit balance" for SMS/Email services.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Legal Risk:</w:t>
      </w:r>
      <w:r w:rsidDel="00000000" w:rsidR="00000000" w:rsidRPr="00000000">
        <w:rPr>
          <w:rFonts w:ascii="Google Sans Text" w:cs="Google Sans Text" w:eastAsia="Google Sans Text" w:hAnsi="Google Sans Text"/>
          <w:color w:val="1f1f1f"/>
          <w:rtl w:val="0"/>
        </w:rPr>
        <w:t xml:space="preserve"> These clauses conflict. The County’s financial systems typically operate on an invoice-in-arrears basis. Allowing a vendor to switch to a "prepaid" model at their discretion bypasses standard PFM Act procurement and payment procedures.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Hardware Ownership and Maintenance Conflicts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Title Transfer vs. Provision Fee</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Clause 3.2.1 (Page 5):</w:t>
      </w:r>
      <w:r w:rsidDel="00000000" w:rsidR="00000000" w:rsidRPr="00000000">
        <w:rPr>
          <w:rFonts w:ascii="Google Sans Text" w:cs="Google Sans Text" w:eastAsia="Google Sans Text" w:hAnsi="Google Sans Text"/>
          <w:color w:val="1f1f1f"/>
          <w:rtl w:val="0"/>
        </w:rPr>
        <w:t xml:space="preserve"> Explicitly states that "Title to the hardware shall pass to the Client upon commissioning."</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Clause 5.1 (Page 8):</w:t>
      </w:r>
      <w:r w:rsidDel="00000000" w:rsidR="00000000" w:rsidRPr="00000000">
        <w:rPr>
          <w:rFonts w:ascii="Google Sans Text" w:cs="Google Sans Text" w:eastAsia="Google Sans Text" w:hAnsi="Google Sans Text"/>
          <w:color w:val="1f1f1f"/>
          <w:rtl w:val="0"/>
        </w:rPr>
        <w:t xml:space="preserve"> Justifies the 10% fee based on "hardware provision."</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Issue:</w:t>
      </w:r>
      <w:r w:rsidDel="00000000" w:rsidR="00000000" w:rsidRPr="00000000">
        <w:rPr>
          <w:rFonts w:ascii="Google Sans Text" w:cs="Google Sans Text" w:eastAsia="Google Sans Text" w:hAnsi="Google Sans Text"/>
          <w:color w:val="1f1f1f"/>
          <w:rtl w:val="0"/>
        </w:rPr>
        <w:t xml:space="preserve"> Legally, if the County owns the title to the hardware, the Service Provider is no longer "providing" it as a service; they are merely maintaining it. The revenue share should reflect "maintenance" rather than "provision."</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Warranty vs. Billable Labor</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Clause 3.2.2 (Page 5):</w:t>
      </w:r>
      <w:r w:rsidDel="00000000" w:rsidR="00000000" w:rsidRPr="00000000">
        <w:rPr>
          <w:rFonts w:ascii="Google Sans Text" w:cs="Google Sans Text" w:eastAsia="Google Sans Text" w:hAnsi="Google Sans Text"/>
          <w:color w:val="1f1f1f"/>
          <w:rtl w:val="0"/>
        </w:rPr>
        <w:t xml:space="preserve"> Commit the provider to repair manufacturer defects at their own cost.</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Clause 3.2.3 (Page 6):</w:t>
      </w:r>
      <w:r w:rsidDel="00000000" w:rsidR="00000000" w:rsidRPr="00000000">
        <w:rPr>
          <w:rFonts w:ascii="Google Sans Text" w:cs="Google Sans Text" w:eastAsia="Google Sans Text" w:hAnsi="Google Sans Text"/>
          <w:color w:val="1f1f1f"/>
          <w:rtl w:val="0"/>
        </w:rPr>
        <w:t xml:space="preserve"> Introduces a labor charge of </w:t>
      </w:r>
      <w:r w:rsidDel="00000000" w:rsidR="00000000" w:rsidRPr="00000000">
        <w:rPr>
          <w:rFonts w:ascii="Google Sans Text" w:cs="Google Sans Text" w:eastAsia="Google Sans Text" w:hAnsi="Google Sans Text"/>
          <w:b w:val="1"/>
          <w:bCs w:val="1"/>
          <w:color w:val="1f1f1f"/>
          <w:rtl w:val="0"/>
        </w:rPr>
        <w:t xml:space="preserve">KES 1,000 per hour</w:t>
      </w:r>
      <w:r w:rsidDel="00000000" w:rsidR="00000000" w:rsidRPr="00000000">
        <w:rPr>
          <w:rFonts w:ascii="Google Sans Text" w:cs="Google Sans Text" w:eastAsia="Google Sans Text" w:hAnsi="Google Sans Text"/>
          <w:color w:val="1f1f1f"/>
          <w:rtl w:val="0"/>
        </w:rPr>
        <w:t xml:space="preserve"> for billable maintenance.</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Risk:</w:t>
      </w:r>
      <w:r w:rsidDel="00000000" w:rsidR="00000000" w:rsidRPr="00000000">
        <w:rPr>
          <w:rFonts w:ascii="Google Sans Text" w:cs="Google Sans Text" w:eastAsia="Google Sans Text" w:hAnsi="Google Sans Text"/>
          <w:color w:val="1f1f1f"/>
          <w:rtl w:val="0"/>
        </w:rPr>
        <w:t xml:space="preserve"> The definition of "negligence" or "improper use" is subjective. There is no mechanism for an independent assessment of whether a hardware failure is a manufacturer defect or "misuse," potentially leading to excessive billable hours.</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Termination and Liquidated Damages (Penalty Risk)</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Enforceability of Termination Payment</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Clause 13.3 (Page 13):</w:t>
      </w:r>
      <w:r w:rsidDel="00000000" w:rsidR="00000000" w:rsidRPr="00000000">
        <w:rPr>
          <w:rFonts w:ascii="Google Sans Text" w:cs="Google Sans Text" w:eastAsia="Google Sans Text" w:hAnsi="Google Sans Text"/>
          <w:color w:val="1f1f1f"/>
          <w:rtl w:val="0"/>
        </w:rPr>
        <w:t xml:space="preserve"> Sets liquidated damages at </w:t>
      </w:r>
      <w:r w:rsidDel="00000000" w:rsidR="00000000" w:rsidRPr="00000000">
        <w:rPr>
          <w:rFonts w:ascii="Google Sans Text" w:cs="Google Sans Text" w:eastAsia="Google Sans Text" w:hAnsi="Google Sans Text"/>
          <w:b w:val="1"/>
          <w:bCs w:val="1"/>
          <w:color w:val="1f1f1f"/>
          <w:rtl w:val="0"/>
        </w:rPr>
        <w:t xml:space="preserve">50% of the Average Monthly Service Charge multiplied by the Remaining Months in the 10-year Term.</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Legal Conflict:</w:t>
      </w:r>
      <w:r w:rsidDel="00000000" w:rsidR="00000000" w:rsidRPr="00000000">
        <w:rPr>
          <w:rFonts w:ascii="Google Sans Text" w:cs="Google Sans Text" w:eastAsia="Google Sans Text" w:hAnsi="Google Sans Text"/>
          <w:color w:val="1f1f1f"/>
          <w:rtl w:val="0"/>
        </w:rPr>
        <w:t xml:space="preserve"> Under Kenyan contract law, liquidated damages must be a "genuine pre-estimate of loss." For a 10-year contract terminated in year 2, this would demand 4 years' worth of revenue as a lump sum.</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Admission of Uncertainty:</w:t>
      </w:r>
      <w:r w:rsidDel="00000000" w:rsidR="00000000" w:rsidRPr="00000000">
        <w:rPr>
          <w:rFonts w:ascii="Google Sans Text" w:cs="Google Sans Text" w:eastAsia="Google Sans Text" w:hAnsi="Google Sans Text"/>
          <w:color w:val="1f1f1f"/>
          <w:rtl w:val="0"/>
        </w:rPr>
        <w:t xml:space="preserve"> Clause 13.4 admits that "precise quantification of such losses would be impracticable." This admission, combined with the high percentage, risks the clause being struck down by a court as an unenforceable </w:t>
      </w:r>
      <w:r w:rsidDel="00000000" w:rsidR="00000000" w:rsidRPr="00000000">
        <w:rPr>
          <w:rFonts w:ascii="Google Sans Text" w:cs="Google Sans Text" w:eastAsia="Google Sans Text" w:hAnsi="Google Sans Text"/>
          <w:b w:val="1"/>
          <w:bCs w:val="1"/>
          <w:color w:val="1f1f1f"/>
          <w:rtl w:val="0"/>
        </w:rPr>
        <w:t xml:space="preserve">penalty</w:t>
      </w:r>
      <w:r w:rsidDel="00000000" w:rsidR="00000000" w:rsidRPr="00000000">
        <w:rPr>
          <w:rFonts w:ascii="Google Sans Text" w:cs="Google Sans Text" w:eastAsia="Google Sans Text" w:hAnsi="Google Sans Text"/>
          <w:color w:val="1f1f1f"/>
          <w:rtl w:val="0"/>
        </w:rPr>
        <w:t xml:space="preserve"> rather than legitimate damages.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Technical and Operational Discrepancies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Database Architecture Drift</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Clause 3.1(d) (Page 4):</w:t>
      </w:r>
      <w:r w:rsidDel="00000000" w:rsidR="00000000" w:rsidRPr="00000000">
        <w:rPr>
          <w:rFonts w:ascii="Google Sans Text" w:cs="Google Sans Text" w:eastAsia="Google Sans Text" w:hAnsi="Google Sans Text"/>
          <w:color w:val="1f1f1f"/>
          <w:rtl w:val="0"/>
        </w:rPr>
        <w:t xml:space="preserve"> Specifies the implementation of a </w:t>
      </w:r>
      <w:r w:rsidDel="00000000" w:rsidR="00000000" w:rsidRPr="00000000">
        <w:rPr>
          <w:rFonts w:ascii="Google Sans Text" w:cs="Google Sans Text" w:eastAsia="Google Sans Text" w:hAnsi="Google Sans Text"/>
          <w:b w:val="1"/>
          <w:bCs w:val="1"/>
          <w:color w:val="1f1f1f"/>
          <w:rtl w:val="0"/>
        </w:rPr>
        <w:t xml:space="preserve">PostgreSQL</w:t>
      </w:r>
      <w:r w:rsidDel="00000000" w:rsidR="00000000" w:rsidRPr="00000000">
        <w:rPr>
          <w:rFonts w:ascii="Google Sans Text" w:cs="Google Sans Text" w:eastAsia="Google Sans Text" w:hAnsi="Google Sans Text"/>
          <w:color w:val="1f1f1f"/>
          <w:rtl w:val="0"/>
        </w:rPr>
        <w:t xml:space="preserve"> database.</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Schedule A (Page 17):</w:t>
      </w:r>
      <w:r w:rsidDel="00000000" w:rsidR="00000000" w:rsidRPr="00000000">
        <w:rPr>
          <w:rFonts w:ascii="Google Sans Text" w:cs="Google Sans Text" w:eastAsia="Google Sans Text" w:hAnsi="Google Sans Text"/>
          <w:color w:val="1f1f1f"/>
          <w:rtl w:val="0"/>
        </w:rPr>
        <w:t xml:space="preserve"> Describes a "polyglot persistence layer" using both </w:t>
      </w:r>
      <w:r w:rsidDel="00000000" w:rsidR="00000000" w:rsidRPr="00000000">
        <w:rPr>
          <w:rFonts w:ascii="Google Sans Text" w:cs="Google Sans Text" w:eastAsia="Google Sans Text" w:hAnsi="Google Sans Text"/>
          <w:b w:val="1"/>
          <w:bCs w:val="1"/>
          <w:color w:val="1f1f1f"/>
          <w:rtl w:val="0"/>
        </w:rPr>
        <w:t xml:space="preserve">PostgreSQL and MongoDB</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Impact:</w:t>
      </w:r>
      <w:r w:rsidDel="00000000" w:rsidR="00000000" w:rsidRPr="00000000">
        <w:rPr>
          <w:rFonts w:ascii="Google Sans Text" w:cs="Google Sans Text" w:eastAsia="Google Sans Text" w:hAnsi="Google Sans Text"/>
          <w:color w:val="1f1f1f"/>
          <w:rtl w:val="0"/>
        </w:rPr>
        <w:t xml:space="preserve"> This discrepancy affects the scope of data protection audits and backup requirements. The contract should be specific about which technologies are being utilized to ensure security compliance.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Uptime Calculation Gap</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Clause 6.1 (Page 9):</w:t>
      </w:r>
      <w:r w:rsidDel="00000000" w:rsidR="00000000" w:rsidRPr="00000000">
        <w:rPr>
          <w:rFonts w:ascii="Google Sans Text" w:cs="Google Sans Text" w:eastAsia="Google Sans Text" w:hAnsi="Google Sans Text"/>
          <w:color w:val="1f1f1f"/>
          <w:rtl w:val="0"/>
        </w:rPr>
        <w:t xml:space="preserve"> Excludes "Scheduled Maintenance" (00:00 - 04:00) from the Uptime Guarantee.</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Schedule C (Page 19):</w:t>
      </w:r>
      <w:r w:rsidDel="00000000" w:rsidR="00000000" w:rsidRPr="00000000">
        <w:rPr>
          <w:rFonts w:ascii="Google Sans Text" w:cs="Google Sans Text" w:eastAsia="Google Sans Text" w:hAnsi="Google Sans Text"/>
          <w:color w:val="1f1f1f"/>
          <w:rtl w:val="0"/>
        </w:rPr>
        <w:t xml:space="preserve"> Provides a mathematical formula that fails to subtract these excluded maintenance minutes from the denominator.</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Impact:</w:t>
      </w:r>
      <w:r w:rsidDel="00000000" w:rsidR="00000000" w:rsidRPr="00000000">
        <w:rPr>
          <w:rFonts w:ascii="Google Sans Text" w:cs="Google Sans Text" w:eastAsia="Google Sans Text" w:hAnsi="Google Sans Text"/>
          <w:color w:val="1f1f1f"/>
          <w:rtl w:val="0"/>
        </w:rPr>
        <w:t xml:space="preserve"> This mathematical error in the formula would technically make it impossible for the provider to ever meet 99.9% uptime if they utilize their permitted maintenance windows, leading to unfair penalty applications or disputes.</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Recommendations for Legal Counsel</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Clarify Consideration:</w:t>
      </w:r>
      <w:r w:rsidDel="00000000" w:rsidR="00000000" w:rsidRPr="00000000">
        <w:rPr>
          <w:rFonts w:ascii="Google Sans Text" w:cs="Google Sans Text" w:eastAsia="Google Sans Text" w:hAnsi="Google Sans Text"/>
          <w:color w:val="1f1f1f"/>
          <w:rtl w:val="0"/>
        </w:rPr>
        <w:t xml:space="preserve"> Explicitly define if the 50 POS terminals are part of the Ksh 19.9M build cost or the 10% revenue share.</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Redefine Termination:</w:t>
      </w:r>
      <w:r w:rsidDel="00000000" w:rsidR="00000000" w:rsidRPr="00000000">
        <w:rPr>
          <w:rFonts w:ascii="Google Sans Text" w:cs="Google Sans Text" w:eastAsia="Google Sans Text" w:hAnsi="Google Sans Text"/>
          <w:color w:val="1f1f1f"/>
          <w:rtl w:val="0"/>
        </w:rPr>
        <w:t xml:space="preserve"> Cap liquidated damages at a fixed period (e.g., 6 months of average fees) rather than the entire remaining duration of a 10-year term.</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Harmonize Payment Terms:</w:t>
      </w:r>
      <w:r w:rsidDel="00000000" w:rsidR="00000000" w:rsidRPr="00000000">
        <w:rPr>
          <w:rFonts w:ascii="Google Sans Text" w:cs="Google Sans Text" w:eastAsia="Google Sans Text" w:hAnsi="Google Sans Text"/>
          <w:color w:val="1f1f1f"/>
          <w:rtl w:val="0"/>
        </w:rPr>
        <w:t xml:space="preserve"> Ensure all payments follow the quarterly-in-arrears model to remain compliant with County treasury regulations.</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Refine Formula:</w:t>
      </w:r>
      <w:r w:rsidDel="00000000" w:rsidR="00000000" w:rsidRPr="00000000">
        <w:rPr>
          <w:rFonts w:ascii="Google Sans Text" w:cs="Google Sans Text" w:eastAsia="Google Sans Text" w:hAnsi="Google Sans Text"/>
          <w:color w:val="1f1f1f"/>
          <w:rtl w:val="0"/>
        </w:rPr>
        <w:t xml:space="preserve"> Correct the Uptime formula in Schedule C to explicitly exclude permitted maintenance windows.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End of Memo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