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Payment Voucher Narrations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narrations are drafted to align with the payment schedule (Form F-5) and the project phases defined in the Technical Proposal submitted by Hydrolife Tech Limited.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Voucher 1: Phase 1 - Inception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Submission and Approval of Inception Report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Payment Percentage: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10% of Contract Sum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Amount: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Ksh 1,998,000.00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Draft Narration: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Being payment to M/S Hydrolife Tech Limited for professional services rendered towards the development and implementation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Revenue Management 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County Government of Isiolo, Tender No: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CGI/RFP/011/001/2025-2026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payment represents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10% (Phase 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total contract sum upon the successful completion of the Inception &amp; Analysis phase, detailed requirements elicitation, system architecture design, and formal submission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Inception Report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per the terms of the contract.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Voucher 2: Phase 2 - Interim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Submission and Approval of Interim Report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Payment Percentage: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25% of Contract Sum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Amount: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Ksh 4,995,000.00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Draft Narration: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Being payment to M/S Hydrolife Tech Limited for professional services rendered towards the development and implementation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Revenue Management System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the County Government of Isiolo, Tender No: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CGI/RFP/011/001/2025-2026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payment represents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25% (Phase 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total contract sum upon the successful completion of the Development &amp; Integration phase and formal submission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Interim Report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Information Summary for Accounting: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Contractor: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Hydrolife Tech Limited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Tender 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CGI/RFP/FEP/01/2025-2026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Contract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Ksh 19,980,000.00 (Inclusive of 16% VAT)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