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March 7,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M-Pesa Business Operations,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Safaricom PLC,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Nairobi, Kenya.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 REQUEST FOR DISBURSEMENT (B2C/B2B) CAPABILITY FOR PAYBILL NO. 4010653</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County Government of Isiolo utilizes Paybill Number </w:t>
      </w:r>
      <w:r w:rsidDel="00000000" w:rsidR="00000000" w:rsidRPr="00000000">
        <w:rPr>
          <w:rFonts w:ascii="Google Sans" w:cs="Google Sans" w:eastAsia="Google Sans" w:hAnsi="Google Sans"/>
          <w:b w:val="1"/>
          <w:bCs w:val="1"/>
          <w:color w:val="1f1f1f"/>
          <w:rtl w:val="0"/>
        </w:rPr>
        <w:t xml:space="preserve">4010653</w:t>
      </w:r>
      <w:r w:rsidDel="00000000" w:rsidR="00000000" w:rsidRPr="00000000">
        <w:rPr>
          <w:rFonts w:ascii="Google Sans" w:cs="Google Sans" w:eastAsia="Google Sans" w:hAnsi="Google Sans"/>
          <w:color w:val="1f1f1f"/>
          <w:rtl w:val="0"/>
        </w:rPr>
        <w:t xml:space="preserve"> as a primary revenue collection point for various county services, including tourism and healthcare. To enhance financial transparency, efficiency, and compliance with our contractual obligations, we are formally requesting the activation of </w:t>
      </w:r>
      <w:r w:rsidDel="00000000" w:rsidR="00000000" w:rsidRPr="00000000">
        <w:rPr>
          <w:rFonts w:ascii="Google Sans" w:cs="Google Sans" w:eastAsia="Google Sans" w:hAnsi="Google Sans"/>
          <w:b w:val="1"/>
          <w:bCs w:val="1"/>
          <w:color w:val="1f1f1f"/>
          <w:rtl w:val="0"/>
        </w:rPr>
        <w:t xml:space="preserve">disbursement (Business-to-Customer and Business-to-Business) capabilities</w:t>
      </w:r>
      <w:r w:rsidDel="00000000" w:rsidR="00000000" w:rsidRPr="00000000">
        <w:rPr>
          <w:rFonts w:ascii="Google Sans" w:cs="Google Sans" w:eastAsia="Google Sans" w:hAnsi="Google Sans"/>
          <w:color w:val="1f1f1f"/>
          <w:rtl w:val="0"/>
        </w:rPr>
        <w:t xml:space="preserve"> for this shortcode.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County is currently transitioning to a fully automated revenue management system. This upgrade requires the ability to perform automated split payments and real-time disbursements at the point of collection to satisfy the following operational requirements: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Kenya Association of Tour Operators (KATO):</w:t>
      </w:r>
      <w:r w:rsidDel="00000000" w:rsidR="00000000" w:rsidRPr="00000000">
        <w:rPr>
          <w:rFonts w:ascii="Google Sans" w:cs="Google Sans" w:eastAsia="Google Sans" w:hAnsi="Google Sans"/>
          <w:color w:val="1f1f1f"/>
          <w:rtl w:val="0"/>
        </w:rPr>
        <w:t xml:space="preserve"> Isiolo County partners with KATO members to drive tourism. Under our current agreement, KATO members earn commissions on park entry tickets sold. Automating these disbursements ensures that tour operators receive their commissions promptly, fostering a better business environment and encouraging tourism growth.</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Hydrolife Tech Limited (Automation Service Provider):</w:t>
      </w:r>
      <w:r w:rsidDel="00000000" w:rsidR="00000000" w:rsidRPr="00000000">
        <w:rPr>
          <w:rFonts w:ascii="Google Sans" w:cs="Google Sans" w:eastAsia="Google Sans" w:hAnsi="Google Sans"/>
          <w:color w:val="1f1f1f"/>
          <w:rtl w:val="0"/>
        </w:rPr>
        <w:t xml:space="preserve"> As our primary ICT and automation service provider, Hydrolife Tech Limited is responsible for the maintenance and scaling of our revenue collection infrastructure. The agreed-upon service charges and convenience fees need to be settled automatically at the source to ensure uninterrupted system availability and technical support.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Isiolo County Teaching &amp; Referral Hospital (ICTRH):</w:t>
      </w:r>
      <w:r w:rsidDel="00000000" w:rsidR="00000000" w:rsidRPr="00000000">
        <w:rPr>
          <w:rFonts w:ascii="Google Sans" w:cs="Google Sans" w:eastAsia="Google Sans" w:hAnsi="Google Sans"/>
          <w:color w:val="1f1f1f"/>
          <w:rtl w:val="0"/>
        </w:rPr>
        <w:t xml:space="preserve"> In line with the Facility Improvement Fund (FIF) regulations, healthcare facilities are empowered to utilize funds at the source to improve service delivery. Automated disbursement capability will allow the County to ring-fence and redirect hospital collections directly to ICTRH accounts, ensuring the facility has the liquidity required for essential supplies and operational costs.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enabling these features, Safaricom will support the County Government of Isiolo in reducing manual intervention, minimizing reconciliation errors, and ensuring that all stakeholders are compensated in a timely and transparent manner.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have attached the necessary board resolutions and identification documents required for this feature upgrade. We look forward to your prompt action on this matter.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Yours Faithfully,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(Signature)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CECM – Finance, Economic Planning &amp; ICT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County Government of Isiolo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