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80" w:before="180" w:line="276" w:lineRule="auto"/>
        <w:jc w:val="both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jqb95siferga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  <w:tab/>
        <w:tab/>
        <w:t xml:space="preserve">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P.O BOX 37646 – 00100 NAIROBI.</w:t>
      </w:r>
    </w:p>
    <w:p w:rsidR="00000000" w:rsidDel="00000000" w:rsidP="00000000" w:rsidRDefault="00000000" w:rsidRPr="00000000" w14:paraId="00000002">
      <w:pPr>
        <w:pStyle w:val="Heading3"/>
        <w:spacing w:after="180" w:before="180" w:line="240" w:lineRule="auto"/>
        <w:jc w:val="both"/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</w:rPr>
      </w:pPr>
      <w:bookmarkStart w:colFirst="0" w:colLast="0" w:name="_r433lembe6v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t xml:space="preserve">Ref: HTL/CGI/REV/20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t xml:space="preserve">6/01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br w:type="textWrapping"/>
        <w:t xml:space="preserve">Date: 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t xml:space="preserve">th April 20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3">
      <w:pPr>
        <w:pStyle w:val="Heading3"/>
        <w:spacing w:after="180" w:before="180" w:line="240" w:lineRule="auto"/>
        <w:jc w:val="both"/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</w:rPr>
      </w:pPr>
      <w:bookmarkStart w:colFirst="0" w:colLast="0" w:name="_i9id0qcqfqcq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4"/>
          <w:szCs w:val="24"/>
          <w:vertAlign w:val="baseline"/>
          <w:rtl w:val="0"/>
        </w:rPr>
        <w:t xml:space="preserve">The Chief Officer – Revenue</w:t>
        <w:br w:type="textWrapping"/>
        <w:t xml:space="preserve">County Government of Isiolo</w:t>
        <w:br w:type="textWrapping"/>
        <w:t xml:space="preserve">P.O. Box 36 – 60300</w:t>
        <w:br w:type="textWrapping"/>
        <w:t xml:space="preserve">ISIOLO.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Sir,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RE: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COMMENCEMENT OF STAFF CAPACITY BUILDING AND REVENUE AUTOMATION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our successful development 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of the Isiolo County Revenue Automation System, Hydrolife Tech Limited is pleased to inform your office that the platform is now ready for full-scale deployment.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we transition from manual collection to this digital system, the human element remains the most critical factor for success. To ensure a seamless migration and to minimize disruptions in revenue collection, we propose a comprehensive, hands-on training program for all relevant county staff.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recommend that the training be structured as follows: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week starting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Monday, 20th April 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Staff will be grouped according to their respective revenue streams (including Land Rates, Single Business Permits, and Market Fees). This will enable our technical team to deliver specialized, module-specific training tailored to each department.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look forward to your favorable response and the successful implementation of this milestone project.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Kulah Jirma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Director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Hydrolife Tech Limited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rFonts w:ascii="Arial" w:cs="Arial" w:eastAsia="Arial" w:hAnsi="Arial"/>
          <w:color w:val="1155cc"/>
          <w:sz w:val="17"/>
          <w:szCs w:val="17"/>
          <w:u w:val="single"/>
          <w:rtl w:val="0"/>
        </w:rPr>
        <w:t xml:space="preserve">www.hydrolifetech.com</w:t>
      </w:r>
    </w:hyperlink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info@hydrolifetech.com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rFonts w:ascii="Arial" w:cs="Arial" w:eastAsia="Arial" w:hAnsi="Arial"/>
          <w:color w:val="1155cc"/>
          <w:sz w:val="17"/>
          <w:szCs w:val="17"/>
          <w:u w:val="single"/>
          <w:rtl w:val="0"/>
        </w:rPr>
        <w:t xml:space="preserve">www.hydrolifetech.com</w:t>
      </w:r>
    </w:hyperlink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                  </w:t>
      <w:tab/>
      <w:tab/>
      <w:tab/>
      <w:tab/>
      <w:tab/>
      <w:t xml:space="preserve"> </w:t>
    </w:r>
    <w:r w:rsidDel="00000000" w:rsidR="00000000" w:rsidRPr="00000000">
      <w:rPr>
        <w:rFonts w:ascii="Arial" w:cs="Arial" w:eastAsia="Arial" w:hAnsi="Arial"/>
        <w:color w:val="103cc0"/>
        <w:sz w:val="17"/>
        <w:szCs w:val="17"/>
      </w:rPr>
      <w:drawing>
        <wp:inline distB="114300" distT="114300" distL="114300" distR="114300">
          <wp:extent cx="190500" cy="190500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103cc0"/>
        <w:sz w:val="17"/>
        <w:szCs w:val="17"/>
        <w:rtl w:val="0"/>
      </w:rPr>
      <w:t xml:space="preserve">  info@hydrolifetech.com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>
        <w:rFonts w:ascii="Google Sans" w:cs="Google Sans" w:eastAsia="Google Sans" w:hAnsi="Google Sans"/>
        <w:b w:val="1"/>
        <w:bCs w:val="1"/>
        <w:sz w:val="36"/>
        <w:szCs w:val="36"/>
      </w:rPr>
    </w:pPr>
    <w:r w:rsidDel="00000000" w:rsidR="00000000" w:rsidRPr="00000000">
      <w:rPr>
        <w:rFonts w:ascii="Google Sans" w:cs="Google Sans" w:eastAsia="Google Sans" w:hAnsi="Google Sans"/>
      </w:rPr>
      <w:drawing>
        <wp:inline distB="114300" distT="114300" distL="114300" distR="114300">
          <wp:extent cx="681038" cy="681038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1038" cy="681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sz w:val="48"/>
        <w:szCs w:val="48"/>
        <w:rtl w:val="0"/>
      </w:rPr>
      <w:t xml:space="preserve">   </w:t>
    </w:r>
    <w:r w:rsidDel="00000000" w:rsidR="00000000" w:rsidRPr="00000000">
      <w:rPr>
        <w:rFonts w:ascii="Google Sans" w:cs="Google Sans" w:eastAsia="Google Sans" w:hAnsi="Google Sans"/>
        <w:b w:val="1"/>
        <w:bCs w:val="1"/>
        <w:sz w:val="48"/>
        <w:szCs w:val="48"/>
        <w:rtl w:val="0"/>
      </w:rPr>
      <w:t xml:space="preserve">HYDROLIFE TECH LIMITED </w:t>
    </w:r>
    <w:r w:rsidDel="00000000" w:rsidR="00000000" w:rsidRPr="00000000">
      <w:rPr>
        <w:rFonts w:ascii="Google Sans" w:cs="Google Sans" w:eastAsia="Google Sans" w:hAnsi="Google Sans"/>
        <w:b w:val="1"/>
        <w:bCs w:val="1"/>
        <w:sz w:val="47"/>
        <w:szCs w:val="47"/>
      </w:rPr>
      <w:drawing>
        <wp:inline distB="114300" distT="114300" distL="114300" distR="114300">
          <wp:extent cx="1001403" cy="4476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1403" cy="447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hydrolifetech.com" TargetMode="External"/><Relationship Id="rId3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hydrolifetech.com" TargetMode="External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