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Assessment and Readiness Report: County Revenue Automation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modernization of fiscal administration within a devolved governance framework represents one of the most significant structural transformations in Kenya’s public sector. This report provides a comprehensive evaluation of the completion, integration, and operational readiness of the </w:t>
      </w:r>
      <w:r w:rsidDel="00000000" w:rsidR="00000000" w:rsidRPr="00000000">
        <w:rPr>
          <w:rFonts w:ascii="Google Sans" w:cs="Google Sans" w:eastAsia="Google Sans" w:hAnsi="Google Sans"/>
          <w:b w:val="1"/>
          <w:bCs w:val="1"/>
          <w:color w:val="1f1f1f"/>
          <w:rtl w:val="0"/>
        </w:rPr>
        <w:t xml:space="preserve">County Revenue Automation System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Developed in partnership with an accredited software engineering firm, the system replaces legacy, manual, and fragmented collection processes with a cloud-native, microservices-based architecture designed for efficiency, transparency, and fiscal accountability.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Highlights: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Engineering Status:</w:t>
      </w:r>
      <w:r w:rsidDel="00000000" w:rsidR="00000000" w:rsidRPr="00000000">
        <w:rPr>
          <w:rFonts w:ascii="Google Sans" w:cs="Google Sans" w:eastAsia="Google Sans" w:hAnsi="Google Sans"/>
          <w:color w:val="1f1f1f"/>
          <w:rtl w:val="0"/>
        </w:rPr>
        <w:t xml:space="preserve"> 100% complete. Core modules (Revenue Admin, CRM, Billing, Enforcement) validated.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 Stack:</w:t>
      </w:r>
      <w:r w:rsidDel="00000000" w:rsidR="00000000" w:rsidRPr="00000000">
        <w:rPr>
          <w:rFonts w:ascii="Google Sans" w:cs="Google Sans" w:eastAsia="Google Sans" w:hAnsi="Google Sans"/>
          <w:color w:val="1f1f1f"/>
          <w:rtl w:val="0"/>
        </w:rPr>
        <w:t xml:space="preserve"> Golang (Backend), React.js (Admin), Flutter (Field Ops).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Integrations:</w:t>
      </w:r>
      <w:r w:rsidDel="00000000" w:rsidR="00000000" w:rsidRPr="00000000">
        <w:rPr>
          <w:rFonts w:ascii="Google Sans" w:cs="Google Sans" w:eastAsia="Google Sans" w:hAnsi="Google Sans"/>
          <w:color w:val="1f1f1f"/>
          <w:rtl w:val="0"/>
        </w:rPr>
        <w:t xml:space="preserve"> Fully operational with M-PESA, commercial bank APIs, and automated notification systems.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Compliance:</w:t>
      </w:r>
      <w:r w:rsidDel="00000000" w:rsidR="00000000" w:rsidRPr="00000000">
        <w:rPr>
          <w:rFonts w:ascii="Google Sans" w:cs="Google Sans" w:eastAsia="Google Sans" w:hAnsi="Google Sans"/>
          <w:color w:val="1f1f1f"/>
          <w:rtl w:val="0"/>
        </w:rPr>
        <w:t xml:space="preserve"> Fully aligned with the </w:t>
      </w:r>
      <w:r w:rsidDel="00000000" w:rsidR="00000000" w:rsidRPr="00000000">
        <w:rPr>
          <w:rFonts w:ascii="Google Sans" w:cs="Google Sans" w:eastAsia="Google Sans" w:hAnsi="Google Sans"/>
          <w:i w:val="1"/>
          <w:iCs w:val="1"/>
          <w:color w:val="1f1f1f"/>
          <w:rtl w:val="0"/>
        </w:rPr>
        <w:t xml:space="preserve">Public Finance Management Act (2012)</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i w:val="1"/>
          <w:iCs w:val="1"/>
          <w:color w:val="1f1f1f"/>
          <w:rtl w:val="0"/>
        </w:rPr>
        <w:t xml:space="preserve">Data Protection Act (2019)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Projected Impact:</w:t>
      </w:r>
      <w:r w:rsidDel="00000000" w:rsidR="00000000" w:rsidRPr="00000000">
        <w:rPr>
          <w:rFonts w:ascii="Google Sans" w:cs="Google Sans" w:eastAsia="Google Sans" w:hAnsi="Google Sans"/>
          <w:color w:val="1f1f1f"/>
          <w:rtl w:val="0"/>
        </w:rPr>
        <w:t xml:space="preserve"> Expected increase in </w:t>
      </w:r>
      <w:r w:rsidDel="00000000" w:rsidR="00000000" w:rsidRPr="00000000">
        <w:rPr>
          <w:rFonts w:ascii="Google Sans" w:cs="Google Sans" w:eastAsia="Google Sans" w:hAnsi="Google Sans"/>
          <w:b w:val="1"/>
          <w:bCs w:val="1"/>
          <w:color w:val="1f1f1f"/>
          <w:rtl w:val="0"/>
        </w:rPr>
        <w:t xml:space="preserve">Own Source Revenue (OSR) exceeding 30%</w:t>
      </w:r>
      <w:r w:rsidDel="00000000" w:rsidR="00000000" w:rsidRPr="00000000">
        <w:rPr>
          <w:rFonts w:ascii="Google Sans" w:cs="Google Sans" w:eastAsia="Google Sans" w:hAnsi="Google Sans"/>
          <w:color w:val="1f1f1f"/>
          <w:rtl w:val="0"/>
        </w:rPr>
        <w:t xml:space="preserve"> through leakage elimination.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Background and Strategic Objectives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Evolution of Subnational Fiscal Mobilization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devolved governance following the </w:t>
      </w:r>
      <w:r w:rsidDel="00000000" w:rsidR="00000000" w:rsidRPr="00000000">
        <w:rPr>
          <w:rFonts w:ascii="Google Sans" w:cs="Google Sans" w:eastAsia="Google Sans" w:hAnsi="Google Sans"/>
          <w:i w:val="1"/>
          <w:iCs w:val="1"/>
          <w:color w:val="1f1f1f"/>
          <w:rtl w:val="0"/>
        </w:rPr>
        <w:t xml:space="preserve">Constitution of Kenya (2010)</w:t>
      </w:r>
      <w:r w:rsidDel="00000000" w:rsidR="00000000" w:rsidRPr="00000000">
        <w:rPr>
          <w:rFonts w:ascii="Google Sans" w:cs="Google Sans" w:eastAsia="Google Sans" w:hAnsi="Google Sans"/>
          <w:color w:val="1f1f1f"/>
          <w:rtl w:val="0"/>
        </w:rPr>
        <w:t xml:space="preserve"> required a fundamental shift in local revenue assessment. Historically, reliance on national transfers—often comprising up to 85% of county budgets—has created fiscal vulnerability. Automation is the primary vehicle for achieving financial autonomy under </w:t>
      </w:r>
      <w:r w:rsidDel="00000000" w:rsidR="00000000" w:rsidRPr="00000000">
        <w:rPr>
          <w:rFonts w:ascii="Google Sans" w:cs="Google Sans" w:eastAsia="Google Sans" w:hAnsi="Google Sans"/>
          <w:b w:val="1"/>
          <w:bCs w:val="1"/>
          <w:color w:val="1f1f1f"/>
          <w:rtl w:val="0"/>
        </w:rPr>
        <w:t xml:space="preserve">Article 209</w:t>
      </w:r>
      <w:r w:rsidDel="00000000" w:rsidR="00000000" w:rsidRPr="00000000">
        <w:rPr>
          <w:rFonts w:ascii="Google Sans" w:cs="Google Sans" w:eastAsia="Google Sans" w:hAnsi="Google Sans"/>
          <w:color w:val="1f1f1f"/>
          <w:rtl w:val="0"/>
        </w:rPr>
        <w:t xml:space="preserve"> mandates.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Core Strategic Mandates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Revenue Assurance:</w:t>
      </w:r>
      <w:r w:rsidDel="00000000" w:rsidR="00000000" w:rsidRPr="00000000">
        <w:rPr>
          <w:rFonts w:ascii="Google Sans" w:cs="Google Sans" w:eastAsia="Google Sans" w:hAnsi="Google Sans"/>
          <w:color w:val="1f1f1f"/>
          <w:rtl w:val="0"/>
        </w:rPr>
        <w:t xml:space="preserve"> Digital traceability for all assessed revenue.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Transparency:</w:t>
      </w:r>
      <w:r w:rsidDel="00000000" w:rsidR="00000000" w:rsidRPr="00000000">
        <w:rPr>
          <w:rFonts w:ascii="Google Sans" w:cs="Google Sans" w:eastAsia="Google Sans" w:hAnsi="Google Sans"/>
          <w:color w:val="1f1f1f"/>
          <w:rtl w:val="0"/>
        </w:rPr>
        <w:t xml:space="preserve"> Real-time, auditable transaction records.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Customer Centricity:</w:t>
      </w:r>
      <w:r w:rsidDel="00000000" w:rsidR="00000000" w:rsidRPr="00000000">
        <w:rPr>
          <w:rFonts w:ascii="Google Sans" w:cs="Google Sans" w:eastAsia="Google Sans" w:hAnsi="Google Sans"/>
          <w:color w:val="1f1f1f"/>
          <w:rtl w:val="0"/>
        </w:rPr>
        <w:t xml:space="preserve"> Cashless, convenient payment options for citizens.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Operational Efficiency:</w:t>
      </w:r>
      <w:r w:rsidDel="00000000" w:rsidR="00000000" w:rsidRPr="00000000">
        <w:rPr>
          <w:rFonts w:ascii="Google Sans" w:cs="Google Sans" w:eastAsia="Google Sans" w:hAnsi="Google Sans"/>
          <w:color w:val="1f1f1f"/>
          <w:rtl w:val="0"/>
        </w:rPr>
        <w:t xml:space="preserve"> Automated billing to reduce administrative overhead.</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Data-Driven Governance:</w:t>
      </w:r>
      <w:r w:rsidDel="00000000" w:rsidR="00000000" w:rsidRPr="00000000">
        <w:rPr>
          <w:rFonts w:ascii="Google Sans" w:cs="Google Sans" w:eastAsia="Google Sans" w:hAnsi="Google Sans"/>
          <w:color w:val="1f1f1f"/>
          <w:rtl w:val="0"/>
        </w:rPr>
        <w:t xml:space="preserve"> Evidence-based forecasting and compliance monitoring.</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System Overview and Architectural Philosophy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adopts a modular architecture prioritizing scalability and resilience.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High-Level System Components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 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Administrative Portal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Configuration, user management, dashboards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 API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Golang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 processing and high-concurrency integrations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Mobile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Field collection, enforcement, and real-time receipting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Repository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PostgreSQL &amp; MongoDB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secure data storage and immutable audit logs</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Microservices Architecture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traditional monolithic systems, this platform utilizes independent microservices for each revenue stream. This ensures that maintenance or localized failures do not disrupt the entire system, guaranteeing continuous uptime during peak revenue cycles.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Key Functional Capabilities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Revenue Administration:</w:t>
      </w:r>
      <w:r w:rsidDel="00000000" w:rsidR="00000000" w:rsidRPr="00000000">
        <w:rPr>
          <w:rFonts w:ascii="Google Sans" w:cs="Google Sans" w:eastAsia="Google Sans" w:hAnsi="Google Sans"/>
          <w:color w:val="1f1f1f"/>
          <w:rtl w:val="0"/>
        </w:rPr>
        <w:t xml:space="preserve"> Centralized digitization of fee schedules based on the current </w:t>
      </w:r>
      <w:r w:rsidDel="00000000" w:rsidR="00000000" w:rsidRPr="00000000">
        <w:rPr>
          <w:rFonts w:ascii="Google Sans" w:cs="Google Sans" w:eastAsia="Google Sans" w:hAnsi="Google Sans"/>
          <w:i w:val="1"/>
          <w:iCs w:val="1"/>
          <w:color w:val="1f1f1f"/>
          <w:rtl w:val="0"/>
        </w:rPr>
        <w:t xml:space="preserve">Finance Act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Single Customer View (SCV):</w:t>
      </w:r>
      <w:r w:rsidDel="00000000" w:rsidR="00000000" w:rsidRPr="00000000">
        <w:rPr>
          <w:rFonts w:ascii="Google Sans" w:cs="Google Sans" w:eastAsia="Google Sans" w:hAnsi="Google Sans"/>
          <w:color w:val="1f1f1f"/>
          <w:rtl w:val="0"/>
        </w:rPr>
        <w:t xml:space="preserve"> Unified taxpayer profiles integrated with national databases.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Smart Billing:</w:t>
      </w:r>
      <w:r w:rsidDel="00000000" w:rsidR="00000000" w:rsidRPr="00000000">
        <w:rPr>
          <w:rFonts w:ascii="Google Sans" w:cs="Google Sans" w:eastAsia="Google Sans" w:hAnsi="Google Sans"/>
          <w:color w:val="1f1f1f"/>
          <w:rtl w:val="0"/>
        </w:rPr>
        <w:t xml:space="preserve"> Automated invoice generation with unique payment references.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Enforcement:</w:t>
      </w:r>
      <w:r w:rsidDel="00000000" w:rsidR="00000000" w:rsidRPr="00000000">
        <w:rPr>
          <w:rFonts w:ascii="Google Sans" w:cs="Google Sans" w:eastAsia="Google Sans" w:hAnsi="Google Sans"/>
          <w:color w:val="1f1f1f"/>
          <w:rtl w:val="0"/>
        </w:rPr>
        <w:t xml:space="preserve"> QR-based verification for instant validation of permits in the field.</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Business Intelligence:</w:t>
      </w:r>
      <w:r w:rsidDel="00000000" w:rsidR="00000000" w:rsidRPr="00000000">
        <w:rPr>
          <w:rFonts w:ascii="Google Sans" w:cs="Google Sans" w:eastAsia="Google Sans" w:hAnsi="Google Sans"/>
          <w:color w:val="1f1f1f"/>
          <w:rtl w:val="0"/>
        </w:rPr>
        <w:t xml:space="preserve"> Real-time dashboards providing trend analysis and variance reporting.</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Implementation Status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has achieved full completion across all development phases.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Architecture and UI/UX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Approved Inception Report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development and internal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Review &amp; Test Logs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Payment (M-PESA/Banks) &amp; Messaging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 Test Success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Acceptance Testing (UAT)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Signed Acceptance Certificates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Migration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Legacy data cleanup and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Migration Audit Report</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Integration and Payment Ecosystem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eliminates cash handling through a multi-channel digital ecosystem:</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M-PESA:</w:t>
      </w:r>
      <w:r w:rsidDel="00000000" w:rsidR="00000000" w:rsidRPr="00000000">
        <w:rPr>
          <w:rFonts w:ascii="Google Sans" w:cs="Google Sans" w:eastAsia="Google Sans" w:hAnsi="Google Sans"/>
          <w:color w:val="1f1f1f"/>
          <w:rtl w:val="0"/>
        </w:rPr>
        <w:t xml:space="preserve"> STK Push and C2B Paybill functionality.</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Banking:</w:t>
      </w:r>
      <w:r w:rsidDel="00000000" w:rsidR="00000000" w:rsidRPr="00000000">
        <w:rPr>
          <w:rFonts w:ascii="Google Sans" w:cs="Google Sans" w:eastAsia="Google Sans" w:hAnsi="Google Sans"/>
          <w:color w:val="1f1f1f"/>
          <w:rtl w:val="0"/>
        </w:rPr>
        <w:t xml:space="preserve"> Direct integration with commercial bank APIs.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Accessibility:</w:t>
      </w:r>
      <w:r w:rsidDel="00000000" w:rsidR="00000000" w:rsidRPr="00000000">
        <w:rPr>
          <w:rFonts w:ascii="Google Sans" w:cs="Google Sans" w:eastAsia="Google Sans" w:hAnsi="Google Sans"/>
          <w:color w:val="1f1f1f"/>
          <w:rtl w:val="0"/>
        </w:rPr>
        <w:t xml:space="preserve"> USSD access for non-smartphone users.</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Reconciliation:</w:t>
      </w:r>
      <w:r w:rsidDel="00000000" w:rsidR="00000000" w:rsidRPr="00000000">
        <w:rPr>
          <w:rFonts w:ascii="Google Sans" w:cs="Google Sans" w:eastAsia="Google Sans" w:hAnsi="Google Sans"/>
          <w:color w:val="1f1f1f"/>
          <w:rtl w:val="0"/>
        </w:rPr>
        <w:t xml:space="preserve"> Continuous, automated validation of all transactions to flag discrepancies immediately.</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Operational Readiness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Infrastructure &amp; Support</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w:t>
      </w:r>
      <w:r w:rsidDel="00000000" w:rsidR="00000000" w:rsidRPr="00000000">
        <w:rPr>
          <w:rFonts w:ascii="Google Sans" w:cs="Google Sans" w:eastAsia="Google Sans" w:hAnsi="Google Sans"/>
          <w:color w:val="1f1f1f"/>
          <w:rtl w:val="0"/>
        </w:rPr>
        <w:t xml:space="preserve"> 50 Android-based POS devices configured and tested.</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Connectivity:</w:t>
      </w:r>
      <w:r w:rsidDel="00000000" w:rsidR="00000000" w:rsidRPr="00000000">
        <w:rPr>
          <w:rFonts w:ascii="Google Sans" w:cs="Google Sans" w:eastAsia="Google Sans" w:hAnsi="Google Sans"/>
          <w:color w:val="1f1f1f"/>
          <w:rtl w:val="0"/>
        </w:rPr>
        <w:t xml:space="preserve"> High-speed primary links with secondary failover mechanisms.</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Support SLA: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Priority | Incident Type | Response Time | Resolution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 | :--- | :---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Critical</w:t>
      </w:r>
      <w:r w:rsidDel="00000000" w:rsidR="00000000" w:rsidRPr="00000000">
        <w:rPr>
          <w:rFonts w:ascii="Google Sans" w:cs="Google Sans" w:eastAsia="Google Sans" w:hAnsi="Google Sans"/>
          <w:color w:val="1f1f1f"/>
          <w:rtl w:val="0"/>
        </w:rPr>
        <w:t xml:space="preserve"> | System Outage | 15 Mins | 4 Hours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 Major Functional Failure | 1 Hour | 24 Hours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Medium</w:t>
      </w:r>
      <w:r w:rsidDel="00000000" w:rsidR="00000000" w:rsidRPr="00000000">
        <w:rPr>
          <w:rFonts w:ascii="Google Sans" w:cs="Google Sans" w:eastAsia="Google Sans" w:hAnsi="Google Sans"/>
          <w:color w:val="1f1f1f"/>
          <w:rtl w:val="0"/>
        </w:rPr>
        <w:t xml:space="preserve"> | Minor Issue | 4 Hours | 48 Hours |</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Deployment Plan</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1: Leadership Engagement</w:t>
      </w:r>
      <w:r w:rsidDel="00000000" w:rsidR="00000000" w:rsidRPr="00000000">
        <w:rPr>
          <w:rFonts w:ascii="Google Sans" w:cs="Google Sans" w:eastAsia="Google Sans" w:hAnsi="Google Sans"/>
          <w:color w:val="1f1f1f"/>
          <w:rtl w:val="0"/>
        </w:rPr>
        <w:t xml:space="preserve"> – Executive demonstration and final target approval.</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2: Staff Training</w:t>
      </w:r>
      <w:r w:rsidDel="00000000" w:rsidR="00000000" w:rsidRPr="00000000">
        <w:rPr>
          <w:rFonts w:ascii="Google Sans" w:cs="Google Sans" w:eastAsia="Google Sans" w:hAnsi="Google Sans"/>
          <w:color w:val="1f1f1f"/>
          <w:rtl w:val="0"/>
        </w:rPr>
        <w:t xml:space="preserve"> – Role-based training for revenue officers and accountants.</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3: Pilot Deployment</w:t>
      </w:r>
      <w:r w:rsidDel="00000000" w:rsidR="00000000" w:rsidRPr="00000000">
        <w:rPr>
          <w:rFonts w:ascii="Google Sans" w:cs="Google Sans" w:eastAsia="Google Sans" w:hAnsi="Google Sans"/>
          <w:color w:val="1f1f1f"/>
          <w:rtl w:val="0"/>
        </w:rPr>
        <w:t xml:space="preserve"> – Controlled rollout in high-volume sub-counties.</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4: Full Deployment</w:t>
      </w:r>
      <w:r w:rsidDel="00000000" w:rsidR="00000000" w:rsidRPr="00000000">
        <w:rPr>
          <w:rFonts w:ascii="Google Sans" w:cs="Google Sans" w:eastAsia="Google Sans" w:hAnsi="Google Sans"/>
          <w:color w:val="1f1f1f"/>
          <w:rtl w:val="0"/>
        </w:rPr>
        <w:t xml:space="preserve"> – County-wide rollout and legacy system decommissioning.</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Risk Management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Resistance to change by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 training and change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Connectivity issues in remote 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Offline data synchronization functionality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Cyber threats and data breaches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AES-256 encryption and 24/7 monitoring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Public resistance to new taxes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Awareness campaigns highlighting service delivery</w:t>
            </w:r>
          </w:p>
        </w:tc>
      </w:tr>
    </w:tbl>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Conclusion and Recommendations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County Revenue Automation System is fully developed, validated, and ready for deployment. It provides a secure, scalable platform that positions the County for significantly improved financial performance.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Recommendations: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Approve</w:t>
      </w:r>
      <w:r w:rsidDel="00000000" w:rsidR="00000000" w:rsidRPr="00000000">
        <w:rPr>
          <w:rFonts w:ascii="Google Sans" w:cs="Google Sans" w:eastAsia="Google Sans" w:hAnsi="Google Sans"/>
          <w:color w:val="1f1f1f"/>
          <w:rtl w:val="0"/>
        </w:rPr>
        <w:t xml:space="preserve"> the immediate commencement of staff role-based training.</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Endorse</w:t>
      </w:r>
      <w:r w:rsidDel="00000000" w:rsidR="00000000" w:rsidRPr="00000000">
        <w:rPr>
          <w:rFonts w:ascii="Google Sans" w:cs="Google Sans" w:eastAsia="Google Sans" w:hAnsi="Google Sans"/>
          <w:color w:val="1f1f1f"/>
          <w:rtl w:val="0"/>
        </w:rPr>
        <w:t xml:space="preserve"> the 4-week deployment schedule.</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Formalize</w:t>
      </w:r>
      <w:r w:rsidDel="00000000" w:rsidR="00000000" w:rsidRPr="00000000">
        <w:rPr>
          <w:rFonts w:ascii="Google Sans" w:cs="Google Sans" w:eastAsia="Google Sans" w:hAnsi="Google Sans"/>
          <w:color w:val="1f1f1f"/>
          <w:rtl w:val="0"/>
        </w:rPr>
        <w:t xml:space="preserve"> the transition to a purely cashless revenue collection model.</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Launch</w:t>
      </w:r>
      <w:r w:rsidDel="00000000" w:rsidR="00000000" w:rsidRPr="00000000">
        <w:rPr>
          <w:rFonts w:ascii="Google Sans" w:cs="Google Sans" w:eastAsia="Google Sans" w:hAnsi="Google Sans"/>
          <w:color w:val="1f1f1f"/>
          <w:rtl w:val="0"/>
        </w:rPr>
        <w:t xml:space="preserve"> public awareness initiatives to educate taxpayers on new digital payment channels.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