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br/>
        <w:t>ENCUMBRANCE SEARCH REPORT</w:t>
        <w:br/>
      </w:r>
      <w:r>
        <w:rPr>
          <w:b/>
          <w:sz w:val="27"/>
        </w:rPr>
        <w:t>Commercial Office Premises — Andheri East, Mumbai</w:t>
      </w:r>
    </w:p>
    <w:p>
      <w:pPr>
        <w:jc w:val="center"/>
      </w:pPr>
      <w:r>
        <w:rPr>
          <w:sz w:val="21"/>
        </w:rPr>
        <w:t>Search / Cut-off Date: 30 September 2026</w:t>
        <w:br/>
      </w:r>
      <w:r>
        <w:rPr>
          <w:b/>
          <w:sz w:val="22"/>
        </w:rPr>
        <w:t>FINAL STATUS: NO SUBSISTING ENCUMBRANCE IDENTIFIED (ILLUSTRATIVE)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Particular</w:t>
            </w:r>
          </w:p>
        </w:tc>
        <w:tc>
          <w:tcPr>
            <w:tcW w:type="dxa" w:w="5112"/>
            <w:shd w:fill="E7E6E6"/>
          </w:tcPr>
          <w:p>
            <w:r>
              <w:t>Details</w:t>
            </w:r>
          </w:p>
        </w:tc>
      </w:tr>
      <w:tr>
        <w:tc>
          <w:tcPr>
            <w:tcW w:type="dxa" w:w="5112"/>
            <w:vAlign w:val="center"/>
          </w:tcPr>
          <w:p>
            <w:r>
              <w:t>Property Owner / Proposed Seller</w:t>
            </w:r>
          </w:p>
        </w:tc>
        <w:tc>
          <w:tcPr>
            <w:tcW w:type="dxa" w:w="5112"/>
            <w:vAlign w:val="center"/>
          </w:tcPr>
          <w:p>
            <w:r>
              <w:t>Apex Industrial Assets Private Limited</w:t>
            </w:r>
          </w:p>
        </w:tc>
      </w:tr>
      <w:tr>
        <w:tc>
          <w:tcPr>
            <w:tcW w:type="dxa" w:w="5112"/>
            <w:vAlign w:val="center"/>
          </w:tcPr>
          <w:p>
            <w:r>
              <w:t>Proposed Purchaser</w:t>
            </w:r>
          </w:p>
        </w:tc>
        <w:tc>
          <w:tcPr>
            <w:tcW w:type="dxa" w:w="5112"/>
            <w:vAlign w:val="center"/>
          </w:tcPr>
          <w:p>
            <w:r>
              <w:t>LMN Asset Pvt. Ltd.</w:t>
            </w:r>
          </w:p>
        </w:tc>
      </w:tr>
      <w:tr>
        <w:tc>
          <w:tcPr>
            <w:tcW w:type="dxa" w:w="5112"/>
            <w:vAlign w:val="center"/>
          </w:tcPr>
          <w:p>
            <w:r>
              <w:t>Property</w:t>
            </w:r>
          </w:p>
        </w:tc>
        <w:tc>
          <w:tcPr>
            <w:tcW w:type="dxa" w:w="5112"/>
            <w:vAlign w:val="center"/>
          </w:tcPr>
          <w:p>
            <w:r>
              <w:t>Commercial office premises</w:t>
            </w:r>
          </w:p>
        </w:tc>
      </w:tr>
      <w:tr>
        <w:tc>
          <w:tcPr>
            <w:tcW w:type="dxa" w:w="5112"/>
            <w:vAlign w:val="center"/>
          </w:tcPr>
          <w:p>
            <w:r>
              <w:t>Location</w:t>
            </w:r>
          </w:p>
        </w:tc>
        <w:tc>
          <w:tcPr>
            <w:tcW w:type="dxa" w:w="5112"/>
            <w:vAlign w:val="center"/>
          </w:tcPr>
          <w:p>
            <w:r>
              <w:t>Andheri East, Mumbai, Maharashtra</w:t>
            </w:r>
          </w:p>
        </w:tc>
      </w:tr>
      <w:tr>
        <w:tc>
          <w:tcPr>
            <w:tcW w:type="dxa" w:w="5112"/>
            <w:vAlign w:val="center"/>
          </w:tcPr>
          <w:p>
            <w:r>
              <w:t>Approximate Area</w:t>
            </w:r>
          </w:p>
        </w:tc>
        <w:tc>
          <w:tcPr>
            <w:tcW w:type="dxa" w:w="5112"/>
            <w:vAlign w:val="center"/>
          </w:tcPr>
          <w:p>
            <w:r>
              <w:t>3,250 sq. ft.</w:t>
            </w:r>
          </w:p>
        </w:tc>
      </w:tr>
      <w:tr>
        <w:tc>
          <w:tcPr>
            <w:tcW w:type="dxa" w:w="5112"/>
            <w:vAlign w:val="center"/>
          </w:tcPr>
          <w:p>
            <w:r>
              <w:t>Indicative Unit / Property No.</w:t>
            </w:r>
          </w:p>
        </w:tc>
        <w:tc>
          <w:tcPr>
            <w:tcW w:type="dxa" w:w="5112"/>
            <w:vAlign w:val="center"/>
          </w:tcPr>
          <w:p>
            <w:r>
              <w:t>Office Unit 7B, Western Business Centre</w:t>
            </w:r>
          </w:p>
        </w:tc>
      </w:tr>
      <w:tr>
        <w:tc>
          <w:tcPr>
            <w:tcW w:type="dxa" w:w="5112"/>
            <w:vAlign w:val="center"/>
          </w:tcPr>
          <w:p>
            <w:r>
              <w:t>Illustrative Survey / CTS Reference</w:t>
            </w:r>
          </w:p>
        </w:tc>
        <w:tc>
          <w:tcPr>
            <w:tcW w:type="dxa" w:w="5112"/>
            <w:vAlign w:val="center"/>
          </w:tcPr>
          <w:p>
            <w:r>
              <w:t>CTS No. 118/3A, Andheri East</w:t>
            </w:r>
          </w:p>
        </w:tc>
      </w:tr>
      <w:tr>
        <w:tc>
          <w:tcPr>
            <w:tcW w:type="dxa" w:w="5112"/>
            <w:vAlign w:val="center"/>
          </w:tcPr>
          <w:p>
            <w:r>
              <w:t>Search Period</w:t>
            </w:r>
          </w:p>
        </w:tc>
        <w:tc>
          <w:tcPr>
            <w:tcW w:type="dxa" w:w="5112"/>
            <w:vAlign w:val="center"/>
          </w:tcPr>
          <w:p>
            <w:r>
              <w:t>1 April 2016 to 30 September 2026</w:t>
            </w:r>
          </w:p>
        </w:tc>
      </w:tr>
      <w:tr>
        <w:tc>
          <w:tcPr>
            <w:tcW w:type="dxa" w:w="5112"/>
            <w:vAlign w:val="center"/>
          </w:tcPr>
          <w:p>
            <w:r>
              <w:t>Search Status</w:t>
            </w:r>
          </w:p>
        </w:tc>
        <w:tc>
          <w:tcPr>
            <w:tcW w:type="dxa" w:w="5112"/>
            <w:vAlign w:val="center"/>
          </w:tcPr>
          <w:p>
            <w:r>
              <w:t>Historical encumbrances identified; all listed matters subsequently discharged/resolved</w:t>
            </w:r>
          </w:p>
        </w:tc>
      </w:tr>
    </w:tbl>
    <w:p>
      <w:r>
        <w:br w:type="page"/>
      </w:r>
    </w:p>
    <w:p>
      <w:pPr>
        <w:pStyle w:val="Heading1"/>
      </w:pPr>
      <w:r>
        <w:t>1. PURPOSE OF THIS REPORT</w:t>
      </w:r>
    </w:p>
    <w:p>
      <w:r>
        <w:t>This Encumbrance Search Report (“Report”) has been prepared as an illustrative transaction document for LMN Asset Pvt. Ltd. in connection with the proposed acquisition of the commercial office property described in this Report. It presents a hypothetical historical chain of loans, charges, disputes and releases and concludes that no subsisting encumbrance remains as at 30 September 2026.</w:t>
      </w:r>
    </w:p>
    <w:p>
      <w:r>
        <w:t>This document contains dummy data and is not an Encumbrance Certificate issued by a Sub-Registrar, registration authority, court, bank or other governmental/statutory authority. It must not be presented as an official certificate.</w:t>
      </w:r>
    </w:p>
    <w:p>
      <w:pPr>
        <w:pStyle w:val="Heading1"/>
      </w:pPr>
      <w:r>
        <w:t>2. PROPERTY IDENTIFICATION</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Property Particular</w:t>
            </w:r>
          </w:p>
        </w:tc>
        <w:tc>
          <w:tcPr>
            <w:tcW w:type="dxa" w:w="5112"/>
            <w:shd w:fill="E7E6E6"/>
          </w:tcPr>
          <w:p>
            <w:r>
              <w:t>Description</w:t>
            </w:r>
          </w:p>
        </w:tc>
      </w:tr>
      <w:tr>
        <w:tc>
          <w:tcPr>
            <w:tcW w:type="dxa" w:w="5112"/>
            <w:vAlign w:val="center"/>
          </w:tcPr>
          <w:p>
            <w:r>
              <w:t>Property Type</w:t>
            </w:r>
          </w:p>
        </w:tc>
        <w:tc>
          <w:tcPr>
            <w:tcW w:type="dxa" w:w="5112"/>
            <w:vAlign w:val="center"/>
          </w:tcPr>
          <w:p>
            <w:r>
              <w:t>Commercial office premises</w:t>
            </w:r>
          </w:p>
        </w:tc>
      </w:tr>
      <w:tr>
        <w:tc>
          <w:tcPr>
            <w:tcW w:type="dxa" w:w="5112"/>
            <w:vAlign w:val="center"/>
          </w:tcPr>
          <w:p>
            <w:r>
              <w:t>Building</w:t>
            </w:r>
          </w:p>
        </w:tc>
        <w:tc>
          <w:tcPr>
            <w:tcW w:type="dxa" w:w="5112"/>
            <w:vAlign w:val="center"/>
          </w:tcPr>
          <w:p>
            <w:r>
              <w:t>Western Business Centre</w:t>
            </w:r>
          </w:p>
        </w:tc>
      </w:tr>
      <w:tr>
        <w:tc>
          <w:tcPr>
            <w:tcW w:type="dxa" w:w="5112"/>
            <w:vAlign w:val="center"/>
          </w:tcPr>
          <w:p>
            <w:r>
              <w:t>Unit</w:t>
            </w:r>
          </w:p>
        </w:tc>
        <w:tc>
          <w:tcPr>
            <w:tcW w:type="dxa" w:w="5112"/>
            <w:vAlign w:val="center"/>
          </w:tcPr>
          <w:p>
            <w:r>
              <w:t>Office Unit 7B</w:t>
            </w:r>
          </w:p>
        </w:tc>
      </w:tr>
      <w:tr>
        <w:tc>
          <w:tcPr>
            <w:tcW w:type="dxa" w:w="5112"/>
            <w:vAlign w:val="center"/>
          </w:tcPr>
          <w:p>
            <w:r>
              <w:t>Location</w:t>
            </w:r>
          </w:p>
        </w:tc>
        <w:tc>
          <w:tcPr>
            <w:tcW w:type="dxa" w:w="5112"/>
            <w:vAlign w:val="center"/>
          </w:tcPr>
          <w:p>
            <w:r>
              <w:t>Andheri East, Mumbai, Maharashtra 400069</w:t>
            </w:r>
          </w:p>
        </w:tc>
      </w:tr>
      <w:tr>
        <w:tc>
          <w:tcPr>
            <w:tcW w:type="dxa" w:w="5112"/>
            <w:vAlign w:val="center"/>
          </w:tcPr>
          <w:p>
            <w:r>
              <w:t>Area</w:t>
            </w:r>
          </w:p>
        </w:tc>
        <w:tc>
          <w:tcPr>
            <w:tcW w:type="dxa" w:w="5112"/>
            <w:vAlign w:val="center"/>
          </w:tcPr>
          <w:p>
            <w:r>
              <w:t>3,250 sq. ft. (approx.)</w:t>
            </w:r>
          </w:p>
        </w:tc>
      </w:tr>
      <w:tr>
        <w:tc>
          <w:tcPr>
            <w:tcW w:type="dxa" w:w="5112"/>
            <w:vAlign w:val="center"/>
          </w:tcPr>
          <w:p>
            <w:r>
              <w:t>CTS / Survey Reference</w:t>
            </w:r>
          </w:p>
        </w:tc>
        <w:tc>
          <w:tcPr>
            <w:tcW w:type="dxa" w:w="5112"/>
            <w:vAlign w:val="center"/>
          </w:tcPr>
          <w:p>
            <w:r>
              <w:t>CTS No. 118/3A, Andheri East</w:t>
            </w:r>
          </w:p>
        </w:tc>
      </w:tr>
      <w:tr>
        <w:tc>
          <w:tcPr>
            <w:tcW w:type="dxa" w:w="5112"/>
            <w:vAlign w:val="center"/>
          </w:tcPr>
          <w:p>
            <w:r>
              <w:t>Current Owner</w:t>
            </w:r>
          </w:p>
        </w:tc>
        <w:tc>
          <w:tcPr>
            <w:tcW w:type="dxa" w:w="5112"/>
            <w:vAlign w:val="center"/>
          </w:tcPr>
          <w:p>
            <w:r>
              <w:t>Apex Industrial Assets Private Limited</w:t>
            </w:r>
          </w:p>
        </w:tc>
      </w:tr>
      <w:tr>
        <w:tc>
          <w:tcPr>
            <w:tcW w:type="dxa" w:w="5112"/>
            <w:vAlign w:val="center"/>
          </w:tcPr>
          <w:p>
            <w:r>
              <w:t>Intended Transferee</w:t>
            </w:r>
          </w:p>
        </w:tc>
        <w:tc>
          <w:tcPr>
            <w:tcW w:type="dxa" w:w="5112"/>
            <w:vAlign w:val="center"/>
          </w:tcPr>
          <w:p>
            <w:r>
              <w:t>LMN Asset Pvt. Ltd.</w:t>
            </w:r>
          </w:p>
        </w:tc>
      </w:tr>
      <w:tr>
        <w:tc>
          <w:tcPr>
            <w:tcW w:type="dxa" w:w="5112"/>
            <w:vAlign w:val="center"/>
          </w:tcPr>
          <w:p>
            <w:r>
              <w:t>Proposed Sale Consideration</w:t>
            </w:r>
          </w:p>
        </w:tc>
        <w:tc>
          <w:tcPr>
            <w:tcW w:type="dxa" w:w="5112"/>
            <w:vAlign w:val="center"/>
          </w:tcPr>
          <w:p>
            <w:r>
              <w:t>₹12,50,00,000</w:t>
            </w:r>
          </w:p>
        </w:tc>
      </w:tr>
    </w:tbl>
    <w:p>
      <w:pPr>
        <w:pStyle w:val="Heading1"/>
      </w:pPr>
      <w:r>
        <w:t>3. SEARCH PARAMETERS AND RECORDS REVIEWED</w:t>
      </w:r>
    </w:p>
    <w:p>
      <w:r>
        <w:t>For this illustrative report, the assumed search covers the period from 1 April 2016 through 30 September 2026. The hypothetical review includes registered instruments, mortgage/charge releases, court-dispute records, municipal demand records, contractor claims and lender no-dues/release documentation.</w:t>
      </w:r>
    </w:p>
    <w:p>
      <w:pPr>
        <w:pStyle w:val="ListBullet"/>
      </w:pPr>
      <w:r>
        <w:t>Illustrative Sub-Registrar registration index and property transaction records.</w:t>
      </w:r>
    </w:p>
    <w:p>
      <w:pPr>
        <w:pStyle w:val="ListBullet"/>
      </w:pPr>
      <w:r>
        <w:t>Illustrative mortgage and charge records relating to the Property.</w:t>
      </w:r>
    </w:p>
    <w:p>
      <w:pPr>
        <w:pStyle w:val="ListBullet"/>
      </w:pPr>
      <w:r>
        <w:t>Illustrative bank No-Dues Certificates and Deeds of Release.</w:t>
      </w:r>
    </w:p>
    <w:p>
      <w:pPr>
        <w:pStyle w:val="ListBullet"/>
      </w:pPr>
      <w:r>
        <w:t>Illustrative civil dispute / settlement documentation.</w:t>
      </w:r>
    </w:p>
    <w:p>
      <w:pPr>
        <w:pStyle w:val="ListBullet"/>
      </w:pPr>
      <w:r>
        <w:t>Illustrative municipal tax demand and payment records.</w:t>
      </w:r>
    </w:p>
    <w:p>
      <w:pPr>
        <w:pStyle w:val="ListBullet"/>
      </w:pPr>
      <w:r>
        <w:t>Illustrative contractor settlement and release documentation.</w:t>
      </w:r>
    </w:p>
    <w:p>
      <w:pPr>
        <w:pStyle w:val="Heading1"/>
      </w:pPr>
      <w:r>
        <w:t>4. HISTORICAL ENCUMBRANCES AND THEIR DISCHARGE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7E6E6"/>
          </w:tcPr>
          <w:p>
            <w:r>
              <w:t>No.</w:t>
            </w:r>
          </w:p>
        </w:tc>
        <w:tc>
          <w:tcPr>
            <w:tcW w:type="dxa" w:w="2556"/>
            <w:shd w:fill="E7E6E6"/>
          </w:tcPr>
          <w:p>
            <w:r>
              <w:t>Historical Encumbrance</w:t>
            </w:r>
          </w:p>
        </w:tc>
        <w:tc>
          <w:tcPr>
            <w:tcW w:type="dxa" w:w="2556"/>
            <w:shd w:fill="E7E6E6"/>
          </w:tcPr>
          <w:p>
            <w:r>
              <w:t>Amount / Claim</w:t>
            </w:r>
          </w:p>
        </w:tc>
        <w:tc>
          <w:tcPr>
            <w:tcW w:type="dxa" w:w="2556"/>
            <w:shd w:fill="E7E6E6"/>
          </w:tcPr>
          <w:p>
            <w:r>
              <w:t>Final Status</w:t>
            </w:r>
          </w:p>
        </w:tc>
      </w:tr>
      <w:tr>
        <w:tc>
          <w:tcPr>
            <w:tcW w:type="dxa" w:w="2556"/>
            <w:vAlign w:val="center"/>
          </w:tcPr>
          <w:p>
            <w:r>
              <w:t>1</w:t>
            </w:r>
          </w:p>
        </w:tc>
        <w:tc>
          <w:tcPr>
            <w:tcW w:type="dxa" w:w="2556"/>
            <w:vAlign w:val="center"/>
          </w:tcPr>
          <w:p>
            <w:r>
              <w:t>Mortgage / Term Loan — HDFC Bank Ltd.</w:t>
            </w:r>
          </w:p>
        </w:tc>
        <w:tc>
          <w:tcPr>
            <w:tcW w:type="dxa" w:w="2556"/>
            <w:vAlign w:val="center"/>
          </w:tcPr>
          <w:p>
            <w:r>
              <w:t>₹4.50 crore</w:t>
            </w:r>
          </w:p>
        </w:tc>
        <w:tc>
          <w:tcPr>
            <w:tcW w:type="dxa" w:w="2556"/>
            <w:vAlign w:val="center"/>
          </w:tcPr>
          <w:p>
            <w:r>
              <w:t>Repaid; mortgage released</w:t>
            </w:r>
          </w:p>
        </w:tc>
      </w:tr>
      <w:tr>
        <w:tc>
          <w:tcPr>
            <w:tcW w:type="dxa" w:w="2556"/>
            <w:vAlign w:val="center"/>
          </w:tcPr>
          <w:p>
            <w:r>
              <w:t>2</w:t>
            </w:r>
          </w:p>
        </w:tc>
        <w:tc>
          <w:tcPr>
            <w:tcW w:type="dxa" w:w="2556"/>
            <w:vAlign w:val="center"/>
          </w:tcPr>
          <w:p>
            <w:r>
              <w:t>Working Capital Charge — ICICI Bank Ltd.</w:t>
            </w:r>
          </w:p>
        </w:tc>
        <w:tc>
          <w:tcPr>
            <w:tcW w:type="dxa" w:w="2556"/>
            <w:vAlign w:val="center"/>
          </w:tcPr>
          <w:p>
            <w:r>
              <w:t>₹2.25 crore</w:t>
            </w:r>
          </w:p>
        </w:tc>
        <w:tc>
          <w:tcPr>
            <w:tcW w:type="dxa" w:w="2556"/>
            <w:vAlign w:val="center"/>
          </w:tcPr>
          <w:p>
            <w:r>
              <w:t>Fully discharged; charge satisfied</w:t>
            </w:r>
          </w:p>
        </w:tc>
      </w:tr>
      <w:tr>
        <w:tc>
          <w:tcPr>
            <w:tcW w:type="dxa" w:w="2556"/>
            <w:vAlign w:val="center"/>
          </w:tcPr>
          <w:p>
            <w:r>
              <w:t>3</w:t>
            </w:r>
          </w:p>
        </w:tc>
        <w:tc>
          <w:tcPr>
            <w:tcW w:type="dxa" w:w="2556"/>
            <w:vAlign w:val="center"/>
          </w:tcPr>
          <w:p>
            <w:r>
              <w:t>Civil title / ownership dispute</w:t>
            </w:r>
          </w:p>
        </w:tc>
        <w:tc>
          <w:tcPr>
            <w:tcW w:type="dxa" w:w="2556"/>
            <w:vAlign w:val="center"/>
          </w:tcPr>
          <w:p>
            <w:r>
              <w:t>Unquantified</w:t>
            </w:r>
          </w:p>
        </w:tc>
        <w:tc>
          <w:tcPr>
            <w:tcW w:type="dxa" w:w="2556"/>
            <w:vAlign w:val="center"/>
          </w:tcPr>
          <w:p>
            <w:r>
              <w:t>Settled; claim withdrawn</w:t>
            </w:r>
          </w:p>
        </w:tc>
      </w:tr>
      <w:tr>
        <w:tc>
          <w:tcPr>
            <w:tcW w:type="dxa" w:w="2556"/>
            <w:vAlign w:val="center"/>
          </w:tcPr>
          <w:p>
            <w:r>
              <w:t>4</w:t>
            </w:r>
          </w:p>
        </w:tc>
        <w:tc>
          <w:tcPr>
            <w:tcW w:type="dxa" w:w="2556"/>
            <w:vAlign w:val="center"/>
          </w:tcPr>
          <w:p>
            <w:r>
              <w:t>Municipal property-tax demand dispute</w:t>
            </w:r>
          </w:p>
        </w:tc>
        <w:tc>
          <w:tcPr>
            <w:tcW w:type="dxa" w:w="2556"/>
            <w:vAlign w:val="center"/>
          </w:tcPr>
          <w:p>
            <w:r>
              <w:t>₹18.75 lakh</w:t>
            </w:r>
          </w:p>
        </w:tc>
        <w:tc>
          <w:tcPr>
            <w:tcW w:type="dxa" w:w="2556"/>
            <w:vAlign w:val="center"/>
          </w:tcPr>
          <w:p>
            <w:r>
              <w:t>Paid; demand closed</w:t>
            </w:r>
          </w:p>
        </w:tc>
      </w:tr>
      <w:tr>
        <w:tc>
          <w:tcPr>
            <w:tcW w:type="dxa" w:w="2556"/>
            <w:vAlign w:val="center"/>
          </w:tcPr>
          <w:p>
            <w:r>
              <w:t>5</w:t>
            </w:r>
          </w:p>
        </w:tc>
        <w:tc>
          <w:tcPr>
            <w:tcW w:type="dxa" w:w="2556"/>
            <w:vAlign w:val="center"/>
          </w:tcPr>
          <w:p>
            <w:r>
              <w:t>Contractor payment claim / lien</w:t>
            </w:r>
          </w:p>
        </w:tc>
        <w:tc>
          <w:tcPr>
            <w:tcW w:type="dxa" w:w="2556"/>
            <w:vAlign w:val="center"/>
          </w:tcPr>
          <w:p>
            <w:r>
              <w:t>₹42.00 lakh</w:t>
            </w:r>
          </w:p>
        </w:tc>
        <w:tc>
          <w:tcPr>
            <w:tcW w:type="dxa" w:w="2556"/>
            <w:vAlign w:val="center"/>
          </w:tcPr>
          <w:p>
            <w:r>
              <w:t>Settled; release obtained</w:t>
            </w:r>
          </w:p>
        </w:tc>
      </w:tr>
      <w:tr>
        <w:tc>
          <w:tcPr>
            <w:tcW w:type="dxa" w:w="2556"/>
            <w:vAlign w:val="center"/>
          </w:tcPr>
          <w:p>
            <w:r>
              <w:t>6</w:t>
            </w:r>
          </w:p>
        </w:tc>
        <w:tc>
          <w:tcPr>
            <w:tcW w:type="dxa" w:w="2556"/>
            <w:vAlign w:val="center"/>
          </w:tcPr>
          <w:p>
            <w:r>
              <w:t>Residual bank charge from earlier facility — HDFC Bank Ltd.</w:t>
            </w:r>
          </w:p>
        </w:tc>
        <w:tc>
          <w:tcPr>
            <w:tcW w:type="dxa" w:w="2556"/>
            <w:vAlign w:val="center"/>
          </w:tcPr>
          <w:p>
            <w:r>
              <w:t>₹1.10 crore</w:t>
            </w:r>
          </w:p>
        </w:tc>
        <w:tc>
          <w:tcPr>
            <w:tcW w:type="dxa" w:w="2556"/>
            <w:vAlign w:val="center"/>
          </w:tcPr>
          <w:p>
            <w:r>
              <w:t>Repaid; release recorded</w:t>
            </w:r>
          </w:p>
        </w:tc>
      </w:tr>
    </w:tbl>
    <w:p>
      <w:pPr>
        <w:pStyle w:val="Heading1"/>
      </w:pPr>
      <w:r>
        <w:t>5. DETAILS OF HISTORICAL LOANS AND CHARGES</w:t>
      </w:r>
    </w:p>
    <w:p>
      <w:pPr>
        <w:pStyle w:val="Heading2"/>
      </w:pPr>
      <w:r>
        <w:t>5.1 HDFC Bank — Term Loan and Mortgage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Instrument</w:t>
            </w:r>
          </w:p>
        </w:tc>
        <w:tc>
          <w:tcPr>
            <w:tcW w:type="dxa" w:w="5112"/>
            <w:shd w:fill="E7E6E6"/>
          </w:tcPr>
          <w:p>
            <w:r>
              <w:t>Illustrative Details</w:t>
            </w:r>
          </w:p>
        </w:tc>
      </w:tr>
      <w:tr>
        <w:tc>
          <w:tcPr>
            <w:tcW w:type="dxa" w:w="5112"/>
            <w:vAlign w:val="center"/>
          </w:tcPr>
          <w:p>
            <w:r>
              <w:t>Lender</w:t>
            </w:r>
          </w:p>
        </w:tc>
        <w:tc>
          <w:tcPr>
            <w:tcW w:type="dxa" w:w="5112"/>
            <w:vAlign w:val="center"/>
          </w:tcPr>
          <w:p>
            <w:r>
              <w:t>HDFC Bank Limited</w:t>
            </w:r>
          </w:p>
        </w:tc>
      </w:tr>
      <w:tr>
        <w:tc>
          <w:tcPr>
            <w:tcW w:type="dxa" w:w="5112"/>
            <w:vAlign w:val="center"/>
          </w:tcPr>
          <w:p>
            <w:r>
              <w:t>Borrower / Chargor</w:t>
            </w:r>
          </w:p>
        </w:tc>
        <w:tc>
          <w:tcPr>
            <w:tcW w:type="dxa" w:w="5112"/>
            <w:vAlign w:val="center"/>
          </w:tcPr>
          <w:p>
            <w:r>
              <w:t>Apex Industrial Assets Private Limited</w:t>
            </w:r>
          </w:p>
        </w:tc>
      </w:tr>
      <w:tr>
        <w:tc>
          <w:tcPr>
            <w:tcW w:type="dxa" w:w="5112"/>
            <w:vAlign w:val="center"/>
          </w:tcPr>
          <w:p>
            <w:r>
              <w:t>Original Facility</w:t>
            </w:r>
          </w:p>
        </w:tc>
        <w:tc>
          <w:tcPr>
            <w:tcW w:type="dxa" w:w="5112"/>
            <w:vAlign w:val="center"/>
          </w:tcPr>
          <w:p>
            <w:r>
              <w:t>Term Loan</w:t>
            </w:r>
          </w:p>
        </w:tc>
      </w:tr>
      <w:tr>
        <w:tc>
          <w:tcPr>
            <w:tcW w:type="dxa" w:w="5112"/>
            <w:vAlign w:val="center"/>
          </w:tcPr>
          <w:p>
            <w:r>
              <w:t>Original Secured Amount</w:t>
            </w:r>
          </w:p>
        </w:tc>
        <w:tc>
          <w:tcPr>
            <w:tcW w:type="dxa" w:w="5112"/>
            <w:vAlign w:val="center"/>
          </w:tcPr>
          <w:p>
            <w:r>
              <w:t>₹4,50,00,000</w:t>
            </w:r>
          </w:p>
        </w:tc>
      </w:tr>
      <w:tr>
        <w:tc>
          <w:tcPr>
            <w:tcW w:type="dxa" w:w="5112"/>
            <w:vAlign w:val="center"/>
          </w:tcPr>
          <w:p>
            <w:r>
              <w:t>Illustrative Mortgage Date</w:t>
            </w:r>
          </w:p>
        </w:tc>
        <w:tc>
          <w:tcPr>
            <w:tcW w:type="dxa" w:w="5112"/>
            <w:vAlign w:val="center"/>
          </w:tcPr>
          <w:p>
            <w:r>
              <w:t>15 June 2018</w:t>
            </w:r>
          </w:p>
        </w:tc>
      </w:tr>
      <w:tr>
        <w:tc>
          <w:tcPr>
            <w:tcW w:type="dxa" w:w="5112"/>
            <w:vAlign w:val="center"/>
          </w:tcPr>
          <w:p>
            <w:r>
              <w:t>Illustrative Registration No.</w:t>
            </w:r>
          </w:p>
        </w:tc>
        <w:tc>
          <w:tcPr>
            <w:tcW w:type="dxa" w:w="5112"/>
            <w:vAlign w:val="center"/>
          </w:tcPr>
          <w:p>
            <w:r>
              <w:t>MUM/AND/2018/064821</w:t>
            </w:r>
          </w:p>
        </w:tc>
      </w:tr>
      <w:tr>
        <w:tc>
          <w:tcPr>
            <w:tcW w:type="dxa" w:w="5112"/>
            <w:vAlign w:val="center"/>
          </w:tcPr>
          <w:p>
            <w:r>
              <w:t>Repayment Date</w:t>
            </w:r>
          </w:p>
        </w:tc>
        <w:tc>
          <w:tcPr>
            <w:tcW w:type="dxa" w:w="5112"/>
            <w:vAlign w:val="center"/>
          </w:tcPr>
          <w:p>
            <w:r>
              <w:t>20 December 2021</w:t>
            </w:r>
          </w:p>
        </w:tc>
      </w:tr>
      <w:tr>
        <w:tc>
          <w:tcPr>
            <w:tcW w:type="dxa" w:w="5112"/>
            <w:vAlign w:val="center"/>
          </w:tcPr>
          <w:p>
            <w:r>
              <w:t>Release Instrument</w:t>
            </w:r>
          </w:p>
        </w:tc>
        <w:tc>
          <w:tcPr>
            <w:tcW w:type="dxa" w:w="5112"/>
            <w:vAlign w:val="center"/>
          </w:tcPr>
          <w:p>
            <w:r>
              <w:t>Deed of Release of Mortgage</w:t>
            </w:r>
          </w:p>
        </w:tc>
      </w:tr>
      <w:tr>
        <w:tc>
          <w:tcPr>
            <w:tcW w:type="dxa" w:w="5112"/>
            <w:vAlign w:val="center"/>
          </w:tcPr>
          <w:p>
            <w:r>
              <w:t>Illustrative Release No.</w:t>
            </w:r>
          </w:p>
        </w:tc>
        <w:tc>
          <w:tcPr>
            <w:tcW w:type="dxa" w:w="5112"/>
            <w:vAlign w:val="center"/>
          </w:tcPr>
          <w:p>
            <w:r>
              <w:t>MUM/AND/2022/011584</w:t>
            </w:r>
          </w:p>
        </w:tc>
      </w:tr>
      <w:tr>
        <w:tc>
          <w:tcPr>
            <w:tcW w:type="dxa" w:w="5112"/>
            <w:vAlign w:val="center"/>
          </w:tcPr>
          <w:p>
            <w:r>
              <w:t>Status as at 30 Sep 2026</w:t>
            </w:r>
          </w:p>
        </w:tc>
        <w:tc>
          <w:tcPr>
            <w:tcW w:type="dxa" w:w="5112"/>
            <w:vAlign w:val="center"/>
          </w:tcPr>
          <w:p>
            <w:r>
              <w:t>FULLY RELEASED — NO SUBSISTING CHARGE</w:t>
            </w:r>
          </w:p>
        </w:tc>
      </w:tr>
    </w:tbl>
    <w:p>
      <w:pPr>
        <w:pStyle w:val="Heading2"/>
      </w:pPr>
      <w:r>
        <w:t>5.2 ICICI Bank — Working Capital Facility</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Instrument</w:t>
            </w:r>
          </w:p>
        </w:tc>
        <w:tc>
          <w:tcPr>
            <w:tcW w:type="dxa" w:w="5112"/>
            <w:shd w:fill="E7E6E6"/>
          </w:tcPr>
          <w:p>
            <w:r>
              <w:t>Illustrative Details</w:t>
            </w:r>
          </w:p>
        </w:tc>
      </w:tr>
      <w:tr>
        <w:tc>
          <w:tcPr>
            <w:tcW w:type="dxa" w:w="5112"/>
            <w:vAlign w:val="center"/>
          </w:tcPr>
          <w:p>
            <w:r>
              <w:t>Lender</w:t>
            </w:r>
          </w:p>
        </w:tc>
        <w:tc>
          <w:tcPr>
            <w:tcW w:type="dxa" w:w="5112"/>
            <w:vAlign w:val="center"/>
          </w:tcPr>
          <w:p>
            <w:r>
              <w:t>ICICI Bank Limited</w:t>
            </w:r>
          </w:p>
        </w:tc>
      </w:tr>
      <w:tr>
        <w:tc>
          <w:tcPr>
            <w:tcW w:type="dxa" w:w="5112"/>
            <w:vAlign w:val="center"/>
          </w:tcPr>
          <w:p>
            <w:r>
              <w:t>Borrower / Chargor</w:t>
            </w:r>
          </w:p>
        </w:tc>
        <w:tc>
          <w:tcPr>
            <w:tcW w:type="dxa" w:w="5112"/>
            <w:vAlign w:val="center"/>
          </w:tcPr>
          <w:p>
            <w:r>
              <w:t>Apex Industrial Assets Private Limited</w:t>
            </w:r>
          </w:p>
        </w:tc>
      </w:tr>
      <w:tr>
        <w:tc>
          <w:tcPr>
            <w:tcW w:type="dxa" w:w="5112"/>
            <w:vAlign w:val="center"/>
          </w:tcPr>
          <w:p>
            <w:r>
              <w:t>Facility</w:t>
            </w:r>
          </w:p>
        </w:tc>
        <w:tc>
          <w:tcPr>
            <w:tcW w:type="dxa" w:w="5112"/>
            <w:vAlign w:val="center"/>
          </w:tcPr>
          <w:p>
            <w:r>
              <w:t>Working Capital / Cash Credit</w:t>
            </w:r>
          </w:p>
        </w:tc>
      </w:tr>
      <w:tr>
        <w:tc>
          <w:tcPr>
            <w:tcW w:type="dxa" w:w="5112"/>
            <w:vAlign w:val="center"/>
          </w:tcPr>
          <w:p>
            <w:r>
              <w:t>Original Secured Amount</w:t>
            </w:r>
          </w:p>
        </w:tc>
        <w:tc>
          <w:tcPr>
            <w:tcW w:type="dxa" w:w="5112"/>
            <w:vAlign w:val="center"/>
          </w:tcPr>
          <w:p>
            <w:r>
              <w:t>₹2,25,00,000</w:t>
            </w:r>
          </w:p>
        </w:tc>
      </w:tr>
      <w:tr>
        <w:tc>
          <w:tcPr>
            <w:tcW w:type="dxa" w:w="5112"/>
            <w:vAlign w:val="center"/>
          </w:tcPr>
          <w:p>
            <w:r>
              <w:t>Illustrative Charge Date</w:t>
            </w:r>
          </w:p>
        </w:tc>
        <w:tc>
          <w:tcPr>
            <w:tcW w:type="dxa" w:w="5112"/>
            <w:vAlign w:val="center"/>
          </w:tcPr>
          <w:p>
            <w:r>
              <w:t>10 February 2020</w:t>
            </w:r>
          </w:p>
        </w:tc>
      </w:tr>
      <w:tr>
        <w:tc>
          <w:tcPr>
            <w:tcW w:type="dxa" w:w="5112"/>
            <w:vAlign w:val="center"/>
          </w:tcPr>
          <w:p>
            <w:r>
              <w:t>Illustrative Registration No.</w:t>
            </w:r>
          </w:p>
        </w:tc>
        <w:tc>
          <w:tcPr>
            <w:tcW w:type="dxa" w:w="5112"/>
            <w:vAlign w:val="center"/>
          </w:tcPr>
          <w:p>
            <w:r>
              <w:t>MUM/AND/2020/018732</w:t>
            </w:r>
          </w:p>
        </w:tc>
      </w:tr>
      <w:tr>
        <w:tc>
          <w:tcPr>
            <w:tcW w:type="dxa" w:w="5112"/>
            <w:vAlign w:val="center"/>
          </w:tcPr>
          <w:p>
            <w:r>
              <w:t>Discharge Date</w:t>
            </w:r>
          </w:p>
        </w:tc>
        <w:tc>
          <w:tcPr>
            <w:tcW w:type="dxa" w:w="5112"/>
            <w:vAlign w:val="center"/>
          </w:tcPr>
          <w:p>
            <w:r>
              <w:t>31 August 2023</w:t>
            </w:r>
          </w:p>
        </w:tc>
      </w:tr>
      <w:tr>
        <w:tc>
          <w:tcPr>
            <w:tcW w:type="dxa" w:w="5112"/>
            <w:vAlign w:val="center"/>
          </w:tcPr>
          <w:p>
            <w:r>
              <w:t>Discharge / No-Dues Ref.</w:t>
            </w:r>
          </w:p>
        </w:tc>
        <w:tc>
          <w:tcPr>
            <w:tcW w:type="dxa" w:w="5112"/>
            <w:vAlign w:val="center"/>
          </w:tcPr>
          <w:p>
            <w:r>
              <w:t>ICICI/ND/2023/88314</w:t>
            </w:r>
          </w:p>
        </w:tc>
      </w:tr>
      <w:tr>
        <w:tc>
          <w:tcPr>
            <w:tcW w:type="dxa" w:w="5112"/>
            <w:vAlign w:val="center"/>
          </w:tcPr>
          <w:p>
            <w:r>
              <w:t>Status as at 30 Sep 2026</w:t>
            </w:r>
          </w:p>
        </w:tc>
        <w:tc>
          <w:tcPr>
            <w:tcW w:type="dxa" w:w="5112"/>
            <w:vAlign w:val="center"/>
          </w:tcPr>
          <w:p>
            <w:r>
              <w:t>FULLY DISCHARGED — NO SUBSISTING CHARGE</w:t>
            </w:r>
          </w:p>
        </w:tc>
      </w:tr>
    </w:tbl>
    <w:p>
      <w:pPr>
        <w:pStyle w:val="Heading2"/>
      </w:pPr>
      <w:r>
        <w:t>5.3 HDFC Bank — Residual Facility Charge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Instrument</w:t>
            </w:r>
          </w:p>
        </w:tc>
        <w:tc>
          <w:tcPr>
            <w:tcW w:type="dxa" w:w="5112"/>
            <w:shd w:fill="E7E6E6"/>
          </w:tcPr>
          <w:p>
            <w:r>
              <w:t>Illustrative Details</w:t>
            </w:r>
          </w:p>
        </w:tc>
      </w:tr>
      <w:tr>
        <w:tc>
          <w:tcPr>
            <w:tcW w:type="dxa" w:w="5112"/>
            <w:vAlign w:val="center"/>
          </w:tcPr>
          <w:p>
            <w:r>
              <w:t>Lender</w:t>
            </w:r>
          </w:p>
        </w:tc>
        <w:tc>
          <w:tcPr>
            <w:tcW w:type="dxa" w:w="5112"/>
            <w:vAlign w:val="center"/>
          </w:tcPr>
          <w:p>
            <w:r>
              <w:t>HDFC Bank Limited</w:t>
            </w:r>
          </w:p>
        </w:tc>
      </w:tr>
      <w:tr>
        <w:tc>
          <w:tcPr>
            <w:tcW w:type="dxa" w:w="5112"/>
            <w:vAlign w:val="center"/>
          </w:tcPr>
          <w:p>
            <w:r>
              <w:t>Borrower / Chargor</w:t>
            </w:r>
          </w:p>
        </w:tc>
        <w:tc>
          <w:tcPr>
            <w:tcW w:type="dxa" w:w="5112"/>
            <w:vAlign w:val="center"/>
          </w:tcPr>
          <w:p>
            <w:r>
              <w:t>Apex Industrial Assets Private Limited</w:t>
            </w:r>
          </w:p>
        </w:tc>
      </w:tr>
      <w:tr>
        <w:tc>
          <w:tcPr>
            <w:tcW w:type="dxa" w:w="5112"/>
            <w:vAlign w:val="center"/>
          </w:tcPr>
          <w:p>
            <w:r>
              <w:t>Facility</w:t>
            </w:r>
          </w:p>
        </w:tc>
        <w:tc>
          <w:tcPr>
            <w:tcW w:type="dxa" w:w="5112"/>
            <w:vAlign w:val="center"/>
          </w:tcPr>
          <w:p>
            <w:r>
              <w:t>Supplemental / Residual Secured Facility</w:t>
            </w:r>
          </w:p>
        </w:tc>
      </w:tr>
      <w:tr>
        <w:tc>
          <w:tcPr>
            <w:tcW w:type="dxa" w:w="5112"/>
            <w:vAlign w:val="center"/>
          </w:tcPr>
          <w:p>
            <w:r>
              <w:t>Secured Amount</w:t>
            </w:r>
          </w:p>
        </w:tc>
        <w:tc>
          <w:tcPr>
            <w:tcW w:type="dxa" w:w="5112"/>
            <w:vAlign w:val="center"/>
          </w:tcPr>
          <w:p>
            <w:r>
              <w:t>₹1,10,00,000</w:t>
            </w:r>
          </w:p>
        </w:tc>
      </w:tr>
      <w:tr>
        <w:tc>
          <w:tcPr>
            <w:tcW w:type="dxa" w:w="5112"/>
            <w:vAlign w:val="center"/>
          </w:tcPr>
          <w:p>
            <w:r>
              <w:t>Illustrative Charge Date</w:t>
            </w:r>
          </w:p>
        </w:tc>
        <w:tc>
          <w:tcPr>
            <w:tcW w:type="dxa" w:w="5112"/>
            <w:vAlign w:val="center"/>
          </w:tcPr>
          <w:p>
            <w:r>
              <w:t>5 March 2024</w:t>
            </w:r>
          </w:p>
        </w:tc>
      </w:tr>
      <w:tr>
        <w:tc>
          <w:tcPr>
            <w:tcW w:type="dxa" w:w="5112"/>
            <w:vAlign w:val="center"/>
          </w:tcPr>
          <w:p>
            <w:r>
              <w:t>Illustrative Registration No.</w:t>
            </w:r>
          </w:p>
        </w:tc>
        <w:tc>
          <w:tcPr>
            <w:tcW w:type="dxa" w:w="5112"/>
            <w:vAlign w:val="center"/>
          </w:tcPr>
          <w:p>
            <w:r>
              <w:t>MUM/AND/2024/023915</w:t>
            </w:r>
          </w:p>
        </w:tc>
      </w:tr>
      <w:tr>
        <w:tc>
          <w:tcPr>
            <w:tcW w:type="dxa" w:w="5112"/>
            <w:vAlign w:val="center"/>
          </w:tcPr>
          <w:p>
            <w:r>
              <w:t>Repayment Date</w:t>
            </w:r>
          </w:p>
        </w:tc>
        <w:tc>
          <w:tcPr>
            <w:tcW w:type="dxa" w:w="5112"/>
            <w:vAlign w:val="center"/>
          </w:tcPr>
          <w:p>
            <w:r>
              <w:t>18 May 2025</w:t>
            </w:r>
          </w:p>
        </w:tc>
      </w:tr>
      <w:tr>
        <w:tc>
          <w:tcPr>
            <w:tcW w:type="dxa" w:w="5112"/>
            <w:vAlign w:val="center"/>
          </w:tcPr>
          <w:p>
            <w:r>
              <w:t>Release Ref.</w:t>
            </w:r>
          </w:p>
        </w:tc>
        <w:tc>
          <w:tcPr>
            <w:tcW w:type="dxa" w:w="5112"/>
            <w:vAlign w:val="center"/>
          </w:tcPr>
          <w:p>
            <w:r>
              <w:t>HDFC/REL/2025/44781</w:t>
            </w:r>
          </w:p>
        </w:tc>
      </w:tr>
      <w:tr>
        <w:tc>
          <w:tcPr>
            <w:tcW w:type="dxa" w:w="5112"/>
            <w:vAlign w:val="center"/>
          </w:tcPr>
          <w:p>
            <w:r>
              <w:t>Status as at 30 Sep 2026</w:t>
            </w:r>
          </w:p>
        </w:tc>
        <w:tc>
          <w:tcPr>
            <w:tcW w:type="dxa" w:w="5112"/>
            <w:vAlign w:val="center"/>
          </w:tcPr>
          <w:p>
            <w:r>
              <w:t>FULLY REPAID AND RELEASED</w:t>
            </w:r>
          </w:p>
        </w:tc>
      </w:tr>
    </w:tbl>
    <w:p>
      <w:pPr>
        <w:pStyle w:val="Heading1"/>
      </w:pPr>
      <w:r>
        <w:t>6. HISTORICAL DISPUTES AND CLAIMS</w:t>
      </w:r>
    </w:p>
    <w:p>
      <w:pPr>
        <w:pStyle w:val="Heading2"/>
      </w:pPr>
      <w:r>
        <w:t>6.1 Civil Ownership / Title Dispute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Matter</w:t>
            </w:r>
          </w:p>
        </w:tc>
        <w:tc>
          <w:tcPr>
            <w:tcW w:type="dxa" w:w="5112"/>
            <w:shd w:fill="E7E6E6"/>
          </w:tcPr>
          <w:p>
            <w:r>
              <w:t>Illustrative Details</w:t>
            </w:r>
          </w:p>
        </w:tc>
      </w:tr>
      <w:tr>
        <w:tc>
          <w:tcPr>
            <w:tcW w:type="dxa" w:w="5112"/>
            <w:vAlign w:val="center"/>
          </w:tcPr>
          <w:p>
            <w:r>
              <w:t>Claimant</w:t>
            </w:r>
          </w:p>
        </w:tc>
        <w:tc>
          <w:tcPr>
            <w:tcW w:type="dxa" w:w="5112"/>
            <w:vAlign w:val="center"/>
          </w:tcPr>
          <w:p>
            <w:r>
              <w:t>Former shareholder / former beneficial-interest claimant</w:t>
            </w:r>
          </w:p>
        </w:tc>
      </w:tr>
      <w:tr>
        <w:tc>
          <w:tcPr>
            <w:tcW w:type="dxa" w:w="5112"/>
            <w:vAlign w:val="center"/>
          </w:tcPr>
          <w:p>
            <w:r>
              <w:t>Nature</w:t>
            </w:r>
          </w:p>
        </w:tc>
        <w:tc>
          <w:tcPr>
            <w:tcW w:type="dxa" w:w="5112"/>
            <w:vAlign w:val="center"/>
          </w:tcPr>
          <w:p>
            <w:r>
              <w:t>Claim concerning historical ownership interest in the Property</w:t>
            </w:r>
          </w:p>
        </w:tc>
      </w:tr>
      <w:tr>
        <w:tc>
          <w:tcPr>
            <w:tcW w:type="dxa" w:w="5112"/>
            <w:vAlign w:val="center"/>
          </w:tcPr>
          <w:p>
            <w:r>
              <w:t>Illustrative Filing</w:t>
            </w:r>
          </w:p>
        </w:tc>
        <w:tc>
          <w:tcPr>
            <w:tcW w:type="dxa" w:w="5112"/>
            <w:vAlign w:val="center"/>
          </w:tcPr>
          <w:p>
            <w:r>
              <w:t>Commercial Civil Suit No. 1127 of 2021</w:t>
            </w:r>
          </w:p>
        </w:tc>
      </w:tr>
      <w:tr>
        <w:tc>
          <w:tcPr>
            <w:tcW w:type="dxa" w:w="5112"/>
            <w:vAlign w:val="center"/>
          </w:tcPr>
          <w:p>
            <w:r>
              <w:t>Court</w:t>
            </w:r>
          </w:p>
        </w:tc>
        <w:tc>
          <w:tcPr>
            <w:tcW w:type="dxa" w:w="5112"/>
            <w:vAlign w:val="center"/>
          </w:tcPr>
          <w:p>
            <w:r>
              <w:t>City Civil Court, Mumbai</w:t>
            </w:r>
          </w:p>
        </w:tc>
      </w:tr>
      <w:tr>
        <w:tc>
          <w:tcPr>
            <w:tcW w:type="dxa" w:w="5112"/>
            <w:vAlign w:val="center"/>
          </w:tcPr>
          <w:p>
            <w:r>
              <w:t>Claim Status</w:t>
            </w:r>
          </w:p>
        </w:tc>
        <w:tc>
          <w:tcPr>
            <w:tcW w:type="dxa" w:w="5112"/>
            <w:vAlign w:val="center"/>
          </w:tcPr>
          <w:p>
            <w:r>
              <w:t>Settled by consent</w:t>
            </w:r>
          </w:p>
        </w:tc>
      </w:tr>
      <w:tr>
        <w:tc>
          <w:tcPr>
            <w:tcW w:type="dxa" w:w="5112"/>
            <w:vAlign w:val="center"/>
          </w:tcPr>
          <w:p>
            <w:r>
              <w:t>Settlement Date</w:t>
            </w:r>
          </w:p>
        </w:tc>
        <w:tc>
          <w:tcPr>
            <w:tcW w:type="dxa" w:w="5112"/>
            <w:vAlign w:val="center"/>
          </w:tcPr>
          <w:p>
            <w:r>
              <w:t>14 October 2022</w:t>
            </w:r>
          </w:p>
        </w:tc>
      </w:tr>
      <w:tr>
        <w:tc>
          <w:tcPr>
            <w:tcW w:type="dxa" w:w="5112"/>
            <w:vAlign w:val="center"/>
          </w:tcPr>
          <w:p>
            <w:r>
              <w:t>Settlement Instrument</w:t>
            </w:r>
          </w:p>
        </w:tc>
        <w:tc>
          <w:tcPr>
            <w:tcW w:type="dxa" w:w="5112"/>
            <w:vAlign w:val="center"/>
          </w:tcPr>
          <w:p>
            <w:r>
              <w:t>Consent Terms / Settlement Deed</w:t>
            </w:r>
          </w:p>
        </w:tc>
      </w:tr>
      <w:tr>
        <w:tc>
          <w:tcPr>
            <w:tcW w:type="dxa" w:w="5112"/>
            <w:vAlign w:val="center"/>
          </w:tcPr>
          <w:p>
            <w:r>
              <w:t>Final Outcome</w:t>
            </w:r>
          </w:p>
        </w:tc>
        <w:tc>
          <w:tcPr>
            <w:tcW w:type="dxa" w:w="5112"/>
            <w:vAlign w:val="center"/>
          </w:tcPr>
          <w:p>
            <w:r>
              <w:t>Claim withdrawn; no surviving ownership claim</w:t>
            </w:r>
          </w:p>
        </w:tc>
      </w:tr>
      <w:tr>
        <w:tc>
          <w:tcPr>
            <w:tcW w:type="dxa" w:w="5112"/>
            <w:vAlign w:val="center"/>
          </w:tcPr>
          <w:p>
            <w:r>
              <w:t>Status as at 30 Sep 2026</w:t>
            </w:r>
          </w:p>
        </w:tc>
        <w:tc>
          <w:tcPr>
            <w:tcW w:type="dxa" w:w="5112"/>
            <w:vAlign w:val="center"/>
          </w:tcPr>
          <w:p>
            <w:r>
              <w:t>RESOLVED — NO PENDING CLAIM</w:t>
            </w:r>
          </w:p>
        </w:tc>
      </w:tr>
    </w:tbl>
    <w:p>
      <w:pPr>
        <w:pStyle w:val="Heading2"/>
      </w:pPr>
      <w:r>
        <w:t>6.2 Municipal Property-Tax Demand</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Matter</w:t>
            </w:r>
          </w:p>
        </w:tc>
        <w:tc>
          <w:tcPr>
            <w:tcW w:type="dxa" w:w="5112"/>
            <w:shd w:fill="E7E6E6"/>
          </w:tcPr>
          <w:p>
            <w:r>
              <w:t>Illustrative Details</w:t>
            </w:r>
          </w:p>
        </w:tc>
      </w:tr>
      <w:tr>
        <w:tc>
          <w:tcPr>
            <w:tcW w:type="dxa" w:w="5112"/>
            <w:vAlign w:val="center"/>
          </w:tcPr>
          <w:p>
            <w:r>
              <w:t>Authority</w:t>
            </w:r>
          </w:p>
        </w:tc>
        <w:tc>
          <w:tcPr>
            <w:tcW w:type="dxa" w:w="5112"/>
            <w:vAlign w:val="center"/>
          </w:tcPr>
          <w:p>
            <w:r>
              <w:t>Municipal Corporation of Greater Mumbai</w:t>
            </w:r>
          </w:p>
        </w:tc>
      </w:tr>
      <w:tr>
        <w:tc>
          <w:tcPr>
            <w:tcW w:type="dxa" w:w="5112"/>
            <w:vAlign w:val="center"/>
          </w:tcPr>
          <w:p>
            <w:r>
              <w:t>Nature</w:t>
            </w:r>
          </w:p>
        </w:tc>
        <w:tc>
          <w:tcPr>
            <w:tcW w:type="dxa" w:w="5112"/>
            <w:vAlign w:val="center"/>
          </w:tcPr>
          <w:p>
            <w:r>
              <w:t>Historical property-tax assessment / demand dispute</w:t>
            </w:r>
          </w:p>
        </w:tc>
      </w:tr>
      <w:tr>
        <w:tc>
          <w:tcPr>
            <w:tcW w:type="dxa" w:w="5112"/>
            <w:vAlign w:val="center"/>
          </w:tcPr>
          <w:p>
            <w:r>
              <w:t>Amount</w:t>
            </w:r>
          </w:p>
        </w:tc>
        <w:tc>
          <w:tcPr>
            <w:tcW w:type="dxa" w:w="5112"/>
            <w:vAlign w:val="center"/>
          </w:tcPr>
          <w:p>
            <w:r>
              <w:t>₹18,75,000</w:t>
            </w:r>
          </w:p>
        </w:tc>
      </w:tr>
      <w:tr>
        <w:tc>
          <w:tcPr>
            <w:tcW w:type="dxa" w:w="5112"/>
            <w:vAlign w:val="center"/>
          </w:tcPr>
          <w:p>
            <w:r>
              <w:t>Demand Period</w:t>
            </w:r>
          </w:p>
        </w:tc>
        <w:tc>
          <w:tcPr>
            <w:tcW w:type="dxa" w:w="5112"/>
            <w:vAlign w:val="center"/>
          </w:tcPr>
          <w:p>
            <w:r>
              <w:t>FY 2021–22</w:t>
            </w:r>
          </w:p>
        </w:tc>
      </w:tr>
      <w:tr>
        <w:tc>
          <w:tcPr>
            <w:tcW w:type="dxa" w:w="5112"/>
            <w:vAlign w:val="center"/>
          </w:tcPr>
          <w:p>
            <w:r>
              <w:t>Resolution Date</w:t>
            </w:r>
          </w:p>
        </w:tc>
        <w:tc>
          <w:tcPr>
            <w:tcW w:type="dxa" w:w="5112"/>
            <w:vAlign w:val="center"/>
          </w:tcPr>
          <w:p>
            <w:r>
              <w:t>9 January 2024</w:t>
            </w:r>
          </w:p>
        </w:tc>
      </w:tr>
      <w:tr>
        <w:tc>
          <w:tcPr>
            <w:tcW w:type="dxa" w:w="5112"/>
            <w:vAlign w:val="center"/>
          </w:tcPr>
          <w:p>
            <w:r>
              <w:t>Resolution</w:t>
            </w:r>
          </w:p>
        </w:tc>
        <w:tc>
          <w:tcPr>
            <w:tcW w:type="dxa" w:w="5112"/>
            <w:vAlign w:val="center"/>
          </w:tcPr>
          <w:p>
            <w:r>
              <w:t>Demand paid and assessment closed</w:t>
            </w:r>
          </w:p>
        </w:tc>
      </w:tr>
      <w:tr>
        <w:tc>
          <w:tcPr>
            <w:tcW w:type="dxa" w:w="5112"/>
            <w:vAlign w:val="center"/>
          </w:tcPr>
          <w:p>
            <w:r>
              <w:t>Supporting Record</w:t>
            </w:r>
          </w:p>
        </w:tc>
        <w:tc>
          <w:tcPr>
            <w:tcW w:type="dxa" w:w="5112"/>
            <w:vAlign w:val="center"/>
          </w:tcPr>
          <w:p>
            <w:r>
              <w:t>Illustrative paid receipt / closure acknowledgement</w:t>
            </w:r>
          </w:p>
        </w:tc>
      </w:tr>
      <w:tr>
        <w:tc>
          <w:tcPr>
            <w:tcW w:type="dxa" w:w="5112"/>
            <w:vAlign w:val="center"/>
          </w:tcPr>
          <w:p>
            <w:r>
              <w:t>Status as at 30 Sep 2026</w:t>
            </w:r>
          </w:p>
        </w:tc>
        <w:tc>
          <w:tcPr>
            <w:tcW w:type="dxa" w:w="5112"/>
            <w:vAlign w:val="center"/>
          </w:tcPr>
          <w:p>
            <w:r>
              <w:t>PAID — NO OUTSTANDING DEMAND</w:t>
            </w:r>
          </w:p>
        </w:tc>
      </w:tr>
    </w:tbl>
    <w:p>
      <w:pPr>
        <w:pStyle w:val="Heading2"/>
      </w:pPr>
      <w:r>
        <w:t>6.3 Contractor Payment Claim / Lien</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Matter</w:t>
            </w:r>
          </w:p>
        </w:tc>
        <w:tc>
          <w:tcPr>
            <w:tcW w:type="dxa" w:w="5112"/>
            <w:shd w:fill="E7E6E6"/>
          </w:tcPr>
          <w:p>
            <w:r>
              <w:t>Illustrative Details</w:t>
            </w:r>
          </w:p>
        </w:tc>
      </w:tr>
      <w:tr>
        <w:tc>
          <w:tcPr>
            <w:tcW w:type="dxa" w:w="5112"/>
            <w:vAlign w:val="center"/>
          </w:tcPr>
          <w:p>
            <w:r>
              <w:t>Claimant</w:t>
            </w:r>
          </w:p>
        </w:tc>
        <w:tc>
          <w:tcPr>
            <w:tcW w:type="dxa" w:w="5112"/>
            <w:vAlign w:val="center"/>
          </w:tcPr>
          <w:p>
            <w:r>
              <w:t>XYZ Infrastructure Private Limited</w:t>
            </w:r>
          </w:p>
        </w:tc>
      </w:tr>
      <w:tr>
        <w:tc>
          <w:tcPr>
            <w:tcW w:type="dxa" w:w="5112"/>
            <w:vAlign w:val="center"/>
          </w:tcPr>
          <w:p>
            <w:r>
              <w:t>Nature</w:t>
            </w:r>
          </w:p>
        </w:tc>
        <w:tc>
          <w:tcPr>
            <w:tcW w:type="dxa" w:w="5112"/>
            <w:vAlign w:val="center"/>
          </w:tcPr>
          <w:p>
            <w:r>
              <w:t>Payment claim relating to fit-out / improvement works</w:t>
            </w:r>
          </w:p>
        </w:tc>
      </w:tr>
      <w:tr>
        <w:tc>
          <w:tcPr>
            <w:tcW w:type="dxa" w:w="5112"/>
            <w:vAlign w:val="center"/>
          </w:tcPr>
          <w:p>
            <w:r>
              <w:t>Claim Amount</w:t>
            </w:r>
          </w:p>
        </w:tc>
        <w:tc>
          <w:tcPr>
            <w:tcW w:type="dxa" w:w="5112"/>
            <w:vAlign w:val="center"/>
          </w:tcPr>
          <w:p>
            <w:r>
              <w:t>₹42,00,000</w:t>
            </w:r>
          </w:p>
        </w:tc>
      </w:tr>
      <w:tr>
        <w:tc>
          <w:tcPr>
            <w:tcW w:type="dxa" w:w="5112"/>
            <w:vAlign w:val="center"/>
          </w:tcPr>
          <w:p>
            <w:r>
              <w:t>Illustrative Notice</w:t>
            </w:r>
          </w:p>
        </w:tc>
        <w:tc>
          <w:tcPr>
            <w:tcW w:type="dxa" w:w="5112"/>
            <w:vAlign w:val="center"/>
          </w:tcPr>
          <w:p>
            <w:r>
              <w:t>Legal Notice dated 7 July 2023</w:t>
            </w:r>
          </w:p>
        </w:tc>
      </w:tr>
      <w:tr>
        <w:tc>
          <w:tcPr>
            <w:tcW w:type="dxa" w:w="5112"/>
            <w:vAlign w:val="center"/>
          </w:tcPr>
          <w:p>
            <w:r>
              <w:t>Settlement Date</w:t>
            </w:r>
          </w:p>
        </w:tc>
        <w:tc>
          <w:tcPr>
            <w:tcW w:type="dxa" w:w="5112"/>
            <w:vAlign w:val="center"/>
          </w:tcPr>
          <w:p>
            <w:r>
              <w:t>22 February 2025</w:t>
            </w:r>
          </w:p>
        </w:tc>
      </w:tr>
      <w:tr>
        <w:tc>
          <w:tcPr>
            <w:tcW w:type="dxa" w:w="5112"/>
            <w:vAlign w:val="center"/>
          </w:tcPr>
          <w:p>
            <w:r>
              <w:t>Settlement Amount</w:t>
            </w:r>
          </w:p>
        </w:tc>
        <w:tc>
          <w:tcPr>
            <w:tcW w:type="dxa" w:w="5112"/>
            <w:vAlign w:val="center"/>
          </w:tcPr>
          <w:p>
            <w:r>
              <w:t>₹35,00,000</w:t>
            </w:r>
          </w:p>
        </w:tc>
      </w:tr>
      <w:tr>
        <w:tc>
          <w:tcPr>
            <w:tcW w:type="dxa" w:w="5112"/>
            <w:vAlign w:val="center"/>
          </w:tcPr>
          <w:p>
            <w:r>
              <w:t>Release Document</w:t>
            </w:r>
          </w:p>
        </w:tc>
        <w:tc>
          <w:tcPr>
            <w:tcW w:type="dxa" w:w="5112"/>
            <w:vAlign w:val="center"/>
          </w:tcPr>
          <w:p>
            <w:r>
              <w:t>Full and Final Settlement &amp; Release dated 25 February 2025</w:t>
            </w:r>
          </w:p>
        </w:tc>
      </w:tr>
      <w:tr>
        <w:tc>
          <w:tcPr>
            <w:tcW w:type="dxa" w:w="5112"/>
            <w:vAlign w:val="center"/>
          </w:tcPr>
          <w:p>
            <w:r>
              <w:t>Final Outcome</w:t>
            </w:r>
          </w:p>
        </w:tc>
        <w:tc>
          <w:tcPr>
            <w:tcW w:type="dxa" w:w="5112"/>
            <w:vAlign w:val="center"/>
          </w:tcPr>
          <w:p>
            <w:r>
              <w:t>Claim settled; claimant released all rights and claims</w:t>
            </w:r>
          </w:p>
        </w:tc>
      </w:tr>
      <w:tr>
        <w:tc>
          <w:tcPr>
            <w:tcW w:type="dxa" w:w="5112"/>
            <w:vAlign w:val="center"/>
          </w:tcPr>
          <w:p>
            <w:r>
              <w:t>Status as at 30 Sep 2026</w:t>
            </w:r>
          </w:p>
        </w:tc>
        <w:tc>
          <w:tcPr>
            <w:tcW w:type="dxa" w:w="5112"/>
            <w:vAlign w:val="center"/>
          </w:tcPr>
          <w:p>
            <w:r>
              <w:t>RESOLVED — NO SURVIVING LIEN / CLAIM</w:t>
            </w:r>
          </w:p>
        </w:tc>
      </w:tr>
    </w:tbl>
    <w:p>
      <w:pPr>
        <w:pStyle w:val="Heading1"/>
      </w:pPr>
      <w:r>
        <w:t>7. RELEASE AND CLEARANCE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7E6E6"/>
          </w:tcPr>
          <w:p>
            <w:r>
              <w:t>Encumbrance</w:t>
            </w:r>
          </w:p>
        </w:tc>
        <w:tc>
          <w:tcPr>
            <w:tcW w:type="dxa" w:w="2556"/>
            <w:shd w:fill="E7E6E6"/>
          </w:tcPr>
          <w:p>
            <w:r>
              <w:t>Original Exposure</w:t>
            </w:r>
          </w:p>
        </w:tc>
        <w:tc>
          <w:tcPr>
            <w:tcW w:type="dxa" w:w="2556"/>
            <w:shd w:fill="E7E6E6"/>
          </w:tcPr>
          <w:p>
            <w:r>
              <w:t>Release / Resolution</w:t>
            </w:r>
          </w:p>
        </w:tc>
        <w:tc>
          <w:tcPr>
            <w:tcW w:type="dxa" w:w="2556"/>
            <w:shd w:fill="E7E6E6"/>
          </w:tcPr>
          <w:p>
            <w:r>
              <w:t>Current Status</w:t>
            </w:r>
          </w:p>
        </w:tc>
      </w:tr>
      <w:tr>
        <w:tc>
          <w:tcPr>
            <w:tcW w:type="dxa" w:w="2556"/>
            <w:vAlign w:val="center"/>
          </w:tcPr>
          <w:p>
            <w:r>
              <w:t>HDFC mortgage</w:t>
            </w:r>
          </w:p>
        </w:tc>
        <w:tc>
          <w:tcPr>
            <w:tcW w:type="dxa" w:w="2556"/>
            <w:vAlign w:val="center"/>
          </w:tcPr>
          <w:p>
            <w:r>
              <w:t>₹4.50 Cr</w:t>
            </w:r>
          </w:p>
        </w:tc>
        <w:tc>
          <w:tcPr>
            <w:tcW w:type="dxa" w:w="2556"/>
            <w:vAlign w:val="center"/>
          </w:tcPr>
          <w:p>
            <w:r>
              <w:t>Release registered 2022</w:t>
            </w:r>
          </w:p>
        </w:tc>
        <w:tc>
          <w:tcPr>
            <w:tcW w:type="dxa" w:w="2556"/>
            <w:vAlign w:val="center"/>
          </w:tcPr>
          <w:p>
            <w:r>
              <w:t>Clear</w:t>
            </w:r>
          </w:p>
        </w:tc>
      </w:tr>
      <w:tr>
        <w:tc>
          <w:tcPr>
            <w:tcW w:type="dxa" w:w="2556"/>
            <w:vAlign w:val="center"/>
          </w:tcPr>
          <w:p>
            <w:r>
              <w:t>ICICI working capital charge</w:t>
            </w:r>
          </w:p>
        </w:tc>
        <w:tc>
          <w:tcPr>
            <w:tcW w:type="dxa" w:w="2556"/>
            <w:vAlign w:val="center"/>
          </w:tcPr>
          <w:p>
            <w:r>
              <w:t>₹2.25 Cr</w:t>
            </w:r>
          </w:p>
        </w:tc>
        <w:tc>
          <w:tcPr>
            <w:tcW w:type="dxa" w:w="2556"/>
            <w:vAlign w:val="center"/>
          </w:tcPr>
          <w:p>
            <w:r>
              <w:t>Discharge in 2023</w:t>
            </w:r>
          </w:p>
        </w:tc>
        <w:tc>
          <w:tcPr>
            <w:tcW w:type="dxa" w:w="2556"/>
            <w:vAlign w:val="center"/>
          </w:tcPr>
          <w:p>
            <w:r>
              <w:t>Clear</w:t>
            </w:r>
          </w:p>
        </w:tc>
      </w:tr>
      <w:tr>
        <w:tc>
          <w:tcPr>
            <w:tcW w:type="dxa" w:w="2556"/>
            <w:vAlign w:val="center"/>
          </w:tcPr>
          <w:p>
            <w:r>
              <w:t>Civil title dispute</w:t>
            </w:r>
          </w:p>
        </w:tc>
        <w:tc>
          <w:tcPr>
            <w:tcW w:type="dxa" w:w="2556"/>
            <w:vAlign w:val="center"/>
          </w:tcPr>
          <w:p>
            <w:r>
              <w:t>—</w:t>
            </w:r>
          </w:p>
        </w:tc>
        <w:tc>
          <w:tcPr>
            <w:tcW w:type="dxa" w:w="2556"/>
            <w:vAlign w:val="center"/>
          </w:tcPr>
          <w:p>
            <w:r>
              <w:t>Settlement in 2022</w:t>
            </w:r>
          </w:p>
        </w:tc>
        <w:tc>
          <w:tcPr>
            <w:tcW w:type="dxa" w:w="2556"/>
            <w:vAlign w:val="center"/>
          </w:tcPr>
          <w:p>
            <w:r>
              <w:t>Clear</w:t>
            </w:r>
          </w:p>
        </w:tc>
      </w:tr>
      <w:tr>
        <w:tc>
          <w:tcPr>
            <w:tcW w:type="dxa" w:w="2556"/>
            <w:vAlign w:val="center"/>
          </w:tcPr>
          <w:p>
            <w:r>
              <w:t>Municipal tax demand</w:t>
            </w:r>
          </w:p>
        </w:tc>
        <w:tc>
          <w:tcPr>
            <w:tcW w:type="dxa" w:w="2556"/>
            <w:vAlign w:val="center"/>
          </w:tcPr>
          <w:p>
            <w:r>
              <w:t>₹18.75 Lakh</w:t>
            </w:r>
          </w:p>
        </w:tc>
        <w:tc>
          <w:tcPr>
            <w:tcW w:type="dxa" w:w="2556"/>
            <w:vAlign w:val="center"/>
          </w:tcPr>
          <w:p>
            <w:r>
              <w:t>Paid/closed 2024</w:t>
            </w:r>
          </w:p>
        </w:tc>
        <w:tc>
          <w:tcPr>
            <w:tcW w:type="dxa" w:w="2556"/>
            <w:vAlign w:val="center"/>
          </w:tcPr>
          <w:p>
            <w:r>
              <w:t>Clear</w:t>
            </w:r>
          </w:p>
        </w:tc>
      </w:tr>
      <w:tr>
        <w:tc>
          <w:tcPr>
            <w:tcW w:type="dxa" w:w="2556"/>
            <w:vAlign w:val="center"/>
          </w:tcPr>
          <w:p>
            <w:r>
              <w:t>Contractor claim</w:t>
            </w:r>
          </w:p>
        </w:tc>
        <w:tc>
          <w:tcPr>
            <w:tcW w:type="dxa" w:w="2556"/>
            <w:vAlign w:val="center"/>
          </w:tcPr>
          <w:p>
            <w:r>
              <w:t>₹42 Lakh</w:t>
            </w:r>
          </w:p>
        </w:tc>
        <w:tc>
          <w:tcPr>
            <w:tcW w:type="dxa" w:w="2556"/>
            <w:vAlign w:val="center"/>
          </w:tcPr>
          <w:p>
            <w:r>
              <w:t>Settlement/release 2025</w:t>
            </w:r>
          </w:p>
        </w:tc>
        <w:tc>
          <w:tcPr>
            <w:tcW w:type="dxa" w:w="2556"/>
            <w:vAlign w:val="center"/>
          </w:tcPr>
          <w:p>
            <w:r>
              <w:t>Clear</w:t>
            </w:r>
          </w:p>
        </w:tc>
      </w:tr>
      <w:tr>
        <w:tc>
          <w:tcPr>
            <w:tcW w:type="dxa" w:w="2556"/>
            <w:vAlign w:val="center"/>
          </w:tcPr>
          <w:p>
            <w:r>
              <w:t>HDFC residual charge</w:t>
            </w:r>
          </w:p>
        </w:tc>
        <w:tc>
          <w:tcPr>
            <w:tcW w:type="dxa" w:w="2556"/>
            <w:vAlign w:val="center"/>
          </w:tcPr>
          <w:p>
            <w:r>
              <w:t>₹1.10 Cr</w:t>
            </w:r>
          </w:p>
        </w:tc>
        <w:tc>
          <w:tcPr>
            <w:tcW w:type="dxa" w:w="2556"/>
            <w:vAlign w:val="center"/>
          </w:tcPr>
          <w:p>
            <w:r>
              <w:t>Release in 2025</w:t>
            </w:r>
          </w:p>
        </w:tc>
        <w:tc>
          <w:tcPr>
            <w:tcW w:type="dxa" w:w="2556"/>
            <w:vAlign w:val="center"/>
          </w:tcPr>
          <w:p>
            <w:r>
              <w:t>Clear</w:t>
            </w:r>
          </w:p>
        </w:tc>
      </w:tr>
    </w:tbl>
    <w:p>
      <w:pPr>
        <w:pStyle w:val="Heading1"/>
      </w:pPr>
      <w:r>
        <w:t>8. CURRENT ENCUMBRANCE STATUS — 30 SEPTEMBER 2026</w:t>
      </w:r>
    </w:p>
    <w:p>
      <w:r>
        <w:rPr>
          <w:b/>
          <w:sz w:val="28"/>
        </w:rPr>
        <w:t>ILLUSTRATIVE CONCLUSION: NIL SUBSISTING ENCUMBRANCE</w:t>
      </w:r>
    </w:p>
    <w:p>
      <w:r>
        <w:t>Based solely on the hypothetical records and assumptions set out in this Report, all historical mortgages, bank charges, civil claims, municipal demands and contractor claims affecting the Property have been fully repaid, discharged, settled, withdrawn or otherwise resolved before the search cut-off date.</w:t>
      </w:r>
    </w:p>
    <w:p>
      <w:pPr>
        <w:pStyle w:val="ListBullet"/>
      </w:pPr>
      <w:r>
        <w:t>No subsisting mortgage or lender charge is assumed to remain registered against the Property.</w:t>
      </w:r>
    </w:p>
    <w:p>
      <w:pPr>
        <w:pStyle w:val="ListBullet"/>
      </w:pPr>
      <w:r>
        <w:t>No pending ownership/title dispute is assumed to remain.</w:t>
      </w:r>
    </w:p>
    <w:p>
      <w:pPr>
        <w:pStyle w:val="ListBullet"/>
      </w:pPr>
      <w:r>
        <w:t>No outstanding municipal property-tax demand is assumed to remain.</w:t>
      </w:r>
    </w:p>
    <w:p>
      <w:pPr>
        <w:pStyle w:val="ListBullet"/>
      </w:pPr>
      <w:r>
        <w:t>No contractor lien, payment claim or third-party charge is assumed to remain.</w:t>
      </w:r>
    </w:p>
    <w:p>
      <w:pPr>
        <w:pStyle w:val="ListBullet"/>
      </w:pPr>
      <w:r>
        <w:t>The Seller is assumed to be in a position to transfer the Property free and clear of historical encumbrances.</w:t>
      </w:r>
    </w:p>
    <w:p>
      <w:pPr>
        <w:pStyle w:val="ListBullet"/>
      </w:pPr>
      <w:r>
        <w:t>The Property is therefore classified as “CLEAN / NIL SUBSISTING ENCUMBRANCE” for the purposes of this illustrative transaction record.</w:t>
      </w:r>
    </w:p>
    <w:p>
      <w:pPr>
        <w:pStyle w:val="Heading1"/>
      </w:pPr>
      <w:r>
        <w:t>9. DOCUMENTS TO BE OBTAINED FOR ACTUAL DUE DILIGENCE</w:t>
      </w:r>
    </w:p>
    <w:p>
      <w:pPr>
        <w:pStyle w:val="ListBullet"/>
      </w:pPr>
      <w:r>
        <w:t>Official Encumbrance Certificate / search report from the competent Sub-Registrar.</w:t>
      </w:r>
    </w:p>
    <w:p>
      <w:pPr>
        <w:pStyle w:val="ListBullet"/>
      </w:pPr>
      <w:r>
        <w:t>Certified copies of all historical mortgage and charge instruments.</w:t>
      </w:r>
    </w:p>
    <w:p>
      <w:pPr>
        <w:pStyle w:val="ListBullet"/>
      </w:pPr>
      <w:r>
        <w:t>Original bank No-Dues Certificates and registered Deeds of Release / Satisfaction.</w:t>
      </w:r>
    </w:p>
    <w:p>
      <w:pPr>
        <w:pStyle w:val="ListBullet"/>
      </w:pPr>
      <w:r>
        <w:t>Company charge satisfaction records, including applicable Registrar of Companies filings.</w:t>
      </w:r>
    </w:p>
    <w:p>
      <w:pPr>
        <w:pStyle w:val="ListBullet"/>
      </w:pPr>
      <w:r>
        <w:t>Certified court orders, consent terms and withdrawal/disposal records for historical disputes.</w:t>
      </w:r>
    </w:p>
    <w:p>
      <w:pPr>
        <w:pStyle w:val="ListBullet"/>
      </w:pPr>
      <w:r>
        <w:t>Municipal property-tax paid receipts and no-dues/closure evidence.</w:t>
      </w:r>
    </w:p>
    <w:p>
      <w:pPr>
        <w:pStyle w:val="ListBullet"/>
      </w:pPr>
      <w:r>
        <w:t>Contractor settlement deed and release / no-claim certificate.</w:t>
      </w:r>
    </w:p>
    <w:p>
      <w:pPr>
        <w:pStyle w:val="ListBullet"/>
      </w:pPr>
      <w:r>
        <w:t>Current title search and certified title chain.</w:t>
      </w:r>
    </w:p>
    <w:p>
      <w:pPr>
        <w:pStyle w:val="ListBullet"/>
      </w:pPr>
      <w:r>
        <w:t>Current property tax, society/association and utility no-dues certificates, as applicable.</w:t>
      </w:r>
    </w:p>
    <w:p>
      <w:pPr>
        <w:pStyle w:val="ListBullet"/>
      </w:pPr>
      <w:r>
        <w:t>Final sale deed and registration records confirming transfer to the Purchaser.</w:t>
      </w:r>
    </w:p>
    <w:p>
      <w:pPr>
        <w:pStyle w:val="Heading1"/>
      </w:pPr>
      <w:r>
        <w:t>10. SELLER'S DECLARATION — ILLUSTRATIVE</w:t>
      </w:r>
    </w:p>
    <w:p>
      <w:r>
        <w:t>The Seller, Apex Industrial Assets Private Limited, is assumed for purposes of this illustrative Report to declare that all loans, mortgages, charges, claims and disputes historically affecting the Property have been fully discharged or resolved, that no undisclosed third-party rights remain, and that the Property is capable of being transferred to LMN Asset Pvt. Ltd. free from historical encumbrances, subject to official verification.</w:t>
      </w:r>
    </w:p>
    <w:p>
      <w:pPr>
        <w:pStyle w:val="Heading1"/>
      </w:pPr>
      <w:r>
        <w:t>11. CERTIFICATION STATUS AND LIMITATION</w:t>
      </w:r>
    </w:p>
    <w:p>
      <w:r>
        <w:t>This Report is an illustrative / dummy-data document prepared to demonstrate how a clean-property encumbrance history may be documented. It is not issued by a Sub-Registrar, Registrar of Companies, court, bank, municipal authority or any other government/statutory body. The registration numbers, case numbers, dates, lender details, amounts and other particulars in this Report are fictional and must not be represented as official records.</w:t>
      </w:r>
    </w:p>
    <w:p>
      <w:r>
        <w:t>For a real transaction, the historical entries and final nil-encumbrance conclusion must be established through official searches and original/certified supporting documents. Legal counsel should independently verify title, registration, mortgage release, litigation, tax and statutory records before Completion.</w:t>
      </w:r>
    </w:p>
    <w:p>
      <w:r>
        <w:br w:type="page"/>
      </w:r>
    </w:p>
    <w:p>
      <w:pPr>
        <w:pStyle w:val="Heading1"/>
      </w:pPr>
      <w:r>
        <w:t>12. SIGN-OFF / TRANSACTION FILE COPY</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t>Document</w:t>
            </w:r>
          </w:p>
        </w:tc>
        <w:tc>
          <w:tcPr>
            <w:tcW w:type="dxa" w:w="5112"/>
            <w:shd w:fill="E7E6E6"/>
          </w:tcPr>
          <w:p>
            <w:r>
              <w:t>Illustrative Encumbrance Search Report</w:t>
            </w:r>
          </w:p>
        </w:tc>
      </w:tr>
      <w:tr>
        <w:tc>
          <w:tcPr>
            <w:tcW w:type="dxa" w:w="5112"/>
            <w:vAlign w:val="center"/>
          </w:tcPr>
          <w:p>
            <w:r>
              <w:t>Property</w:t>
            </w:r>
          </w:p>
        </w:tc>
        <w:tc>
          <w:tcPr>
            <w:tcW w:type="dxa" w:w="5112"/>
            <w:vAlign w:val="center"/>
          </w:tcPr>
          <w:p>
            <w:r>
              <w:t>Office Unit 7B, Western Business Centre, Andheri East, Mumbai</w:t>
            </w:r>
          </w:p>
        </w:tc>
      </w:tr>
      <w:tr>
        <w:tc>
          <w:tcPr>
            <w:tcW w:type="dxa" w:w="5112"/>
            <w:vAlign w:val="center"/>
          </w:tcPr>
          <w:p>
            <w:r>
              <w:t>Search Cut-off</w:t>
            </w:r>
          </w:p>
        </w:tc>
        <w:tc>
          <w:tcPr>
            <w:tcW w:type="dxa" w:w="5112"/>
            <w:vAlign w:val="center"/>
          </w:tcPr>
          <w:p>
            <w:r>
              <w:t>30 September 2026</w:t>
            </w:r>
          </w:p>
        </w:tc>
      </w:tr>
      <w:tr>
        <w:tc>
          <w:tcPr>
            <w:tcW w:type="dxa" w:w="5112"/>
            <w:vAlign w:val="center"/>
          </w:tcPr>
          <w:p>
            <w:r>
              <w:t>Prepared For</w:t>
            </w:r>
          </w:p>
        </w:tc>
        <w:tc>
          <w:tcPr>
            <w:tcW w:type="dxa" w:w="5112"/>
            <w:vAlign w:val="center"/>
          </w:tcPr>
          <w:p>
            <w:r>
              <w:t>LMN Asset Pvt. Ltd.</w:t>
            </w:r>
          </w:p>
        </w:tc>
      </w:tr>
      <w:tr>
        <w:tc>
          <w:tcPr>
            <w:tcW w:type="dxa" w:w="5112"/>
            <w:vAlign w:val="center"/>
          </w:tcPr>
          <w:p>
            <w:r>
              <w:t>Prepared By</w:t>
            </w:r>
          </w:p>
        </w:tc>
        <w:tc>
          <w:tcPr>
            <w:tcW w:type="dxa" w:w="5112"/>
            <w:vAlign w:val="center"/>
          </w:tcPr>
          <w:p>
            <w:r>
              <w:t>Transaction / Asset Due-Diligence Team</w:t>
            </w:r>
          </w:p>
        </w:tc>
      </w:tr>
      <w:tr>
        <w:tc>
          <w:tcPr>
            <w:tcW w:type="dxa" w:w="5112"/>
            <w:vAlign w:val="center"/>
          </w:tcPr>
          <w:p>
            <w:r>
              <w:t>Review Status</w:t>
            </w:r>
          </w:p>
        </w:tc>
        <w:tc>
          <w:tcPr>
            <w:tcW w:type="dxa" w:w="5112"/>
            <w:vAlign w:val="center"/>
          </w:tcPr>
          <w:p>
            <w:r>
              <w:t>Illustrative — Subject to independent verification</w:t>
            </w:r>
          </w:p>
        </w:tc>
      </w:tr>
    </w:tbl>
    <w:p/>
    <w:p>
      <w:r>
        <w:rPr>
          <w:b/>
        </w:rPr>
        <w:t xml:space="preserve">FINAL ILLUSTRATIVE STATUS: </w:t>
      </w:r>
      <w:r>
        <w:rPr>
          <w:b/>
        </w:rPr>
        <w:t>NIL SUBSISTING ENCUMBRANCE / PROPERTY CLEAN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5"/>
      </w:rPr>
      <w:t>ILLUSTRATIVE / DUMMY DATA — NOT A GOVERNMENT-ISSUED CERTIFICATE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PROPERTY DUE DILIGENCE  |  ENCUMBRANCE 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