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br/>
        <w:t>SALE AGREEMENT</w:t>
      </w:r>
    </w:p>
    <w:p>
      <w:pPr>
        <w:jc w:val="center"/>
      </w:pPr>
      <w:r>
        <w:rPr>
          <w:b/>
          <w:sz w:val="28"/>
        </w:rPr>
        <w:t>Commercial Office Premises — Andheri East, Mumbai</w:t>
      </w:r>
    </w:p>
    <w:p>
      <w:pPr>
        <w:jc w:val="center"/>
      </w:pPr>
      <w:r>
        <w:rPr>
          <w:sz w:val="22"/>
        </w:rPr>
        <w:t>Agreement Date: 30 September 2026</w:t>
        <w:br/>
      </w:r>
      <w:r>
        <w:rPr>
          <w:b/>
          <w:sz w:val="24"/>
        </w:rPr>
        <w:t>Transaction Value: ₹12,50,00,000</w:t>
      </w:r>
    </w:p>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t>Seller</w:t>
            </w:r>
          </w:p>
        </w:tc>
        <w:tc>
          <w:tcPr>
            <w:tcW w:type="dxa" w:w="4968"/>
            <w:shd w:fill="E7E6E6"/>
          </w:tcPr>
          <w:p>
            <w:r>
              <w:t>Apex Industrial Assets Private Limited</w:t>
            </w:r>
          </w:p>
        </w:tc>
      </w:tr>
      <w:tr>
        <w:tc>
          <w:tcPr>
            <w:tcW w:type="dxa" w:w="4968"/>
            <w:vAlign w:val="center"/>
          </w:tcPr>
          <w:p>
            <w:r>
              <w:t>Purchaser</w:t>
            </w:r>
          </w:p>
        </w:tc>
        <w:tc>
          <w:tcPr>
            <w:tcW w:type="dxa" w:w="4968"/>
            <w:vAlign w:val="center"/>
          </w:tcPr>
          <w:p>
            <w:r>
              <w:t>LMN Asset Pvt. Ltd.</w:t>
            </w:r>
          </w:p>
        </w:tc>
      </w:tr>
      <w:tr>
        <w:tc>
          <w:tcPr>
            <w:tcW w:type="dxa" w:w="4968"/>
            <w:vAlign w:val="center"/>
          </w:tcPr>
          <w:p>
            <w:r>
              <w:t>Property</w:t>
            </w:r>
          </w:p>
        </w:tc>
        <w:tc>
          <w:tcPr>
            <w:tcW w:type="dxa" w:w="4968"/>
            <w:vAlign w:val="center"/>
          </w:tcPr>
          <w:p>
            <w:r>
              <w:t>Commercial office premises, Andheri East, Mumbai</w:t>
            </w:r>
          </w:p>
        </w:tc>
      </w:tr>
      <w:tr>
        <w:tc>
          <w:tcPr>
            <w:tcW w:type="dxa" w:w="4968"/>
            <w:vAlign w:val="center"/>
          </w:tcPr>
          <w:p>
            <w:r>
              <w:t>Approximate Area</w:t>
            </w:r>
          </w:p>
        </w:tc>
        <w:tc>
          <w:tcPr>
            <w:tcW w:type="dxa" w:w="4968"/>
            <w:vAlign w:val="center"/>
          </w:tcPr>
          <w:p>
            <w:r>
              <w:t>3,250 sq. ft.</w:t>
            </w:r>
          </w:p>
        </w:tc>
      </w:tr>
      <w:tr>
        <w:tc>
          <w:tcPr>
            <w:tcW w:type="dxa" w:w="4968"/>
            <w:vAlign w:val="center"/>
          </w:tcPr>
          <w:p>
            <w:r>
              <w:t>Sale Consideration</w:t>
            </w:r>
          </w:p>
        </w:tc>
        <w:tc>
          <w:tcPr>
            <w:tcW w:type="dxa" w:w="4968"/>
            <w:vAlign w:val="center"/>
          </w:tcPr>
          <w:p>
            <w:r>
              <w:t>₹12,50,00,000 (Rupees Twelve Crore Fifty Lakh Only)</w:t>
            </w:r>
          </w:p>
        </w:tc>
      </w:tr>
      <w:tr>
        <w:tc>
          <w:tcPr>
            <w:tcW w:type="dxa" w:w="4968"/>
            <w:vAlign w:val="center"/>
          </w:tcPr>
          <w:p>
            <w:r>
              <w:t>Completion Date</w:t>
            </w:r>
          </w:p>
        </w:tc>
        <w:tc>
          <w:tcPr>
            <w:tcW w:type="dxa" w:w="4968"/>
            <w:vAlign w:val="center"/>
          </w:tcPr>
          <w:p>
            <w:r>
              <w:t>30 September 2026</w:t>
            </w:r>
          </w:p>
        </w:tc>
      </w:tr>
    </w:tbl>
    <w:p>
      <w:r>
        <w:br w:type="page"/>
      </w:r>
    </w:p>
    <w:p>
      <w:pPr>
        <w:pStyle w:val="Heading1"/>
      </w:pPr>
      <w:r>
        <w:t>SALE AGREEMENT</w:t>
      </w:r>
    </w:p>
    <w:p>
      <w:r>
        <w:t>This Sale Agreement (the “Agreement”) is made and executed on 30 September 2026 (the “Agreement Date”) by and between the following parties:</w:t>
      </w:r>
    </w:p>
    <w:p>
      <w:pPr>
        <w:pStyle w:val="ListNumber"/>
      </w:pPr>
      <w:r>
        <w:t>1. Apex Industrial Assets Private Limited, a company incorporated under the laws of India, having its registered office at 201, Western Business Centre, Andheri East, Mumbai, Maharashtra 400069, hereinafter referred to as the “Seller”; and</w:t>
      </w:r>
    </w:p>
    <w:p>
      <w:pPr>
        <w:pStyle w:val="ListNumber"/>
      </w:pPr>
      <w:r>
        <w:t>2. LMN Asset Pvt. Ltd., a company incorporated under the laws of India, having its registered office at 501, Business Tower, Andheri East, Mumbai, Maharashtra 400069, hereinafter referred to as the “Purchaser”.</w:t>
      </w:r>
    </w:p>
    <w:p>
      <w:r>
        <w:t>The Seller and the Purchaser are individually referred to as a “Party” and collectively as the “Parties”.</w:t>
      </w:r>
    </w:p>
    <w:p>
      <w:pPr>
        <w:pStyle w:val="Heading1"/>
      </w:pPr>
      <w:r>
        <w:t>RECITALS</w:t>
      </w:r>
    </w:p>
    <w:p>
      <w:r>
        <w:t>A. The Seller represents that it is the lawful owner of the commercial office premises described in Schedule 1 (the “Property”) and has the right and authority to sell and transfer the Property.</w:t>
      </w:r>
    </w:p>
    <w:p>
      <w:r>
        <w:t>B. The Purchaser has agreed to purchase the Property from the Seller for the consideration and on the terms set out in this Agreement.</w:t>
      </w:r>
    </w:p>
    <w:p>
      <w:r>
        <w:t>C. The Parties wish to record the terms governing the sale, purchase, transfer of title, payment, possession, registration and completion of the transaction.</w:t>
      </w:r>
    </w:p>
    <w:p>
      <w:pPr>
        <w:pStyle w:val="Heading1"/>
      </w:pPr>
      <w:r>
        <w:t>1. DEFINITIONS</w:t>
      </w:r>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t>Term</w:t>
            </w:r>
          </w:p>
        </w:tc>
        <w:tc>
          <w:tcPr>
            <w:tcW w:type="dxa" w:w="4968"/>
            <w:shd w:fill="E7E6E6"/>
          </w:tcPr>
          <w:p>
            <w:r>
              <w:t>Meaning</w:t>
            </w:r>
          </w:p>
        </w:tc>
      </w:tr>
      <w:tr>
        <w:tc>
          <w:tcPr>
            <w:tcW w:type="dxa" w:w="4968"/>
            <w:vAlign w:val="center"/>
          </w:tcPr>
          <w:p>
            <w:r>
              <w:t>Agreement</w:t>
            </w:r>
          </w:p>
        </w:tc>
        <w:tc>
          <w:tcPr>
            <w:tcW w:type="dxa" w:w="4968"/>
            <w:vAlign w:val="center"/>
          </w:tcPr>
          <w:p>
            <w:r>
              <w:t>This Sale Agreement together with its Schedules and any written amendments.</w:t>
            </w:r>
          </w:p>
        </w:tc>
      </w:tr>
      <w:tr>
        <w:tc>
          <w:tcPr>
            <w:tcW w:type="dxa" w:w="4968"/>
            <w:vAlign w:val="center"/>
          </w:tcPr>
          <w:p>
            <w:r>
              <w:t>Completion</w:t>
            </w:r>
          </w:p>
        </w:tc>
        <w:tc>
          <w:tcPr>
            <w:tcW w:type="dxa" w:w="4968"/>
            <w:vAlign w:val="center"/>
          </w:tcPr>
          <w:p>
            <w:r>
              <w:t>The completion of the sale and purchase upon satisfaction of the applicable conditions and delivery of the Completion Documents.</w:t>
            </w:r>
          </w:p>
        </w:tc>
      </w:tr>
      <w:tr>
        <w:tc>
          <w:tcPr>
            <w:tcW w:type="dxa" w:w="4968"/>
            <w:vAlign w:val="center"/>
          </w:tcPr>
          <w:p>
            <w:r>
              <w:t>Completion Date</w:t>
            </w:r>
          </w:p>
        </w:tc>
        <w:tc>
          <w:tcPr>
            <w:tcW w:type="dxa" w:w="4968"/>
            <w:vAlign w:val="center"/>
          </w:tcPr>
          <w:p>
            <w:r>
              <w:t>30 September 2026, or another date agreed in writing by the Parties.</w:t>
            </w:r>
          </w:p>
        </w:tc>
      </w:tr>
      <w:tr>
        <w:tc>
          <w:tcPr>
            <w:tcW w:type="dxa" w:w="4968"/>
            <w:vAlign w:val="center"/>
          </w:tcPr>
          <w:p>
            <w:r>
              <w:t>Encumbrance</w:t>
            </w:r>
          </w:p>
        </w:tc>
        <w:tc>
          <w:tcPr>
            <w:tcW w:type="dxa" w:w="4968"/>
            <w:vAlign w:val="center"/>
          </w:tcPr>
          <w:p>
            <w:r>
              <w:t>Any mortgage, charge, lien, pledge, security interest, attachment, lease, claim, option or other third-party right.</w:t>
            </w:r>
          </w:p>
        </w:tc>
      </w:tr>
      <w:tr>
        <w:tc>
          <w:tcPr>
            <w:tcW w:type="dxa" w:w="4968"/>
            <w:vAlign w:val="center"/>
          </w:tcPr>
          <w:p>
            <w:r>
              <w:t>Purchase Price</w:t>
            </w:r>
          </w:p>
        </w:tc>
        <w:tc>
          <w:tcPr>
            <w:tcW w:type="dxa" w:w="4968"/>
            <w:vAlign w:val="center"/>
          </w:tcPr>
          <w:p>
            <w:r>
              <w:t>₹12,50,00,000 (Rupees Twelve Crore Fifty Lakh Only).</w:t>
            </w:r>
          </w:p>
        </w:tc>
      </w:tr>
      <w:tr>
        <w:tc>
          <w:tcPr>
            <w:tcW w:type="dxa" w:w="4968"/>
            <w:vAlign w:val="center"/>
          </w:tcPr>
          <w:p>
            <w:r>
              <w:t>Property</w:t>
            </w:r>
          </w:p>
        </w:tc>
        <w:tc>
          <w:tcPr>
            <w:tcW w:type="dxa" w:w="4968"/>
            <w:vAlign w:val="center"/>
          </w:tcPr>
          <w:p>
            <w:r>
              <w:t>The commercial office premises described in Schedule 1, together with the rights and appurtenances expressly included in the sale.</w:t>
            </w:r>
          </w:p>
        </w:tc>
      </w:tr>
      <w:tr>
        <w:tc>
          <w:tcPr>
            <w:tcW w:type="dxa" w:w="4968"/>
            <w:vAlign w:val="center"/>
          </w:tcPr>
          <w:p>
            <w:r>
              <w:t>Completion Documents</w:t>
            </w:r>
          </w:p>
        </w:tc>
        <w:tc>
          <w:tcPr>
            <w:tcW w:type="dxa" w:w="4968"/>
            <w:vAlign w:val="center"/>
          </w:tcPr>
          <w:p>
            <w:r>
              <w:t>The title, transfer, possession, tax, statutory and other documents specified in Schedule 3.</w:t>
            </w:r>
          </w:p>
        </w:tc>
      </w:tr>
    </w:tbl>
    <w:p>
      <w:pPr>
        <w:pStyle w:val="Heading1"/>
      </w:pPr>
      <w:r>
        <w:t>2. AGREEMENT TO SELL AND PURCHASE</w:t>
      </w:r>
    </w:p>
    <w:p>
      <w:r>
        <w:t>2.1 The Seller agrees to sell, convey, assign and transfer the Property to the Purchaser, and the Purchaser agrees to purchase and accept the Property, free from all undisclosed Encumbrances and third-party claims.</w:t>
      </w:r>
    </w:p>
    <w:p>
      <w:r>
        <w:t>2.2 The sale includes the Property and all rights, easements, access rights, common-area rights and appurtenant rights legally attached to it, together with the fixtures and improvements expressly included in Schedule 1.</w:t>
      </w:r>
    </w:p>
    <w:p>
      <w:r>
        <w:t>2.3 The Seller shall not sell, agree to sell, mortgage, lease, license, encumber or otherwise dispose of the Property between the Agreement Date and Completion.</w:t>
      </w:r>
    </w:p>
    <w:p>
      <w:pPr>
        <w:pStyle w:val="Heading1"/>
      </w:pPr>
      <w:r>
        <w:t>3. PURCHASE PRICE</w:t>
      </w:r>
    </w:p>
    <w:p>
      <w:r>
        <w:t>3.1 The total Purchase Price for the Property is ₹12,50,00,000 (Rupees Twelve Crore Fifty Lakh Only).</w:t>
      </w:r>
    </w:p>
    <w:p>
      <w:r>
        <w:t>3.2 The Parties acknowledge that the Purchase Price is consistent with the indicative valuation conclusion of ₹12.50 crore contained in the related valuation memorandum dated 30 September 2026.</w:t>
      </w:r>
    </w:p>
    <w:p>
      <w:r>
        <w:t>3.3 The Purchase Price is subject to applicable taxes, duties and statutory charges as allocated under Clause 9 and Schedule 2.</w:t>
      </w:r>
    </w:p>
    <w:p>
      <w:pPr>
        <w:pStyle w:val="Heading1"/>
      </w:pPr>
      <w:r>
        <w:t>4. PAYMENT TERMS</w:t>
      </w:r>
    </w:p>
    <w:p>
      <w:r>
        <w:t>4.1 The Purchaser shall pay the Purchase Price as follows:</w:t>
      </w:r>
    </w:p>
    <w:p>
      <w:r>
        <w:t>a) ₹1,25,00,000 as earnest money/deposit, payable on execution of this Agreement;</w:t>
      </w:r>
    </w:p>
    <w:p>
      <w:r>
        <w:t>b) ₹3,75,00,000 as the second instalment upon satisfaction of the conditions precedent and completion of agreed title due diligence; and</w:t>
      </w:r>
    </w:p>
    <w:p>
      <w:r>
        <w:t>c) ₹7,50,00,000 as the balance consideration at Completion against delivery of the Completion Documents, possession and execution/registration of the applicable transfer instrument.</w:t>
      </w:r>
    </w:p>
    <w:p>
      <w:r>
        <w:t>4.2 Payments shall be made through normal banking channels to the Seller's designated account, subject to applicable law.</w:t>
      </w:r>
    </w:p>
    <w:p>
      <w:r>
        <w:t>4.3 The Seller shall issue appropriate receipts and tax invoices/documents where legally required.</w:t>
      </w:r>
    </w:p>
    <w:p>
      <w:pPr>
        <w:pStyle w:val="Heading1"/>
      </w:pPr>
      <w:r>
        <w:t>5. CONDITIONS PRECEDENT</w:t>
      </w:r>
    </w:p>
    <w:p>
      <w:r>
        <w:t>Completion is conditional upon: (a) satisfactory verification of the Seller's title; (b) confirmation that the Property is free of undisclosed Encumbrances; (c) verification of applicable approvals and permitted commercial use; (d) receipt of required corporate, regulatory or third-party approvals; (e) no material adverse litigation or governmental action affecting the Property; and (f) execution of all required ancillary documents.</w:t>
      </w:r>
    </w:p>
    <w:p>
      <w:pPr>
        <w:pStyle w:val="Heading1"/>
      </w:pPr>
      <w:r>
        <w:t>6. TITLE AND SELLER'S COVENANTS</w:t>
      </w:r>
    </w:p>
    <w:p>
      <w:r>
        <w:t>6.1 The Seller represents and warrants that it has good, valid and transferable title to the Property and full authority to enter into and complete the sale.</w:t>
      </w:r>
    </w:p>
    <w:p>
      <w:r>
        <w:t>6.2 The Seller shall provide the Purchaser with copies/originals, as applicable, of title deeds, prior conveyances, sanctioned plans, completion/occupancy documentation, tax records, society/association records and other relevant property documents.</w:t>
      </w:r>
    </w:p>
    <w:p>
      <w:r>
        <w:t>6.3 The Seller shall discharge all monetary liabilities, taxes, maintenance dues, utility dues and other obligations attributable to the period up to Completion, unless expressly allocated otherwise in Schedule 2.</w:t>
      </w:r>
    </w:p>
    <w:p>
      <w:r>
        <w:t>6.4 The Seller shall procure release/discharge of any disclosed mortgage or other Encumbrance before or simultaneously with Completion.</w:t>
      </w:r>
    </w:p>
    <w:p>
      <w:pPr>
        <w:pStyle w:val="Heading1"/>
      </w:pPr>
      <w:r>
        <w:t>7. INSPECTION AND PROPERTY CONDITION</w:t>
      </w:r>
    </w:p>
    <w:p>
      <w:r>
        <w:t>7.1 The Purchaser shall have reasonable access to inspect the Property and its documents before Completion.</w:t>
      </w:r>
    </w:p>
    <w:p>
      <w:r>
        <w:t>7.2 The Property shall be delivered in substantially the condition represented by the Seller, subject to ordinary wear and tear.</w:t>
      </w:r>
    </w:p>
    <w:p>
      <w:r>
        <w:t>7.3 Inspection or acceptance shall not waive the Purchaser's rights in respect of fraud, defective title, concealed defects or breach of the Seller's express representations and warranties.</w:t>
      </w:r>
    </w:p>
    <w:p>
      <w:pPr>
        <w:pStyle w:val="Heading1"/>
      </w:pPr>
      <w:r>
        <w:t>8. COMPLETION, POSSESSION AND TRANSFER</w:t>
      </w:r>
    </w:p>
    <w:p>
      <w:r>
        <w:t>8.1 Completion shall occur on 30 September 2026 at [registered office/sub-registrar office/other agreed location], subject to satisfaction of the conditions precedent.</w:t>
      </w:r>
    </w:p>
    <w:p>
      <w:r>
        <w:t>8.2 At Completion, the Seller shall deliver vacant and peaceful possession of the Property to the Purchaser, unless Schedule 1 expressly states otherwise.</w:t>
      </w:r>
    </w:p>
    <w:p>
      <w:r>
        <w:t>8.3 The Parties shall execute and register the applicable sale deed/conveyance or other instrument required to transfer legal title.</w:t>
      </w:r>
    </w:p>
    <w:p>
      <w:r>
        <w:t>8.4 Risk in the Property shall pass to the Purchaser upon Completion and delivery of possession, except to the extent caused by the Seller's breach or wilful misconduct.</w:t>
      </w:r>
    </w:p>
    <w:p>
      <w:r>
        <w:t>8.5 The Seller shall cooperate with mutation, registration, society/association transfer and other post-completion formalities.</w:t>
      </w:r>
    </w:p>
    <w:p>
      <w:pPr>
        <w:pStyle w:val="Heading1"/>
      </w:pPr>
      <w:r>
        <w:t>9. TAXES, STAMP DUTY AND REGISTRATION</w:t>
      </w:r>
    </w:p>
    <w:p>
      <w:r>
        <w:t>9.1 Stamp duty and registration charges relating to the instrument of transfer shall be borne by the Purchaser unless mandatory law requires otherwise.</w:t>
      </w:r>
    </w:p>
    <w:p>
      <w:r>
        <w:t>9.2 Taxes attributable to the Seller's ownership or period before Completion shall be borne by the Seller.</w:t>
      </w:r>
    </w:p>
    <w:p>
      <w:r>
        <w:t>9.3 Any applicable GST or other indirect tax treatment shall be determined based on the legal nature of the Property and transaction and shall be borne by the Party legally responsible for it.</w:t>
      </w:r>
    </w:p>
    <w:p>
      <w:r>
        <w:t>9.4 Each Party shall provide documents reasonably required for tax compliance, withholding and statutory reporting.</w:t>
      </w:r>
    </w:p>
    <w:p>
      <w:pPr>
        <w:pStyle w:val="Heading1"/>
      </w:pPr>
      <w:r>
        <w:t>10. REPRESENTATIONS AND WARRANTIES OF THE SELLER</w:t>
      </w:r>
    </w:p>
    <w:p>
      <w:r>
        <w:t>The Seller represents and warrants that: (a) it is duly incorporated and authorised to execute this Agreement; (b) execution does not violate its constitutional documents or material contractual obligations; (c) it has authority to transfer the Property; (d) there are no undisclosed Encumbrances; (e) no undisclosed agreement to sell, lease, licence or transfer exists; (f) no material litigation or governmental proceeding affecting title or possession has been concealed; (g) information supplied concerning the Property is materially accurate; and (h) all material property dues payable by the Seller up to Completion will be settled.</w:t>
      </w:r>
    </w:p>
    <w:p>
      <w:pPr>
        <w:pStyle w:val="Heading1"/>
      </w:pPr>
      <w:r>
        <w:t>11. REPRESENTATIONS OF THE PURCHASER</w:t>
      </w:r>
    </w:p>
    <w:p>
      <w:r>
        <w:t>The Purchaser represents that it has corporate authority to enter into this Agreement and, subject to its terms, has or will have sufficient funds to meet its payment obligations.</w:t>
      </w:r>
    </w:p>
    <w:p>
      <w:pPr>
        <w:pStyle w:val="Heading1"/>
      </w:pPr>
      <w:r>
        <w:t>12. INDEMNITY</w:t>
      </w:r>
    </w:p>
    <w:p>
      <w:r>
        <w:t>12.1 The Seller shall indemnify the Purchaser against losses arising from breach of Seller warranties, defective title, undisclosed Encumbrances, pre-Completion liabilities, fraud or wilful misconduct.</w:t>
      </w:r>
    </w:p>
    <w:p>
      <w:r>
        <w:t>12.2 The Purchaser shall indemnify the Seller against losses arising from the Purchaser's material breach, fraud or wilful misconduct.</w:t>
      </w:r>
    </w:p>
    <w:p>
      <w:r>
        <w:t>12.3 Claims relating to title, fraud or intentional misconduct shall survive Completion notwithstanding any general contractual claim period.</w:t>
      </w:r>
    </w:p>
    <w:p>
      <w:pPr>
        <w:pStyle w:val="Heading1"/>
      </w:pPr>
      <w:r>
        <w:t>13. DEFAULT AND TERMINATION</w:t>
      </w:r>
    </w:p>
    <w:p>
      <w:r>
        <w:t>13.1 If the Purchaser fails to make a payment when due and does not cure the default within 10 Business Days after written notice, the Seller may exercise contractual remedies subject to applicable law.</w:t>
      </w:r>
    </w:p>
    <w:p>
      <w:r>
        <w:t>13.2 If the Seller materially breaches its title, transfer or completion obligations and fails to cure the breach within 10 Business Days after written notice, the Purchaser may terminate this Agreement and seek refund of amounts paid, together with applicable contractual/legal remedies.</w:t>
      </w:r>
    </w:p>
    <w:p>
      <w:r>
        <w:t>13.3 The Purchaser may terminate immediately for material fraud, inability to transfer title, or discovery of a material undisclosed Encumbrance that cannot reasonably be cured before Completion.</w:t>
      </w:r>
    </w:p>
    <w:p>
      <w:r>
        <w:t>13.4 Termination shall not affect accrued rights or provisions intended to survive termination.</w:t>
      </w:r>
    </w:p>
    <w:p>
      <w:pPr>
        <w:pStyle w:val="Heading1"/>
      </w:pPr>
      <w:r>
        <w:t>14. CONFIDENTIALITY</w:t>
      </w:r>
    </w:p>
    <w:p>
      <w:r>
        <w:t>Each Party shall keep confidential all non-public information received in connection with the transaction, except disclosures required by law, regulators, courts, professional advisers or financing parties subject to appropriate confidentiality obligations.</w:t>
      </w:r>
    </w:p>
    <w:p>
      <w:pPr>
        <w:pStyle w:val="Heading1"/>
      </w:pPr>
      <w:r>
        <w:t>15. FORCE MAJEURE</w:t>
      </w:r>
    </w:p>
    <w:p>
      <w:r>
        <w:t>Neither Party shall be liable for delay caused by events beyond its reasonable control, provided the affected Party promptly notifies the other and takes reasonable steps to mitigate the delay. This clause does not excuse payment obligations already due.</w:t>
      </w:r>
    </w:p>
    <w:p>
      <w:pPr>
        <w:pStyle w:val="Heading1"/>
      </w:pPr>
      <w:r>
        <w:t>16. NOTICES</w:t>
      </w:r>
    </w:p>
    <w:p>
      <w:r>
        <w:t>Notices shall be in writing and delivered by hand, recognised courier or email to the following addresses:</w:t>
      </w:r>
    </w:p>
    <w:p>
      <w:r>
        <w:t>Seller: Apex Industrial Assets Private Limited, 201, Western Business Centre, Andheri East, Mumbai, Maharashtra 400069; Email: legal@apexindustrialassets.example</w:t>
      </w:r>
    </w:p>
    <w:p>
      <w:r>
        <w:t>Purchaser: LMN Asset Pvt. Ltd., 501, Business Tower, Andheri East, Mumbai, Maharashtra 400069; Email: legal@lmnaasset.example</w:t>
      </w:r>
    </w:p>
    <w:p>
      <w:pPr>
        <w:pStyle w:val="Heading1"/>
      </w:pPr>
      <w:r>
        <w:t>17. ASSIGNMENT</w:t>
      </w:r>
    </w:p>
    <w:p>
      <w:r>
        <w:t>Neither Party may assign its rights or obligations without prior written consent of the other Party, except that the Purchaser may assign to an affiliate or financing entity in connection with the transaction, subject to applicable law.</w:t>
      </w:r>
    </w:p>
    <w:p>
      <w:pPr>
        <w:pStyle w:val="Heading1"/>
      </w:pPr>
      <w:r>
        <w:t>18. DISPUTE RESOLUTION AND GOVERNING LAW</w:t>
      </w:r>
    </w:p>
    <w:p>
      <w:r>
        <w:t>18.1 This Agreement shall be governed by the laws of India.</w:t>
      </w:r>
    </w:p>
    <w:p>
      <w:r>
        <w:t>18.2 The Parties shall first attempt to resolve disputes through good-faith discussions between senior authorised representatives.</w:t>
      </w:r>
    </w:p>
    <w:p>
      <w:r>
        <w:t>18.3 If unresolved within 30 days, the dispute shall be referred to arbitration under the Arbitration and Conciliation Act, 1996, as amended.</w:t>
      </w:r>
    </w:p>
    <w:p>
      <w:r>
        <w:t>18.4 The tribunal shall consist of one arbitrator mutually appointed by the Parties. The seat and venue shall be Mumbai, Maharashtra, and the language shall be English.</w:t>
      </w:r>
    </w:p>
    <w:p>
      <w:r>
        <w:t>18.5 Courts at Mumbai shall have jurisdiction for interim relief and other matters permitted by law.</w:t>
      </w:r>
    </w:p>
    <w:p>
      <w:pPr>
        <w:pStyle w:val="Heading1"/>
      </w:pPr>
      <w:r>
        <w:t>19. GENERAL</w:t>
      </w:r>
    </w:p>
    <w:p>
      <w:r>
        <w:t>19.1 This Agreement and its Schedules constitute the entire agreement concerning the sale and purchase of the Property.</w:t>
      </w:r>
    </w:p>
    <w:p>
      <w:r>
        <w:t>19.2 Amendments must be in writing and signed by both Parties.</w:t>
      </w:r>
    </w:p>
    <w:p>
      <w:r>
        <w:t>19.3 If any provision is invalid, the remaining provisions shall continue in force.</w:t>
      </w:r>
    </w:p>
    <w:p>
      <w:r>
        <w:t>19.4 No waiver is effective unless in writing.</w:t>
      </w:r>
    </w:p>
    <w:p>
      <w:r>
        <w:t>19.5 This Agreement may be executed in counterparts and electronically to the extent legally permissible.</w:t>
      </w:r>
    </w:p>
    <w:p>
      <w:r>
        <w:t>19.6 Headings are for convenience and do not affect interpretation.</w:t>
      </w:r>
    </w:p>
    <w:p>
      <w:r>
        <w:br w:type="page"/>
      </w:r>
    </w:p>
    <w:p>
      <w:pPr>
        <w:pStyle w:val="Heading1"/>
      </w:pPr>
      <w:r>
        <w:t>SCHEDULE 1 — PROPERTY PARTICULARS</w:t>
      </w:r>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t>Particular</w:t>
            </w:r>
          </w:p>
        </w:tc>
        <w:tc>
          <w:tcPr>
            <w:tcW w:type="dxa" w:w="4968"/>
            <w:shd w:fill="E7E6E6"/>
          </w:tcPr>
          <w:p>
            <w:r>
              <w:t>Agreed Details</w:t>
            </w:r>
          </w:p>
        </w:tc>
      </w:tr>
      <w:tr>
        <w:tc>
          <w:tcPr>
            <w:tcW w:type="dxa" w:w="4968"/>
            <w:vAlign w:val="center"/>
          </w:tcPr>
          <w:p>
            <w:r>
              <w:t>Property Type</w:t>
            </w:r>
          </w:p>
        </w:tc>
        <w:tc>
          <w:tcPr>
            <w:tcW w:type="dxa" w:w="4968"/>
            <w:vAlign w:val="center"/>
          </w:tcPr>
          <w:p>
            <w:r>
              <w:t>Commercial office premises</w:t>
            </w:r>
          </w:p>
        </w:tc>
      </w:tr>
      <w:tr>
        <w:tc>
          <w:tcPr>
            <w:tcW w:type="dxa" w:w="4968"/>
            <w:vAlign w:val="center"/>
          </w:tcPr>
          <w:p>
            <w:r>
              <w:t>Location</w:t>
            </w:r>
          </w:p>
        </w:tc>
        <w:tc>
          <w:tcPr>
            <w:tcW w:type="dxa" w:w="4968"/>
            <w:vAlign w:val="center"/>
          </w:tcPr>
          <w:p>
            <w:r>
              <w:t>Andheri East, Mumbai, Maharashtra, India</w:t>
            </w:r>
          </w:p>
        </w:tc>
      </w:tr>
      <w:tr>
        <w:tc>
          <w:tcPr>
            <w:tcW w:type="dxa" w:w="4968"/>
            <w:vAlign w:val="center"/>
          </w:tcPr>
          <w:p>
            <w:r>
              <w:t>Approximate Area</w:t>
            </w:r>
          </w:p>
        </w:tc>
        <w:tc>
          <w:tcPr>
            <w:tcW w:type="dxa" w:w="4968"/>
            <w:vAlign w:val="center"/>
          </w:tcPr>
          <w:p>
            <w:r>
              <w:t>3,250 sq. ft.</w:t>
            </w:r>
          </w:p>
        </w:tc>
      </w:tr>
      <w:tr>
        <w:tc>
          <w:tcPr>
            <w:tcW w:type="dxa" w:w="4968"/>
            <w:vAlign w:val="center"/>
          </w:tcPr>
          <w:p>
            <w:r>
              <w:t>Intended Use</w:t>
            </w:r>
          </w:p>
        </w:tc>
        <w:tc>
          <w:tcPr>
            <w:tcW w:type="dxa" w:w="4968"/>
            <w:vAlign w:val="center"/>
          </w:tcPr>
          <w:p>
            <w:r>
              <w:t>Office / commercial use</w:t>
            </w:r>
          </w:p>
        </w:tc>
      </w:tr>
      <w:tr>
        <w:tc>
          <w:tcPr>
            <w:tcW w:type="dxa" w:w="4968"/>
            <w:vAlign w:val="center"/>
          </w:tcPr>
          <w:p>
            <w:r>
              <w:t>Condition</w:t>
            </w:r>
          </w:p>
        </w:tc>
        <w:tc>
          <w:tcPr>
            <w:tcW w:type="dxa" w:w="4968"/>
            <w:vAlign w:val="center"/>
          </w:tcPr>
          <w:p>
            <w:r>
              <w:t>Good commercial condition, subject to inspection and ordinary wear and tear</w:t>
            </w:r>
          </w:p>
        </w:tc>
      </w:tr>
      <w:tr>
        <w:tc>
          <w:tcPr>
            <w:tcW w:type="dxa" w:w="4968"/>
            <w:vAlign w:val="center"/>
          </w:tcPr>
          <w:p>
            <w:r>
              <w:t>Possession</w:t>
            </w:r>
          </w:p>
        </w:tc>
        <w:tc>
          <w:tcPr>
            <w:tcW w:type="dxa" w:w="4968"/>
            <w:vAlign w:val="center"/>
          </w:tcPr>
          <w:p>
            <w:r>
              <w:t>Vacant and peaceful possession at Completion</w:t>
            </w:r>
          </w:p>
        </w:tc>
      </w:tr>
      <w:tr>
        <w:tc>
          <w:tcPr>
            <w:tcW w:type="dxa" w:w="4968"/>
            <w:vAlign w:val="center"/>
          </w:tcPr>
          <w:p>
            <w:r>
              <w:t>Included</w:t>
            </w:r>
          </w:p>
        </w:tc>
        <w:tc>
          <w:tcPr>
            <w:tcW w:type="dxa" w:w="4968"/>
            <w:vAlign w:val="center"/>
          </w:tcPr>
          <w:p>
            <w:r>
              <w:t>Fixtures and improvements permanently attached to the Property, unless expressly excluded</w:t>
            </w:r>
          </w:p>
        </w:tc>
      </w:tr>
      <w:tr>
        <w:tc>
          <w:tcPr>
            <w:tcW w:type="dxa" w:w="4968"/>
            <w:vAlign w:val="center"/>
          </w:tcPr>
          <w:p>
            <w:r>
              <w:t>Excluded</w:t>
            </w:r>
          </w:p>
        </w:tc>
        <w:tc>
          <w:tcPr>
            <w:tcW w:type="dxa" w:w="4968"/>
            <w:vAlign w:val="center"/>
          </w:tcPr>
          <w:p>
            <w:r>
              <w:t>Movable furniture, equipment and personal effects unless separately listed in the Completion Inventory</w:t>
            </w:r>
          </w:p>
        </w:tc>
      </w:tr>
      <w:tr>
        <w:tc>
          <w:tcPr>
            <w:tcW w:type="dxa" w:w="4968"/>
            <w:vAlign w:val="center"/>
          </w:tcPr>
          <w:p>
            <w:r>
              <w:t>Title Documents</w:t>
            </w:r>
          </w:p>
        </w:tc>
        <w:tc>
          <w:tcPr>
            <w:tcW w:type="dxa" w:w="4968"/>
            <w:vAlign w:val="center"/>
          </w:tcPr>
          <w:p>
            <w:r>
              <w:t>Original/certified title chain and transfer documents to be delivered at Completion</w:t>
            </w:r>
          </w:p>
        </w:tc>
      </w:tr>
      <w:tr>
        <w:tc>
          <w:tcPr>
            <w:tcW w:type="dxa" w:w="4968"/>
            <w:vAlign w:val="center"/>
          </w:tcPr>
          <w:p>
            <w:r>
              <w:t>Property Identification</w:t>
            </w:r>
          </w:p>
        </w:tc>
        <w:tc>
          <w:tcPr>
            <w:tcW w:type="dxa" w:w="4968"/>
            <w:vAlign w:val="center"/>
          </w:tcPr>
          <w:p>
            <w:r>
              <w:t>Final survey/CTS/unit number to be inserted from verified title and municipal records before registration</w:t>
            </w:r>
          </w:p>
        </w:tc>
      </w:tr>
    </w:tbl>
    <w:p>
      <w:pPr>
        <w:pStyle w:val="Heading1"/>
      </w:pPr>
      <w:r>
        <w:t>SCHEDULE 2 — COMMERCIAL AND CLOSING TERMS</w:t>
      </w:r>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t>Term</w:t>
            </w:r>
          </w:p>
        </w:tc>
        <w:tc>
          <w:tcPr>
            <w:tcW w:type="dxa" w:w="4968"/>
            <w:shd w:fill="E7E6E6"/>
          </w:tcPr>
          <w:p>
            <w:r>
              <w:t>Agreed Details</w:t>
            </w:r>
          </w:p>
        </w:tc>
      </w:tr>
      <w:tr>
        <w:tc>
          <w:tcPr>
            <w:tcW w:type="dxa" w:w="4968"/>
            <w:vAlign w:val="center"/>
          </w:tcPr>
          <w:p>
            <w:r>
              <w:t>Purchase Price</w:t>
            </w:r>
          </w:p>
        </w:tc>
        <w:tc>
          <w:tcPr>
            <w:tcW w:type="dxa" w:w="4968"/>
            <w:vAlign w:val="center"/>
          </w:tcPr>
          <w:p>
            <w:r>
              <w:t>₹12,50,00,000</w:t>
            </w:r>
          </w:p>
        </w:tc>
      </w:tr>
      <w:tr>
        <w:tc>
          <w:tcPr>
            <w:tcW w:type="dxa" w:w="4968"/>
            <w:vAlign w:val="center"/>
          </w:tcPr>
          <w:p>
            <w:r>
              <w:t>Earnest Money</w:t>
            </w:r>
          </w:p>
        </w:tc>
        <w:tc>
          <w:tcPr>
            <w:tcW w:type="dxa" w:w="4968"/>
            <w:vAlign w:val="center"/>
          </w:tcPr>
          <w:p>
            <w:r>
              <w:t>₹1,25,00,000</w:t>
            </w:r>
          </w:p>
        </w:tc>
      </w:tr>
      <w:tr>
        <w:tc>
          <w:tcPr>
            <w:tcW w:type="dxa" w:w="4968"/>
            <w:vAlign w:val="center"/>
          </w:tcPr>
          <w:p>
            <w:r>
              <w:t>Second Instalment</w:t>
            </w:r>
          </w:p>
        </w:tc>
        <w:tc>
          <w:tcPr>
            <w:tcW w:type="dxa" w:w="4968"/>
            <w:vAlign w:val="center"/>
          </w:tcPr>
          <w:p>
            <w:r>
              <w:t>₹3,75,00,000</w:t>
            </w:r>
          </w:p>
        </w:tc>
      </w:tr>
      <w:tr>
        <w:tc>
          <w:tcPr>
            <w:tcW w:type="dxa" w:w="4968"/>
            <w:vAlign w:val="center"/>
          </w:tcPr>
          <w:p>
            <w:r>
              <w:t>Balance at Completion</w:t>
            </w:r>
          </w:p>
        </w:tc>
        <w:tc>
          <w:tcPr>
            <w:tcW w:type="dxa" w:w="4968"/>
            <w:vAlign w:val="center"/>
          </w:tcPr>
          <w:p>
            <w:r>
              <w:t>₹7,50,00,000</w:t>
            </w:r>
          </w:p>
        </w:tc>
      </w:tr>
      <w:tr>
        <w:tc>
          <w:tcPr>
            <w:tcW w:type="dxa" w:w="4968"/>
            <w:vAlign w:val="center"/>
          </w:tcPr>
          <w:p>
            <w:r>
              <w:t>Completion Date</w:t>
            </w:r>
          </w:p>
        </w:tc>
        <w:tc>
          <w:tcPr>
            <w:tcW w:type="dxa" w:w="4968"/>
            <w:vAlign w:val="center"/>
          </w:tcPr>
          <w:p>
            <w:r>
              <w:t>30 September 2026</w:t>
            </w:r>
          </w:p>
        </w:tc>
      </w:tr>
      <w:tr>
        <w:tc>
          <w:tcPr>
            <w:tcW w:type="dxa" w:w="4968"/>
            <w:vAlign w:val="center"/>
          </w:tcPr>
          <w:p>
            <w:r>
              <w:t>Payment Method</w:t>
            </w:r>
          </w:p>
        </w:tc>
        <w:tc>
          <w:tcPr>
            <w:tcW w:type="dxa" w:w="4968"/>
            <w:vAlign w:val="center"/>
          </w:tcPr>
          <w:p>
            <w:r>
              <w:t>Bank transfer / RTGS / NEFT through regulated banking channels</w:t>
            </w:r>
          </w:p>
        </w:tc>
      </w:tr>
      <w:tr>
        <w:tc>
          <w:tcPr>
            <w:tcW w:type="dxa" w:w="4968"/>
            <w:vAlign w:val="center"/>
          </w:tcPr>
          <w:p>
            <w:r>
              <w:t>Stamp Duty</w:t>
            </w:r>
          </w:p>
        </w:tc>
        <w:tc>
          <w:tcPr>
            <w:tcW w:type="dxa" w:w="4968"/>
            <w:vAlign w:val="center"/>
          </w:tcPr>
          <w:p>
            <w:r>
              <w:t>Purchaser, subject to applicable law</w:t>
            </w:r>
          </w:p>
        </w:tc>
      </w:tr>
      <w:tr>
        <w:tc>
          <w:tcPr>
            <w:tcW w:type="dxa" w:w="4968"/>
            <w:vAlign w:val="center"/>
          </w:tcPr>
          <w:p>
            <w:r>
              <w:t>Registration Charges</w:t>
            </w:r>
          </w:p>
        </w:tc>
        <w:tc>
          <w:tcPr>
            <w:tcW w:type="dxa" w:w="4968"/>
            <w:vAlign w:val="center"/>
          </w:tcPr>
          <w:p>
            <w:r>
              <w:t>Purchaser, subject to applicable law</w:t>
            </w:r>
          </w:p>
        </w:tc>
      </w:tr>
      <w:tr>
        <w:tc>
          <w:tcPr>
            <w:tcW w:type="dxa" w:w="4968"/>
            <w:vAlign w:val="center"/>
          </w:tcPr>
          <w:p>
            <w:r>
              <w:t>Pre-Completion Property Dues</w:t>
            </w:r>
          </w:p>
        </w:tc>
        <w:tc>
          <w:tcPr>
            <w:tcW w:type="dxa" w:w="4968"/>
            <w:vAlign w:val="center"/>
          </w:tcPr>
          <w:p>
            <w:r>
              <w:t>Seller</w:t>
            </w:r>
          </w:p>
        </w:tc>
      </w:tr>
      <w:tr>
        <w:tc>
          <w:tcPr>
            <w:tcW w:type="dxa" w:w="4968"/>
            <w:vAlign w:val="center"/>
          </w:tcPr>
          <w:p>
            <w:r>
              <w:t>Post-Completion Property Dues</w:t>
            </w:r>
          </w:p>
        </w:tc>
        <w:tc>
          <w:tcPr>
            <w:tcW w:type="dxa" w:w="4968"/>
            <w:vAlign w:val="center"/>
          </w:tcPr>
          <w:p>
            <w:r>
              <w:t>Purchaser</w:t>
            </w:r>
          </w:p>
        </w:tc>
      </w:tr>
      <w:tr>
        <w:tc>
          <w:tcPr>
            <w:tcW w:type="dxa" w:w="4968"/>
            <w:vAlign w:val="center"/>
          </w:tcPr>
          <w:p>
            <w:r>
              <w:t>GST / Other Indirect Taxes</w:t>
            </w:r>
          </w:p>
        </w:tc>
        <w:tc>
          <w:tcPr>
            <w:tcW w:type="dxa" w:w="4968"/>
            <w:vAlign w:val="center"/>
          </w:tcPr>
          <w:p>
            <w:r>
              <w:t>As legally applicable to the transaction</w:t>
            </w:r>
          </w:p>
        </w:tc>
      </w:tr>
    </w:tbl>
    <w:p>
      <w:pPr>
        <w:pStyle w:val="Heading1"/>
      </w:pPr>
      <w:r>
        <w:t>SCHEDULE 3 — COMPLETION DOCUMENTS</w:t>
      </w:r>
    </w:p>
    <w:p>
      <w:pPr>
        <w:pStyle w:val="ListBullet"/>
      </w:pPr>
      <w:r>
        <w:t>Executed and registered sale deed / conveyance instrument, as applicable.</w:t>
      </w:r>
    </w:p>
    <w:p>
      <w:pPr>
        <w:pStyle w:val="ListBullet"/>
      </w:pPr>
      <w:r>
        <w:t>Original or certified title documents and prior conveyance chain.</w:t>
      </w:r>
    </w:p>
    <w:p>
      <w:pPr>
        <w:pStyle w:val="ListBullet"/>
      </w:pPr>
      <w:r>
        <w:t>Encumbrance/discharge documents for any disclosed security.</w:t>
      </w:r>
    </w:p>
    <w:p>
      <w:pPr>
        <w:pStyle w:val="ListBullet"/>
      </w:pPr>
      <w:r>
        <w:t>Latest property tax receipts and evidence of payment of applicable dues.</w:t>
      </w:r>
    </w:p>
    <w:p>
      <w:pPr>
        <w:pStyle w:val="ListBullet"/>
      </w:pPr>
      <w:r>
        <w:t>Occupation/completion approvals and sanctioned plan documentation, where applicable.</w:t>
      </w:r>
    </w:p>
    <w:p>
      <w:pPr>
        <w:pStyle w:val="ListBullet"/>
      </w:pPr>
      <w:r>
        <w:t>Society/association transfer or no-dues documentation, where applicable.</w:t>
      </w:r>
    </w:p>
    <w:p>
      <w:pPr>
        <w:pStyle w:val="ListBullet"/>
      </w:pPr>
      <w:r>
        <w:t>Possession letter and handover memorandum.</w:t>
      </w:r>
    </w:p>
    <w:p>
      <w:pPr>
        <w:pStyle w:val="ListBullet"/>
      </w:pPr>
      <w:r>
        <w:t>Keys, access cards and physical access credentials.</w:t>
      </w:r>
    </w:p>
    <w:p>
      <w:pPr>
        <w:pStyle w:val="ListBullet"/>
      </w:pPr>
      <w:r>
        <w:t>Seller's corporate authorisations and board resolution approving the sale.</w:t>
      </w:r>
    </w:p>
    <w:p>
      <w:pPr>
        <w:pStyle w:val="ListBullet"/>
      </w:pPr>
      <w:r>
        <w:t>Purchaser's corporate authorisations and board resolution approving the purchase.</w:t>
      </w:r>
    </w:p>
    <w:p>
      <w:pPr>
        <w:pStyle w:val="ListBullet"/>
      </w:pPr>
      <w:r>
        <w:t>Tax forms, declarations and withholding documents required by applicable law.</w:t>
      </w:r>
    </w:p>
    <w:p>
      <w:pPr>
        <w:pStyle w:val="Heading1"/>
      </w:pPr>
      <w:r>
        <w:t>SCHEDULE 4 — HANDOVER INVENTORY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7E6E6"/>
          </w:tcPr>
          <w:p>
            <w:r>
              <w:t>Item</w:t>
            </w:r>
          </w:p>
        </w:tc>
        <w:tc>
          <w:tcPr>
            <w:tcW w:type="dxa" w:w="3312"/>
            <w:shd w:fill="E7E6E6"/>
          </w:tcPr>
          <w:p>
            <w:r>
              <w:t>Status</w:t>
            </w:r>
          </w:p>
        </w:tc>
        <w:tc>
          <w:tcPr>
            <w:tcW w:type="dxa" w:w="3312"/>
            <w:shd w:fill="E7E6E6"/>
          </w:tcPr>
          <w:p>
            <w:r>
              <w:t>Remarks</w:t>
            </w:r>
          </w:p>
        </w:tc>
      </w:tr>
      <w:tr>
        <w:tc>
          <w:tcPr>
            <w:tcW w:type="dxa" w:w="3312"/>
            <w:vAlign w:val="center"/>
          </w:tcPr>
          <w:p>
            <w:r>
              <w:t>Office premises</w:t>
            </w:r>
          </w:p>
        </w:tc>
        <w:tc>
          <w:tcPr>
            <w:tcW w:type="dxa" w:w="3312"/>
            <w:vAlign w:val="center"/>
          </w:tcPr>
          <w:p>
            <w:r>
              <w:t>Included</w:t>
            </w:r>
          </w:p>
        </w:tc>
        <w:tc>
          <w:tcPr>
            <w:tcW w:type="dxa" w:w="3312"/>
            <w:vAlign w:val="center"/>
          </w:tcPr>
          <w:p>
            <w:r>
              <w:t>3,250 sq. ft. approximate area</w:t>
            </w:r>
          </w:p>
        </w:tc>
      </w:tr>
      <w:tr>
        <w:tc>
          <w:tcPr>
            <w:tcW w:type="dxa" w:w="3312"/>
            <w:vAlign w:val="center"/>
          </w:tcPr>
          <w:p>
            <w:r>
              <w:t>Permanent fixtures</w:t>
            </w:r>
          </w:p>
        </w:tc>
        <w:tc>
          <w:tcPr>
            <w:tcW w:type="dxa" w:w="3312"/>
            <w:vAlign w:val="center"/>
          </w:tcPr>
          <w:p>
            <w:r>
              <w:t>Included</w:t>
            </w:r>
          </w:p>
        </w:tc>
        <w:tc>
          <w:tcPr>
            <w:tcW w:type="dxa" w:w="3312"/>
            <w:vAlign w:val="center"/>
          </w:tcPr>
          <w:p>
            <w:r>
              <w:t>To be jointly inspected</w:t>
            </w:r>
          </w:p>
        </w:tc>
      </w:tr>
      <w:tr>
        <w:tc>
          <w:tcPr>
            <w:tcW w:type="dxa" w:w="3312"/>
            <w:vAlign w:val="center"/>
          </w:tcPr>
          <w:p>
            <w:r>
              <w:t>Electrical installations</w:t>
            </w:r>
          </w:p>
        </w:tc>
        <w:tc>
          <w:tcPr>
            <w:tcW w:type="dxa" w:w="3312"/>
            <w:vAlign w:val="center"/>
          </w:tcPr>
          <w:p>
            <w:r>
              <w:t>Included</w:t>
            </w:r>
          </w:p>
        </w:tc>
        <w:tc>
          <w:tcPr>
            <w:tcW w:type="dxa" w:w="3312"/>
            <w:vAlign w:val="center"/>
          </w:tcPr>
          <w:p>
            <w:r>
              <w:t>Subject to normal operating condition</w:t>
            </w:r>
          </w:p>
        </w:tc>
      </w:tr>
      <w:tr>
        <w:tc>
          <w:tcPr>
            <w:tcW w:type="dxa" w:w="3312"/>
            <w:vAlign w:val="center"/>
          </w:tcPr>
          <w:p>
            <w:r>
              <w:t>HVAC / air-conditioning fixtures</w:t>
            </w:r>
          </w:p>
        </w:tc>
        <w:tc>
          <w:tcPr>
            <w:tcW w:type="dxa" w:w="3312"/>
            <w:vAlign w:val="center"/>
          </w:tcPr>
          <w:p>
            <w:r>
              <w:t>Included if permanently attached</w:t>
            </w:r>
          </w:p>
        </w:tc>
        <w:tc>
          <w:tcPr>
            <w:tcW w:type="dxa" w:w="3312"/>
            <w:vAlign w:val="center"/>
          </w:tcPr>
          <w:p>
            <w:r>
              <w:t>To be confirmed at handover</w:t>
            </w:r>
          </w:p>
        </w:tc>
      </w:tr>
      <w:tr>
        <w:tc>
          <w:tcPr>
            <w:tcW w:type="dxa" w:w="3312"/>
            <w:vAlign w:val="center"/>
          </w:tcPr>
          <w:p>
            <w:r>
              <w:t>Movable furniture</w:t>
            </w:r>
          </w:p>
        </w:tc>
        <w:tc>
          <w:tcPr>
            <w:tcW w:type="dxa" w:w="3312"/>
            <w:vAlign w:val="center"/>
          </w:tcPr>
          <w:p>
            <w:r>
              <w:t>Excluded</w:t>
            </w:r>
          </w:p>
        </w:tc>
        <w:tc>
          <w:tcPr>
            <w:tcW w:type="dxa" w:w="3312"/>
            <w:vAlign w:val="center"/>
          </w:tcPr>
          <w:p>
            <w:r>
              <w:t>Unless separately agreed</w:t>
            </w:r>
          </w:p>
        </w:tc>
      </w:tr>
      <w:tr>
        <w:tc>
          <w:tcPr>
            <w:tcW w:type="dxa" w:w="3312"/>
            <w:vAlign w:val="center"/>
          </w:tcPr>
          <w:p>
            <w:r>
              <w:t>Keys / access cards</w:t>
            </w:r>
          </w:p>
        </w:tc>
        <w:tc>
          <w:tcPr>
            <w:tcW w:type="dxa" w:w="3312"/>
            <w:vAlign w:val="center"/>
          </w:tcPr>
          <w:p>
            <w:r>
              <w:t>Included</w:t>
            </w:r>
          </w:p>
        </w:tc>
        <w:tc>
          <w:tcPr>
            <w:tcW w:type="dxa" w:w="3312"/>
            <w:vAlign w:val="center"/>
          </w:tcPr>
          <w:p>
            <w:r>
              <w:t>To be handed over at Completion</w:t>
            </w:r>
          </w:p>
        </w:tc>
      </w:tr>
    </w:tbl>
    <w:p>
      <w:pPr>
        <w:pStyle w:val="Heading1"/>
      </w:pPr>
      <w:r>
        <w:t>SCHEDULE 5 — SELLER'S CLOSING CERTIFICATE</w:t>
      </w:r>
    </w:p>
    <w:p>
      <w:r>
        <w:t>The Seller shall deliver at Completion a signed certificate confirming that, as of Completion: (a) its representations and warranties remain materially true; (b) no undisclosed Encumbrance has been created; (c) all Seller liabilities relating to the Property due up to Completion have been paid or appropriately provided for; and (d) the Seller has complied with its material obligations under this Agreement.</w:t>
      </w:r>
    </w:p>
    <w:p>
      <w:r>
        <w:br w:type="page"/>
      </w:r>
    </w:p>
    <w:p>
      <w:pPr>
        <w:pStyle w:val="Heading1"/>
      </w:pPr>
      <w:r>
        <w:t>EXECUTION</w:t>
      </w:r>
    </w:p>
    <w:p>
      <w:r>
        <w:t>IN WITNESS WHEREOF, the Parties have executed this Agreement through their duly authorised representatives on the Agreement Date.</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t>FOR AND ON BEHALF OF</w:t>
              <w:br/>
              <w:t>APEX INDUSTRIAL ASSETS PRIVATE LIMITED</w:t>
            </w:r>
          </w:p>
        </w:tc>
        <w:tc>
          <w:tcPr>
            <w:tcW w:type="dxa" w:w="4968"/>
            <w:vAlign w:val="top"/>
          </w:tcPr>
          <w:p>
            <w:r>
              <w:t>FOR AND ON BEHALF OF</w:t>
              <w:br/>
              <w:t>LMN ASSET PVT. LTD.</w:t>
            </w:r>
          </w:p>
        </w:tc>
      </w:tr>
      <w:tr>
        <w:tc>
          <w:tcPr>
            <w:tcW w:type="dxa" w:w="4968"/>
            <w:vAlign w:val="top"/>
          </w:tcPr>
          <w:p>
            <w:r/>
          </w:p>
        </w:tc>
        <w:tc>
          <w:tcPr>
            <w:tcW w:type="dxa" w:w="4968"/>
            <w:vAlign w:val="top"/>
          </w:tcPr>
          <w:p>
            <w:r/>
          </w:p>
        </w:tc>
      </w:tr>
      <w:tr>
        <w:tc>
          <w:tcPr>
            <w:tcW w:type="dxa" w:w="4968"/>
            <w:vAlign w:val="top"/>
          </w:tcPr>
          <w:p>
            <w:r>
              <w:t>Signature: ______________________________</w:t>
            </w:r>
          </w:p>
        </w:tc>
        <w:tc>
          <w:tcPr>
            <w:tcW w:type="dxa" w:w="4968"/>
            <w:vAlign w:val="top"/>
          </w:tcPr>
          <w:p>
            <w:r>
              <w:t>Signature: ______________________________</w:t>
            </w:r>
          </w:p>
        </w:tc>
      </w:tr>
      <w:tr>
        <w:tc>
          <w:tcPr>
            <w:tcW w:type="dxa" w:w="4968"/>
            <w:vAlign w:val="top"/>
          </w:tcPr>
          <w:p>
            <w:r>
              <w:t>Name: _________________________________</w:t>
            </w:r>
          </w:p>
        </w:tc>
        <w:tc>
          <w:tcPr>
            <w:tcW w:type="dxa" w:w="4968"/>
            <w:vAlign w:val="top"/>
          </w:tcPr>
          <w:p>
            <w:r>
              <w:t>Name: _________________________________</w:t>
            </w:r>
          </w:p>
        </w:tc>
      </w:tr>
      <w:tr>
        <w:tc>
          <w:tcPr>
            <w:tcW w:type="dxa" w:w="4968"/>
            <w:vAlign w:val="top"/>
          </w:tcPr>
          <w:p>
            <w:r>
              <w:t>Designation: ____________________________</w:t>
            </w:r>
          </w:p>
        </w:tc>
        <w:tc>
          <w:tcPr>
            <w:tcW w:type="dxa" w:w="4968"/>
            <w:vAlign w:val="top"/>
          </w:tcPr>
          <w:p>
            <w:r>
              <w:t>Designation: ____________________________</w:t>
            </w:r>
          </w:p>
        </w:tc>
      </w:tr>
      <w:tr>
        <w:tc>
          <w:tcPr>
            <w:tcW w:type="dxa" w:w="4968"/>
            <w:vAlign w:val="top"/>
          </w:tcPr>
          <w:p>
            <w:r>
              <w:t>Date: 30 September 2026</w:t>
            </w:r>
          </w:p>
        </w:tc>
        <w:tc>
          <w:tcPr>
            <w:tcW w:type="dxa" w:w="4968"/>
            <w:vAlign w:val="top"/>
          </w:tcPr>
          <w:p>
            <w:r>
              <w:t>Date: 30 September 2026</w:t>
            </w:r>
          </w:p>
        </w:tc>
      </w:tr>
      <w:tr>
        <w:tc>
          <w:tcPr>
            <w:tcW w:type="dxa" w:w="4968"/>
            <w:vAlign w:val="top"/>
          </w:tcPr>
          <w:p>
            <w:r>
              <w:t>Company Seal, if applicable</w:t>
            </w:r>
          </w:p>
        </w:tc>
        <w:tc>
          <w:tcPr>
            <w:tcW w:type="dxa" w:w="4968"/>
            <w:vAlign w:val="top"/>
          </w:tcPr>
          <w:p>
            <w:r>
              <w:t>Company Seal, if applicable</w:t>
            </w:r>
          </w:p>
        </w:tc>
      </w:tr>
    </w:tbl>
    <w:p/>
    <w:p>
      <w:pPr>
        <w:pStyle w:val="Heading2"/>
      </w:pPr>
      <w:r>
        <w:t>WITNESSES</w:t>
      </w:r>
    </w:p>
    <w:tbl>
      <w:tblPr>
        <w:tblStyle w:val="TableGrid"/>
        <w:tblW w:type="auto" w:w="0"/>
        <w:jc w:val="center"/>
        <w:tblLook w:firstColumn="1" w:firstRow="1" w:lastColumn="0" w:lastRow="0" w:noHBand="0" w:noVBand="1" w:val="04A0"/>
      </w:tblPr>
      <w:tblGrid>
        <w:gridCol w:w="4968"/>
        <w:gridCol w:w="4968"/>
      </w:tblGrid>
      <w:tr>
        <w:tc>
          <w:tcPr>
            <w:tcW w:type="dxa" w:w="4968"/>
          </w:tcPr>
          <w:p>
            <w:r>
              <w:t>Witness 1</w:t>
            </w:r>
          </w:p>
        </w:tc>
        <w:tc>
          <w:tcPr>
            <w:tcW w:type="dxa" w:w="4968"/>
          </w:tcPr>
          <w:p>
            <w:r>
              <w:t>Name: ____________________  Address: ______________________________  Signature: ____________________</w:t>
            </w:r>
          </w:p>
        </w:tc>
      </w:tr>
      <w:tr>
        <w:tc>
          <w:tcPr>
            <w:tcW w:type="dxa" w:w="4968"/>
            <w:vAlign w:val="center"/>
          </w:tcPr>
          <w:p>
            <w:r>
              <w:t>Witness 2</w:t>
            </w:r>
          </w:p>
        </w:tc>
        <w:tc>
          <w:tcPr>
            <w:tcW w:type="dxa" w:w="4968"/>
            <w:vAlign w:val="center"/>
          </w:tcPr>
          <w:p>
            <w:r>
              <w:t>Name: ____________________  Address: ______________________________  Signature: ____________________</w:t>
            </w:r>
          </w:p>
        </w:tc>
      </w:tr>
    </w:tbl>
    <w:p/>
    <w:p>
      <w:r>
        <w:rPr>
          <w:b/>
        </w:rPr>
        <w:t xml:space="preserve">IMPORTANT DRAFTING NOTE: </w:t>
      </w:r>
      <w:r>
        <w:t>This document is a fully populated illustrative Sale Agreement based on the same hypothetical transaction used in the LMN Asset Purchase Agreement and Valuation Memorandum. The seller names, addresses, property description, area and transaction terms are illustrative and must be replaced/verified against actual legal documents before execution. The final sale instrument should be reviewed by qualified Indian legal counsel, including for title, stamp duty, registration, tax/GST treatment, applicable property law and local requirements.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Illustrative Transaction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7"/>
      </w:rPr>
      <w:t>LMN ASSET PVT. LTD.  |  SALE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