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sz w:val="18"/>
        </w:rPr>
        <w:t>LMN ASSET PVT. LTD. | VALUATION MEMORANDUM</w:t>
      </w:r>
    </w:p>
    <w:p>
      <w:pPr>
        <w:spacing w:after="20"/>
        <w:jc w:val="center"/>
      </w:pPr>
      <w:r>
        <w:rPr>
          <w:b/>
          <w:sz w:val="16"/>
        </w:rPr>
        <w:t>Confidential — Illustrative Transaction Document</w:t>
      </w:r>
    </w:p>
    <w:p>
      <w:pPr>
        <w:spacing w:after="40"/>
        <w:jc w:val="center"/>
      </w:pPr>
      <w:r>
        <w:rPr>
          <w:b/>
          <w:sz w:val="34"/>
        </w:rPr>
        <w:t>VALUATION MEMORANDUM</w:t>
      </w:r>
    </w:p>
    <w:p>
      <w:pPr>
        <w:spacing w:after="60"/>
        <w:jc w:val="center"/>
      </w:pPr>
      <w:r>
        <w:rPr>
          <w:b/>
          <w:sz w:val="21"/>
        </w:rPr>
        <w:t>Commercial Office Property — Dallas, Texas, USA</w:t>
      </w:r>
    </w:p>
    <w:tbl>
      <w:tblPr>
        <w:tblStyle w:val="TableGrid"/>
        <w:tblW w:type="auto" w:w="0"/>
        <w:jc w:val="center"/>
        <w:tblLook w:firstColumn="1" w:firstRow="1" w:lastColumn="0" w:lastRow="0" w:noHBand="0" w:noVBand="1" w:val="04A0"/>
      </w:tblPr>
      <w:tblGrid>
        <w:gridCol w:w="5328"/>
        <w:gridCol w:w="5328"/>
      </w:tblGrid>
      <w:tr>
        <w:tc>
          <w:tcPr>
            <w:tcW w:type="dxa" w:w="3240"/>
            <w:vAlign w:val="center"/>
          </w:tcPr>
          <w:p>
            <w:pPr>
              <w:spacing w:after="0"/>
            </w:pPr>
            <w:r/>
            <w:r>
              <w:rPr>
                <w:rFonts w:ascii="Arial" w:hAnsi="Arial"/>
                <w:b w:val="0"/>
                <w:sz w:val="16"/>
              </w:rPr>
              <w:t>Prepared for</w:t>
            </w:r>
          </w:p>
        </w:tc>
        <w:tc>
          <w:tcPr>
            <w:tcW w:type="dxa" w:w="6984"/>
            <w:vAlign w:val="center"/>
          </w:tcPr>
          <w:p>
            <w:pPr>
              <w:spacing w:after="0"/>
            </w:pPr>
            <w:r/>
            <w:r>
              <w:rPr>
                <w:rFonts w:ascii="Arial" w:hAnsi="Arial"/>
                <w:b w:val="0"/>
                <w:sz w:val="16"/>
              </w:rPr>
              <w:t>LMN Asset Pvt. Ltd.</w:t>
            </w:r>
          </w:p>
        </w:tc>
      </w:tr>
      <w:tr>
        <w:tc>
          <w:tcPr>
            <w:tcW w:type="dxa" w:w="3240"/>
            <w:vAlign w:val="center"/>
          </w:tcPr>
          <w:p>
            <w:pPr>
              <w:spacing w:after="0"/>
            </w:pPr>
            <w:r/>
            <w:r>
              <w:rPr>
                <w:rFonts w:ascii="Arial" w:hAnsi="Arial"/>
                <w:b w:val="0"/>
                <w:sz w:val="16"/>
              </w:rPr>
              <w:t>Valuation Date</w:t>
            </w:r>
          </w:p>
        </w:tc>
        <w:tc>
          <w:tcPr>
            <w:tcW w:type="dxa" w:w="6984"/>
            <w:vAlign w:val="center"/>
          </w:tcPr>
          <w:p>
            <w:pPr>
              <w:spacing w:after="0"/>
            </w:pPr>
            <w:r/>
            <w:r>
              <w:rPr>
                <w:rFonts w:ascii="Arial" w:hAnsi="Arial"/>
                <w:b w:val="0"/>
                <w:sz w:val="16"/>
              </w:rPr>
              <w:t>30 September 2026</w:t>
            </w:r>
          </w:p>
        </w:tc>
      </w:tr>
      <w:tr>
        <w:tc>
          <w:tcPr>
            <w:tcW w:type="dxa" w:w="3240"/>
            <w:vAlign w:val="center"/>
          </w:tcPr>
          <w:p>
            <w:pPr>
              <w:spacing w:after="0"/>
            </w:pPr>
            <w:r/>
            <w:r>
              <w:rPr>
                <w:rFonts w:ascii="Arial" w:hAnsi="Arial"/>
                <w:b w:val="0"/>
                <w:sz w:val="16"/>
              </w:rPr>
              <w:t>Status</w:t>
            </w:r>
          </w:p>
        </w:tc>
        <w:tc>
          <w:tcPr>
            <w:tcW w:type="dxa" w:w="6984"/>
            <w:vAlign w:val="center"/>
          </w:tcPr>
          <w:p>
            <w:pPr>
              <w:spacing w:after="0"/>
            </w:pPr>
            <w:r/>
            <w:r>
              <w:rPr>
                <w:rFonts w:ascii="Arial" w:hAnsi="Arial"/>
                <w:b w:val="0"/>
                <w:sz w:val="16"/>
              </w:rPr>
              <w:t>Illustrative / Transaction-Supporting Memorandum</w:t>
            </w:r>
          </w:p>
        </w:tc>
      </w:tr>
      <w:tr>
        <w:tc>
          <w:tcPr>
            <w:tcW w:type="dxa" w:w="3240"/>
            <w:vAlign w:val="center"/>
          </w:tcPr>
          <w:p>
            <w:pPr>
              <w:spacing w:after="0"/>
            </w:pPr>
            <w:r/>
            <w:r>
              <w:rPr>
                <w:rFonts w:ascii="Arial" w:hAnsi="Arial"/>
                <w:b w:val="0"/>
                <w:sz w:val="16"/>
              </w:rPr>
              <w:t>Valuation Subject</w:t>
            </w:r>
          </w:p>
        </w:tc>
        <w:tc>
          <w:tcPr>
            <w:tcW w:type="dxa" w:w="6984"/>
            <w:vAlign w:val="center"/>
          </w:tcPr>
          <w:p>
            <w:pPr>
              <w:spacing w:after="0"/>
            </w:pPr>
            <w:r/>
            <w:r>
              <w:rPr>
                <w:rFonts w:ascii="Arial" w:hAnsi="Arial"/>
                <w:b w:val="0"/>
                <w:sz w:val="16"/>
              </w:rPr>
              <w:t>Commercial office property</w:t>
            </w:r>
          </w:p>
        </w:tc>
      </w:tr>
      <w:tr>
        <w:tc>
          <w:tcPr>
            <w:tcW w:type="dxa" w:w="3240"/>
            <w:vAlign w:val="center"/>
          </w:tcPr>
          <w:p>
            <w:pPr>
              <w:spacing w:after="0"/>
            </w:pPr>
            <w:r/>
            <w:r>
              <w:rPr>
                <w:rFonts w:ascii="Arial" w:hAnsi="Arial"/>
                <w:b w:val="0"/>
                <w:sz w:val="16"/>
              </w:rPr>
              <w:t>Location</w:t>
            </w:r>
          </w:p>
        </w:tc>
        <w:tc>
          <w:tcPr>
            <w:tcW w:type="dxa" w:w="6984"/>
            <w:vAlign w:val="center"/>
          </w:tcPr>
          <w:p>
            <w:pPr>
              <w:spacing w:after="0"/>
            </w:pPr>
            <w:r/>
            <w:r>
              <w:rPr>
                <w:rFonts w:ascii="Arial" w:hAnsi="Arial"/>
                <w:b w:val="0"/>
                <w:sz w:val="16"/>
              </w:rPr>
              <w:t>Dallas, Texas, USA</w:t>
            </w:r>
          </w:p>
        </w:tc>
      </w:tr>
      <w:tr>
        <w:tc>
          <w:tcPr>
            <w:tcW w:type="dxa" w:w="3240"/>
            <w:vAlign w:val="center"/>
          </w:tcPr>
          <w:p>
            <w:pPr>
              <w:spacing w:after="0"/>
            </w:pPr>
            <w:r/>
            <w:r>
              <w:rPr>
                <w:rFonts w:ascii="Arial" w:hAnsi="Arial"/>
                <w:b w:val="0"/>
                <w:sz w:val="16"/>
              </w:rPr>
              <w:t>Approx. Super Area</w:t>
            </w:r>
          </w:p>
        </w:tc>
        <w:tc>
          <w:tcPr>
            <w:tcW w:type="dxa" w:w="6984"/>
            <w:vAlign w:val="center"/>
          </w:tcPr>
          <w:p>
            <w:pPr>
              <w:spacing w:after="0"/>
            </w:pPr>
            <w:r/>
            <w:r>
              <w:rPr>
                <w:rFonts w:ascii="Arial" w:hAnsi="Arial"/>
                <w:b w:val="0"/>
                <w:sz w:val="16"/>
              </w:rPr>
              <w:t>3,250 sq. ft.</w:t>
            </w:r>
          </w:p>
        </w:tc>
      </w:tr>
      <w:tr>
        <w:tc>
          <w:tcPr>
            <w:tcW w:type="dxa" w:w="3240"/>
            <w:vAlign w:val="center"/>
          </w:tcPr>
          <w:p>
            <w:pPr>
              <w:spacing w:after="0"/>
            </w:pPr>
            <w:r/>
            <w:r>
              <w:rPr>
                <w:rFonts w:ascii="Arial" w:hAnsi="Arial"/>
                <w:b w:val="0"/>
                <w:sz w:val="16"/>
              </w:rPr>
              <w:t>Proposed Purchase Price</w:t>
            </w:r>
          </w:p>
        </w:tc>
        <w:tc>
          <w:tcPr>
            <w:tcW w:type="dxa" w:w="6984"/>
            <w:vAlign w:val="center"/>
          </w:tcPr>
          <w:p>
            <w:pPr>
              <w:spacing w:after="0"/>
            </w:pPr>
            <w:r/>
            <w:r>
              <w:rPr>
                <w:rFonts w:ascii="Arial" w:hAnsi="Arial"/>
                <w:b w:val="0"/>
                <w:sz w:val="16"/>
              </w:rPr>
              <w:t>$2,200,000 USD</w:t>
            </w:r>
          </w:p>
        </w:tc>
      </w:tr>
      <w:tr>
        <w:tc>
          <w:tcPr>
            <w:tcW w:type="dxa" w:w="3240"/>
            <w:vAlign w:val="center"/>
          </w:tcPr>
          <w:p>
            <w:pPr>
              <w:spacing w:after="0"/>
            </w:pPr>
            <w:r/>
            <w:r>
              <w:rPr>
                <w:rFonts w:ascii="Arial" w:hAnsi="Arial"/>
                <w:b w:val="0"/>
                <w:sz w:val="16"/>
              </w:rPr>
              <w:t>Implied Purchase Price / sq. ft.</w:t>
            </w:r>
          </w:p>
        </w:tc>
        <w:tc>
          <w:tcPr>
            <w:tcW w:type="dxa" w:w="6984"/>
            <w:vAlign w:val="center"/>
          </w:tcPr>
          <w:p>
            <w:pPr>
              <w:spacing w:after="0"/>
            </w:pPr>
            <w:r/>
            <w:r>
              <w:rPr>
                <w:rFonts w:ascii="Arial" w:hAnsi="Arial"/>
                <w:b w:val="0"/>
                <w:sz w:val="16"/>
              </w:rPr>
              <w:t>$676.92 per sq. ft. (approx.)</w:t>
            </w:r>
          </w:p>
        </w:tc>
      </w:tr>
      <w:tr>
        <w:tc>
          <w:tcPr>
            <w:tcW w:type="dxa" w:w="3240"/>
            <w:vAlign w:val="center"/>
          </w:tcPr>
          <w:p>
            <w:pPr>
              <w:spacing w:after="0"/>
            </w:pPr>
            <w:r/>
            <w:r>
              <w:rPr>
                <w:rFonts w:ascii="Arial" w:hAnsi="Arial"/>
                <w:b w:val="0"/>
                <w:sz w:val="16"/>
              </w:rPr>
              <w:t>Indicative Fair Value Conclusion</w:t>
            </w:r>
          </w:p>
        </w:tc>
        <w:tc>
          <w:tcPr>
            <w:tcW w:type="dxa" w:w="6984"/>
            <w:vAlign w:val="center"/>
          </w:tcPr>
          <w:p>
            <w:pPr>
              <w:spacing w:after="0"/>
            </w:pPr>
            <w:r/>
            <w:r>
              <w:rPr>
                <w:rFonts w:ascii="Arial" w:hAnsi="Arial"/>
                <w:b w:val="0"/>
                <w:sz w:val="16"/>
              </w:rPr>
              <w:t>$2,200,000</w:t>
            </w:r>
          </w:p>
        </w:tc>
      </w:tr>
      <w:tr>
        <w:tc>
          <w:tcPr>
            <w:tcW w:type="dxa" w:w="3240"/>
            <w:vAlign w:val="center"/>
          </w:tcPr>
          <w:p>
            <w:pPr>
              <w:spacing w:after="0"/>
            </w:pPr>
            <w:r/>
            <w:r>
              <w:rPr>
                <w:rFonts w:ascii="Arial" w:hAnsi="Arial"/>
                <w:b w:val="0"/>
                <w:sz w:val="16"/>
              </w:rPr>
              <w:t>Indicative Value Range</w:t>
            </w:r>
          </w:p>
        </w:tc>
        <w:tc>
          <w:tcPr>
            <w:tcW w:type="dxa" w:w="6984"/>
            <w:vAlign w:val="center"/>
          </w:tcPr>
          <w:p>
            <w:pPr>
              <w:spacing w:after="0"/>
            </w:pPr>
            <w:r/>
            <w:r>
              <w:rPr>
                <w:rFonts w:ascii="Arial" w:hAnsi="Arial"/>
                <w:b w:val="0"/>
                <w:sz w:val="16"/>
              </w:rPr>
              <w:t>$2,070,000 – $2,335,000</w:t>
            </w:r>
          </w:p>
        </w:tc>
      </w:tr>
    </w:tbl>
    <w:p>
      <w:pPr>
        <w:spacing w:before="100" w:after="40"/>
      </w:pPr>
      <w:r>
        <w:rPr>
          <w:rFonts w:ascii="Arial" w:hAnsi="Arial"/>
          <w:b/>
          <w:sz w:val="22"/>
        </w:rPr>
        <w:t>1. PURPOSE AND SCOPE</w:t>
      </w:r>
    </w:p>
    <w:p>
      <w:pPr>
        <w:spacing w:after="60"/>
      </w:pPr>
      <w:r>
        <w:rPr>
          <w:sz w:val="17"/>
        </w:rPr>
        <w:t>This Valuation Memorandum (the “Memo”) has been prepared for LMN Asset Pvt. Ltd. to document an indicative valuation assessment of the commercial office property proposed to be acquired under the related Sale Agreement. The Memo is intended to support transaction review, internal investment approval, accounting documentation and asset-record purposes.</w:t>
      </w:r>
    </w:p>
    <w:p>
      <w:pPr>
        <w:spacing w:after="60"/>
      </w:pPr>
      <w:r>
        <w:rPr>
          <w:sz w:val="17"/>
        </w:rPr>
        <w:t>This is an illustrative valuation memorandum based on the transaction facts used in the accompanying illustrative Sale Agreement. It is not an independent statutory valuation report, certified appraisal, MAI appraisal, or valuation opinion for a regulated filing.</w:t>
      </w:r>
    </w:p>
    <w:p>
      <w:pPr>
        <w:spacing w:before="100" w:after="40"/>
      </w:pPr>
      <w:r>
        <w:rPr>
          <w:rFonts w:ascii="Arial" w:hAnsi="Arial"/>
          <w:b/>
          <w:sz w:val="22"/>
        </w:rPr>
        <w:t>2. ASSET IDENTIFICATION</w:t>
      </w:r>
    </w:p>
    <w:tbl>
      <w:tblPr>
        <w:tblStyle w:val="TableGrid"/>
        <w:tblW w:type="auto" w:w="0"/>
        <w:jc w:val="center"/>
        <w:tblLook w:firstColumn="1" w:firstRow="1" w:lastColumn="0" w:lastRow="0" w:noHBand="0" w:noVBand="1" w:val="04A0"/>
      </w:tblPr>
      <w:tblGrid>
        <w:gridCol w:w="5328"/>
        <w:gridCol w:w="5328"/>
      </w:tblGrid>
      <w:tr>
        <w:tc>
          <w:tcPr>
            <w:tcW w:type="dxa" w:w="3240"/>
            <w:vAlign w:val="center"/>
            <w:shd w:fill="D9E1F2"/>
          </w:tcPr>
          <w:p>
            <w:pPr>
              <w:spacing w:after="0"/>
            </w:pPr>
            <w:r/>
            <w:r>
              <w:rPr>
                <w:rFonts w:ascii="Arial" w:hAnsi="Arial"/>
                <w:b/>
                <w:sz w:val="16"/>
              </w:rPr>
              <w:t>Particular</w:t>
            </w:r>
          </w:p>
        </w:tc>
        <w:tc>
          <w:tcPr>
            <w:tcW w:type="dxa" w:w="6984"/>
            <w:vAlign w:val="center"/>
            <w:shd w:fill="D9E1F2"/>
          </w:tcPr>
          <w:p>
            <w:pPr>
              <w:spacing w:after="0"/>
            </w:pPr>
            <w:r/>
            <w:r>
              <w:rPr>
                <w:rFonts w:ascii="Arial" w:hAnsi="Arial"/>
                <w:b/>
                <w:sz w:val="16"/>
              </w:rPr>
              <w:t>Details</w:t>
            </w:r>
          </w:p>
        </w:tc>
      </w:tr>
      <w:tr>
        <w:tc>
          <w:tcPr>
            <w:tcW w:type="dxa" w:w="3240"/>
            <w:vAlign w:val="center"/>
          </w:tcPr>
          <w:p>
            <w:pPr>
              <w:spacing w:after="0"/>
            </w:pPr>
            <w:r/>
            <w:r>
              <w:rPr>
                <w:rFonts w:ascii="Arial" w:hAnsi="Arial"/>
                <w:b w:val="0"/>
                <w:sz w:val="16"/>
              </w:rPr>
              <w:t>Asset Type</w:t>
            </w:r>
          </w:p>
        </w:tc>
        <w:tc>
          <w:tcPr>
            <w:tcW w:type="dxa" w:w="6984"/>
            <w:vAlign w:val="center"/>
          </w:tcPr>
          <w:p>
            <w:pPr>
              <w:spacing w:after="0"/>
            </w:pPr>
            <w:r/>
            <w:r>
              <w:rPr>
                <w:rFonts w:ascii="Arial" w:hAnsi="Arial"/>
                <w:b w:val="0"/>
                <w:sz w:val="16"/>
              </w:rPr>
              <w:t>Commercial office property</w:t>
            </w:r>
          </w:p>
        </w:tc>
      </w:tr>
      <w:tr>
        <w:tc>
          <w:tcPr>
            <w:tcW w:type="dxa" w:w="3240"/>
            <w:vAlign w:val="center"/>
          </w:tcPr>
          <w:p>
            <w:pPr>
              <w:spacing w:after="0"/>
            </w:pPr>
            <w:r/>
            <w:r>
              <w:rPr>
                <w:rFonts w:ascii="Arial" w:hAnsi="Arial"/>
                <w:b w:val="0"/>
                <w:sz w:val="16"/>
              </w:rPr>
              <w:t>Property Location</w:t>
            </w:r>
          </w:p>
        </w:tc>
        <w:tc>
          <w:tcPr>
            <w:tcW w:type="dxa" w:w="6984"/>
            <w:vAlign w:val="center"/>
          </w:tcPr>
          <w:p>
            <w:pPr>
              <w:spacing w:after="0"/>
            </w:pPr>
            <w:r/>
            <w:r>
              <w:rPr>
                <w:rFonts w:ascii="Arial" w:hAnsi="Arial"/>
                <w:b w:val="0"/>
                <w:sz w:val="16"/>
              </w:rPr>
              <w:t>114 Commerce Center Drive, Dallas, Texas 75201, USA</w:t>
            </w:r>
          </w:p>
        </w:tc>
      </w:tr>
      <w:tr>
        <w:tc>
          <w:tcPr>
            <w:tcW w:type="dxa" w:w="3240"/>
            <w:vAlign w:val="center"/>
          </w:tcPr>
          <w:p>
            <w:pPr>
              <w:spacing w:after="0"/>
            </w:pPr>
            <w:r/>
            <w:r>
              <w:rPr>
                <w:rFonts w:ascii="Arial" w:hAnsi="Arial"/>
                <w:b w:val="0"/>
                <w:sz w:val="16"/>
              </w:rPr>
              <w:t>Approximate Area</w:t>
            </w:r>
          </w:p>
        </w:tc>
        <w:tc>
          <w:tcPr>
            <w:tcW w:type="dxa" w:w="6984"/>
            <w:vAlign w:val="center"/>
          </w:tcPr>
          <w:p>
            <w:pPr>
              <w:spacing w:after="0"/>
            </w:pPr>
            <w:r/>
            <w:r>
              <w:rPr>
                <w:rFonts w:ascii="Arial" w:hAnsi="Arial"/>
                <w:b w:val="0"/>
                <w:sz w:val="16"/>
              </w:rPr>
              <w:t>3,250 sq. ft.</w:t>
            </w:r>
          </w:p>
        </w:tc>
      </w:tr>
      <w:tr>
        <w:tc>
          <w:tcPr>
            <w:tcW w:type="dxa" w:w="3240"/>
            <w:vAlign w:val="center"/>
          </w:tcPr>
          <w:p>
            <w:pPr>
              <w:spacing w:after="0"/>
            </w:pPr>
            <w:r/>
            <w:r>
              <w:rPr>
                <w:rFonts w:ascii="Arial" w:hAnsi="Arial"/>
                <w:b w:val="0"/>
                <w:sz w:val="16"/>
              </w:rPr>
              <w:t>Parcel / Property Reference</w:t>
            </w:r>
          </w:p>
        </w:tc>
        <w:tc>
          <w:tcPr>
            <w:tcW w:type="dxa" w:w="6984"/>
            <w:vAlign w:val="center"/>
          </w:tcPr>
          <w:p>
            <w:pPr>
              <w:spacing w:after="0"/>
            </w:pPr>
            <w:r/>
            <w:r>
              <w:rPr>
                <w:rFonts w:ascii="Arial" w:hAnsi="Arial"/>
                <w:b w:val="0"/>
                <w:sz w:val="16"/>
              </w:rPr>
              <w:t>Parcel No. 0001147, Dallas County, Texas (Illustrative)</w:t>
            </w:r>
          </w:p>
        </w:tc>
      </w:tr>
      <w:tr>
        <w:tc>
          <w:tcPr>
            <w:tcW w:type="dxa" w:w="3240"/>
            <w:vAlign w:val="center"/>
          </w:tcPr>
          <w:p>
            <w:pPr>
              <w:spacing w:after="0"/>
            </w:pPr>
            <w:r/>
            <w:r>
              <w:rPr>
                <w:rFonts w:ascii="Arial" w:hAnsi="Arial"/>
                <w:b w:val="0"/>
                <w:sz w:val="16"/>
              </w:rPr>
              <w:t>Occupancy / Use</w:t>
            </w:r>
          </w:p>
        </w:tc>
        <w:tc>
          <w:tcPr>
            <w:tcW w:type="dxa" w:w="6984"/>
            <w:vAlign w:val="center"/>
          </w:tcPr>
          <w:p>
            <w:pPr>
              <w:spacing w:after="0"/>
            </w:pPr>
            <w:r/>
            <w:r>
              <w:rPr>
                <w:rFonts w:ascii="Arial" w:hAnsi="Arial"/>
                <w:b w:val="0"/>
                <w:sz w:val="16"/>
              </w:rPr>
              <w:t>Office / commercial use</w:t>
            </w:r>
          </w:p>
        </w:tc>
      </w:tr>
      <w:tr>
        <w:tc>
          <w:tcPr>
            <w:tcW w:type="dxa" w:w="3240"/>
            <w:vAlign w:val="center"/>
          </w:tcPr>
          <w:p>
            <w:pPr>
              <w:spacing w:after="0"/>
            </w:pPr>
            <w:r/>
            <w:r>
              <w:rPr>
                <w:rFonts w:ascii="Arial" w:hAnsi="Arial"/>
                <w:b w:val="0"/>
                <w:sz w:val="16"/>
              </w:rPr>
              <w:t>Proposed Owner</w:t>
            </w:r>
          </w:p>
        </w:tc>
        <w:tc>
          <w:tcPr>
            <w:tcW w:type="dxa" w:w="6984"/>
            <w:vAlign w:val="center"/>
          </w:tcPr>
          <w:p>
            <w:pPr>
              <w:spacing w:after="0"/>
            </w:pPr>
            <w:r/>
            <w:r>
              <w:rPr>
                <w:rFonts w:ascii="Arial" w:hAnsi="Arial"/>
                <w:b w:val="0"/>
                <w:sz w:val="16"/>
              </w:rPr>
              <w:t>LMN Asset Pvt. Ltd.</w:t>
            </w:r>
          </w:p>
        </w:tc>
      </w:tr>
      <w:tr>
        <w:tc>
          <w:tcPr>
            <w:tcW w:type="dxa" w:w="3240"/>
            <w:vAlign w:val="center"/>
          </w:tcPr>
          <w:p>
            <w:pPr>
              <w:spacing w:after="0"/>
            </w:pPr>
            <w:r/>
            <w:r>
              <w:rPr>
                <w:rFonts w:ascii="Arial" w:hAnsi="Arial"/>
                <w:b w:val="0"/>
                <w:sz w:val="16"/>
              </w:rPr>
              <w:t>Seller</w:t>
            </w:r>
          </w:p>
        </w:tc>
        <w:tc>
          <w:tcPr>
            <w:tcW w:type="dxa" w:w="6984"/>
            <w:vAlign w:val="center"/>
          </w:tcPr>
          <w:p>
            <w:pPr>
              <w:spacing w:after="0"/>
            </w:pPr>
            <w:r/>
            <w:r>
              <w:rPr>
                <w:rFonts w:ascii="Arial" w:hAnsi="Arial"/>
                <w:b w:val="0"/>
                <w:sz w:val="16"/>
              </w:rPr>
              <w:t>Apex Industrial Assets Private Limited</w:t>
            </w:r>
          </w:p>
        </w:tc>
      </w:tr>
      <w:tr>
        <w:tc>
          <w:tcPr>
            <w:tcW w:type="dxa" w:w="3240"/>
            <w:vAlign w:val="center"/>
          </w:tcPr>
          <w:p>
            <w:pPr>
              <w:spacing w:after="0"/>
            </w:pPr>
            <w:r/>
            <w:r>
              <w:rPr>
                <w:rFonts w:ascii="Arial" w:hAnsi="Arial"/>
                <w:b w:val="0"/>
                <w:sz w:val="16"/>
              </w:rPr>
              <w:t>Transaction Date</w:t>
            </w:r>
          </w:p>
        </w:tc>
        <w:tc>
          <w:tcPr>
            <w:tcW w:type="dxa" w:w="6984"/>
            <w:vAlign w:val="center"/>
          </w:tcPr>
          <w:p>
            <w:pPr>
              <w:spacing w:after="0"/>
            </w:pPr>
            <w:r/>
            <w:r>
              <w:rPr>
                <w:rFonts w:ascii="Arial" w:hAnsi="Arial"/>
                <w:b w:val="0"/>
                <w:sz w:val="16"/>
              </w:rPr>
              <w:t>30 September 2026</w:t>
            </w:r>
          </w:p>
        </w:tc>
      </w:tr>
      <w:tr>
        <w:tc>
          <w:tcPr>
            <w:tcW w:type="dxa" w:w="3240"/>
            <w:vAlign w:val="center"/>
          </w:tcPr>
          <w:p>
            <w:pPr>
              <w:spacing w:after="0"/>
            </w:pPr>
            <w:r/>
            <w:r>
              <w:rPr>
                <w:rFonts w:ascii="Arial" w:hAnsi="Arial"/>
                <w:b w:val="0"/>
                <w:sz w:val="16"/>
              </w:rPr>
              <w:t>Proposed Acquisition Consideration</w:t>
            </w:r>
          </w:p>
        </w:tc>
        <w:tc>
          <w:tcPr>
            <w:tcW w:type="dxa" w:w="6984"/>
            <w:vAlign w:val="center"/>
          </w:tcPr>
          <w:p>
            <w:pPr>
              <w:spacing w:after="0"/>
            </w:pPr>
            <w:r/>
            <w:r>
              <w:rPr>
                <w:rFonts w:ascii="Arial" w:hAnsi="Arial"/>
                <w:b w:val="0"/>
                <w:sz w:val="16"/>
              </w:rPr>
              <w:t>$2,200,000</w:t>
            </w:r>
          </w:p>
        </w:tc>
      </w:tr>
    </w:tbl>
    <w:p>
      <w:pPr>
        <w:spacing w:after="60"/>
      </w:pPr>
      <w:r>
        <w:rPr>
          <w:sz w:val="17"/>
        </w:rPr>
        <w:t>The property particulars above are carried forward from the illustrative Sale Agreement and are subject to confirmation against title documents, recorded deed, survey/measurement records, county property records, zoning/use documentation and other due-diligence materials.</w:t>
      </w:r>
    </w:p>
    <w:p>
      <w:pPr>
        <w:spacing w:before="100" w:after="40"/>
      </w:pPr>
      <w:r>
        <w:rPr>
          <w:rFonts w:ascii="Arial" w:hAnsi="Arial"/>
          <w:b/>
          <w:sz w:val="22"/>
        </w:rPr>
        <w:t>3. VALUATION BASIS</w:t>
      </w:r>
    </w:p>
    <w:p>
      <w:pPr>
        <w:spacing w:after="60"/>
      </w:pPr>
      <w:r>
        <w:rPr>
          <w:sz w:val="17"/>
        </w:rPr>
        <w:t>The primary basis adopted is an indicative Market Value approach. Market Value is interpreted for this Memo as the estimated amount for which the asset could reasonably exchange between a willing buyer and willing seller in an arm’s-length transaction, after appropriate marketing and with both parties acting knowledgeably and without compulsion.</w:t>
      </w:r>
    </w:p>
    <w:p>
      <w:pPr>
        <w:spacing w:after="60"/>
      </w:pPr>
      <w:r>
        <w:rPr>
          <w:sz w:val="17"/>
        </w:rPr>
        <w:t>The valuation assumes a legally permissible and economically viable office use, subject to confirmation of title, zoning, development permissions, building approvals, access, occupancy status and other relevant property matters.</w:t>
      </w:r>
    </w:p>
    <w:p>
      <w:pPr>
        <w:spacing w:before="100" w:after="40"/>
      </w:pPr>
      <w:r>
        <w:rPr>
          <w:rFonts w:ascii="Arial" w:hAnsi="Arial"/>
          <w:b/>
          <w:sz w:val="22"/>
        </w:rPr>
        <w:t>4. KEY ASSUMPTIONS</w:t>
      </w:r>
    </w:p>
    <w:p>
      <w:pPr>
        <w:spacing w:after="30"/>
        <w:ind w:left="230" w:hanging="230"/>
      </w:pPr>
      <w:r>
        <w:rPr>
          <w:b/>
        </w:rPr>
        <w:t xml:space="preserve">• </w:t>
      </w:r>
      <w:r>
        <w:rPr>
          <w:sz w:val="17"/>
        </w:rPr>
        <w:t>The Seller has good and transferable fee-simple title to the property and can transfer the property free from undisclosed encumbrances.</w:t>
      </w:r>
    </w:p>
    <w:p>
      <w:pPr>
        <w:spacing w:after="30"/>
        <w:ind w:left="230" w:hanging="230"/>
      </w:pPr>
      <w:r>
        <w:rPr>
          <w:b/>
        </w:rPr>
        <w:t xml:space="preserve">• </w:t>
      </w:r>
      <w:r>
        <w:rPr>
          <w:sz w:val="17"/>
        </w:rPr>
        <w:t>The stated area of approximately 3,250 sq. ft. is substantially correct and any material difference will be reflected in a revised valuation.</w:t>
      </w:r>
    </w:p>
    <w:p>
      <w:pPr>
        <w:spacing w:after="30"/>
        <w:ind w:left="230" w:hanging="230"/>
      </w:pPr>
      <w:r>
        <w:rPr>
          <w:b/>
        </w:rPr>
        <w:t xml:space="preserve">• </w:t>
      </w:r>
      <w:r>
        <w:rPr>
          <w:sz w:val="17"/>
        </w:rPr>
        <w:t>The property has lawful commercial/office use and the relevant approvals are valid and transferable as applicable.</w:t>
      </w:r>
    </w:p>
    <w:p>
      <w:pPr>
        <w:spacing w:after="30"/>
        <w:ind w:left="230" w:hanging="230"/>
      </w:pPr>
      <w:r>
        <w:rPr>
          <w:b/>
        </w:rPr>
        <w:t xml:space="preserve">• </w:t>
      </w:r>
      <w:r>
        <w:rPr>
          <w:sz w:val="17"/>
        </w:rPr>
        <w:t>The property is reasonably marketable and is not subject to undisclosed litigation, acquisition proceedings, tenancy claims or material defects.</w:t>
      </w:r>
    </w:p>
    <w:p>
      <w:pPr>
        <w:spacing w:after="30"/>
        <w:ind w:left="230" w:hanging="230"/>
      </w:pPr>
      <w:r>
        <w:rPr>
          <w:b/>
        </w:rPr>
        <w:t xml:space="preserve">• </w:t>
      </w:r>
      <w:r>
        <w:rPr>
          <w:sz w:val="17"/>
        </w:rPr>
        <w:t>No extraordinary environmental contamination, structural defect or other latent condition exists that would materially reduce value.</w:t>
      </w:r>
    </w:p>
    <w:p>
      <w:pPr>
        <w:spacing w:after="30"/>
        <w:ind w:left="230" w:hanging="230"/>
      </w:pPr>
      <w:r>
        <w:rPr>
          <w:b/>
        </w:rPr>
        <w:t xml:space="preserve">• </w:t>
      </w:r>
      <w:r>
        <w:rPr>
          <w:sz w:val="17"/>
        </w:rPr>
        <w:t>The valuation does not separately assign value to movable furniture, equipment, securities, receivables or business goodwill unless expressly included in the transaction.</w:t>
      </w:r>
    </w:p>
    <w:p>
      <w:pPr>
        <w:spacing w:after="30"/>
        <w:ind w:left="230" w:hanging="230"/>
      </w:pPr>
      <w:r>
        <w:rPr>
          <w:b/>
        </w:rPr>
        <w:t xml:space="preserve">• </w:t>
      </w:r>
      <w:r>
        <w:rPr>
          <w:sz w:val="17"/>
        </w:rPr>
        <w:t>Transaction taxes, recording fees, title/escrow charges and financing costs are excluded from the concluded property value unless specifically stated.</w:t>
      </w:r>
    </w:p>
    <w:p>
      <w:pPr>
        <w:spacing w:before="100" w:after="40"/>
      </w:pPr>
      <w:r>
        <w:rPr>
          <w:rFonts w:ascii="Arial" w:hAnsi="Arial"/>
          <w:b/>
          <w:sz w:val="22"/>
        </w:rPr>
        <w:t>5. VALUATION APPROACHES</w:t>
      </w:r>
    </w:p>
    <w:p>
      <w:pPr>
        <w:spacing w:before="100" w:after="40"/>
      </w:pPr>
      <w:r>
        <w:rPr>
          <w:rFonts w:ascii="Arial" w:hAnsi="Arial"/>
          <w:b/>
          <w:sz w:val="19"/>
        </w:rPr>
        <w:t>5.1 Comparable Market Approach</w:t>
      </w:r>
    </w:p>
    <w:p>
      <w:pPr>
        <w:spacing w:after="60"/>
      </w:pPr>
      <w:r>
        <w:rPr>
          <w:sz w:val="17"/>
        </w:rPr>
        <w:t>For an income-producing commercial office asset, comparable market evidence is generally a direct indicator of market value. For this illustrative assessment, an indicative market-rate band of $665–$720 per sq. ft. has been applied to the stated 3,250 sq. ft. area.</w:t>
      </w:r>
    </w:p>
    <w:tbl>
      <w:tblPr>
        <w:tblStyle w:val="TableGrid"/>
        <w:tblW w:type="auto" w:w="0"/>
        <w:jc w:val="center"/>
        <w:tblLook w:firstColumn="1" w:firstRow="1" w:lastColumn="0" w:lastRow="0" w:noHBand="0" w:noVBand="1" w:val="04A0"/>
      </w:tblPr>
      <w:tblGrid>
        <w:gridCol w:w="3552"/>
        <w:gridCol w:w="3552"/>
        <w:gridCol w:w="3552"/>
      </w:tblGrid>
      <w:tr>
        <w:tc>
          <w:tcPr>
            <w:tcW w:type="dxa" w:w="1944"/>
            <w:vAlign w:val="center"/>
            <w:shd w:fill="D9E1F2"/>
          </w:tcPr>
          <w:p>
            <w:pPr>
              <w:spacing w:after="0"/>
            </w:pPr>
            <w:r/>
            <w:r>
              <w:rPr>
                <w:rFonts w:ascii="Arial" w:hAnsi="Arial"/>
                <w:b/>
                <w:sz w:val="16"/>
              </w:rPr>
              <w:t>Scenario</w:t>
            </w:r>
          </w:p>
        </w:tc>
        <w:tc>
          <w:tcPr>
            <w:tcW w:type="dxa" w:w="3528"/>
            <w:vAlign w:val="center"/>
            <w:shd w:fill="D9E1F2"/>
          </w:tcPr>
          <w:p>
            <w:pPr>
              <w:spacing w:after="0"/>
            </w:pPr>
            <w:r/>
            <w:r>
              <w:rPr>
                <w:rFonts w:ascii="Arial" w:hAnsi="Arial"/>
                <w:b/>
                <w:sz w:val="16"/>
              </w:rPr>
              <w:t>Calculation</w:t>
            </w:r>
          </w:p>
        </w:tc>
        <w:tc>
          <w:tcPr>
            <w:tcW w:type="dxa" w:w="4752"/>
            <w:vAlign w:val="center"/>
            <w:shd w:fill="D9E1F2"/>
          </w:tcPr>
          <w:p>
            <w:pPr>
              <w:spacing w:after="0"/>
            </w:pPr>
            <w:r/>
            <w:r>
              <w:rPr>
                <w:rFonts w:ascii="Arial" w:hAnsi="Arial"/>
                <w:b/>
                <w:sz w:val="16"/>
              </w:rPr>
              <w:t>Indicative Value</w:t>
            </w:r>
          </w:p>
        </w:tc>
      </w:tr>
      <w:tr>
        <w:tc>
          <w:tcPr>
            <w:tcW w:type="dxa" w:w="1944"/>
            <w:vAlign w:val="center"/>
          </w:tcPr>
          <w:p>
            <w:pPr>
              <w:spacing w:after="0"/>
            </w:pPr>
            <w:r/>
            <w:r>
              <w:rPr>
                <w:rFonts w:ascii="Arial" w:hAnsi="Arial"/>
                <w:b w:val="0"/>
                <w:sz w:val="16"/>
              </w:rPr>
              <w:t>Low Case</w:t>
            </w:r>
          </w:p>
        </w:tc>
        <w:tc>
          <w:tcPr>
            <w:tcW w:type="dxa" w:w="3528"/>
            <w:vAlign w:val="center"/>
          </w:tcPr>
          <w:p>
            <w:pPr>
              <w:spacing w:after="0"/>
            </w:pPr>
            <w:r/>
            <w:r>
              <w:rPr>
                <w:rFonts w:ascii="Arial" w:hAnsi="Arial"/>
                <w:b w:val="0"/>
                <w:sz w:val="16"/>
              </w:rPr>
              <w:t>3,250 × $665</w:t>
            </w:r>
          </w:p>
        </w:tc>
        <w:tc>
          <w:tcPr>
            <w:tcW w:type="dxa" w:w="4752"/>
            <w:vAlign w:val="center"/>
          </w:tcPr>
          <w:p>
            <w:pPr>
              <w:spacing w:after="0"/>
            </w:pPr>
            <w:r/>
            <w:r>
              <w:rPr>
                <w:rFonts w:ascii="Arial" w:hAnsi="Arial"/>
                <w:b w:val="0"/>
                <w:sz w:val="16"/>
              </w:rPr>
              <w:t>$2,161,250</w:t>
            </w:r>
          </w:p>
        </w:tc>
      </w:tr>
      <w:tr>
        <w:tc>
          <w:tcPr>
            <w:tcW w:type="dxa" w:w="1944"/>
            <w:vAlign w:val="center"/>
          </w:tcPr>
          <w:p>
            <w:pPr>
              <w:spacing w:after="0"/>
            </w:pPr>
            <w:r/>
            <w:r>
              <w:rPr>
                <w:rFonts w:ascii="Arial" w:hAnsi="Arial"/>
                <w:b w:val="0"/>
                <w:sz w:val="16"/>
              </w:rPr>
              <w:t>Central Case</w:t>
            </w:r>
          </w:p>
        </w:tc>
        <w:tc>
          <w:tcPr>
            <w:tcW w:type="dxa" w:w="3528"/>
            <w:vAlign w:val="center"/>
          </w:tcPr>
          <w:p>
            <w:pPr>
              <w:spacing w:after="0"/>
            </w:pPr>
            <w:r/>
            <w:r>
              <w:rPr>
                <w:rFonts w:ascii="Arial" w:hAnsi="Arial"/>
                <w:b w:val="0"/>
                <w:sz w:val="16"/>
              </w:rPr>
              <w:t>3,250 × $677</w:t>
            </w:r>
          </w:p>
        </w:tc>
        <w:tc>
          <w:tcPr>
            <w:tcW w:type="dxa" w:w="4752"/>
            <w:vAlign w:val="center"/>
          </w:tcPr>
          <w:p>
            <w:pPr>
              <w:spacing w:after="0"/>
            </w:pPr>
            <w:r/>
            <w:r>
              <w:rPr>
                <w:rFonts w:ascii="Arial" w:hAnsi="Arial"/>
                <w:b w:val="0"/>
                <w:sz w:val="16"/>
              </w:rPr>
              <w:t>$2,200,250</w:t>
            </w:r>
          </w:p>
        </w:tc>
      </w:tr>
      <w:tr>
        <w:tc>
          <w:tcPr>
            <w:tcW w:type="dxa" w:w="1944"/>
            <w:vAlign w:val="center"/>
          </w:tcPr>
          <w:p>
            <w:pPr>
              <w:spacing w:after="0"/>
            </w:pPr>
            <w:r/>
            <w:r>
              <w:rPr>
                <w:rFonts w:ascii="Arial" w:hAnsi="Arial"/>
                <w:b w:val="0"/>
                <w:sz w:val="16"/>
              </w:rPr>
              <w:t>High Case</w:t>
            </w:r>
          </w:p>
        </w:tc>
        <w:tc>
          <w:tcPr>
            <w:tcW w:type="dxa" w:w="3528"/>
            <w:vAlign w:val="center"/>
          </w:tcPr>
          <w:p>
            <w:pPr>
              <w:spacing w:after="0"/>
            </w:pPr>
            <w:r/>
            <w:r>
              <w:rPr>
                <w:rFonts w:ascii="Arial" w:hAnsi="Arial"/>
                <w:b w:val="0"/>
                <w:sz w:val="16"/>
              </w:rPr>
              <w:t>3,250 × $720</w:t>
            </w:r>
          </w:p>
        </w:tc>
        <w:tc>
          <w:tcPr>
            <w:tcW w:type="dxa" w:w="4752"/>
            <w:vAlign w:val="center"/>
          </w:tcPr>
          <w:p>
            <w:pPr>
              <w:spacing w:after="0"/>
            </w:pPr>
            <w:r/>
            <w:r>
              <w:rPr>
                <w:rFonts w:ascii="Arial" w:hAnsi="Arial"/>
                <w:b w:val="0"/>
                <w:sz w:val="16"/>
              </w:rPr>
              <w:t>$2,340,000</w:t>
            </w:r>
          </w:p>
        </w:tc>
      </w:tr>
    </w:tbl>
    <w:p>
      <w:pPr>
        <w:spacing w:after="60"/>
      </w:pPr>
      <w:r>
        <w:rPr>
          <w:sz w:val="17"/>
        </w:rPr>
        <w:t>The central comparable indication of approximately $2.20 million is closely aligned with the proposed transaction consideration of $2.20 million.</w:t>
      </w:r>
    </w:p>
    <w:p>
      <w:pPr>
        <w:spacing w:before="100" w:after="40"/>
      </w:pPr>
      <w:r>
        <w:rPr>
          <w:rFonts w:ascii="Arial" w:hAnsi="Arial"/>
          <w:b/>
          <w:sz w:val="19"/>
        </w:rPr>
        <w:t>5.2 Income Approach — Reasonableness Cross-Check</w:t>
      </w:r>
    </w:p>
    <w:p>
      <w:pPr>
        <w:spacing w:after="60"/>
      </w:pPr>
      <w:r>
        <w:rPr>
          <w:sz w:val="17"/>
        </w:rPr>
        <w:t>As a secondary cross-check, an indicative capitalization approach may be considered for a commercial office asset. For illustration, assume stabilized annual net operating income of $132,000 and a capitalization rate of 6.0%.</w:t>
      </w:r>
    </w:p>
    <w:tbl>
      <w:tblPr>
        <w:tblStyle w:val="TableGrid"/>
        <w:tblW w:type="auto" w:w="0"/>
        <w:jc w:val="center"/>
        <w:tblLook w:firstColumn="1" w:firstRow="1" w:lastColumn="0" w:lastRow="0" w:noHBand="0" w:noVBand="1" w:val="04A0"/>
      </w:tblPr>
      <w:tblGrid>
        <w:gridCol w:w="5328"/>
        <w:gridCol w:w="5328"/>
      </w:tblGrid>
      <w:tr>
        <w:tc>
          <w:tcPr>
            <w:tcW w:type="dxa" w:w="3240"/>
            <w:vAlign w:val="center"/>
          </w:tcPr>
          <w:p>
            <w:pPr>
              <w:spacing w:after="0"/>
            </w:pPr>
            <w:r/>
            <w:r>
              <w:rPr>
                <w:rFonts w:ascii="Arial" w:hAnsi="Arial"/>
                <w:b w:val="0"/>
                <w:sz w:val="16"/>
              </w:rPr>
              <w:t>Illustrative Net Operating Income</w:t>
            </w:r>
          </w:p>
        </w:tc>
        <w:tc>
          <w:tcPr>
            <w:tcW w:type="dxa" w:w="6984"/>
            <w:vAlign w:val="center"/>
          </w:tcPr>
          <w:p>
            <w:pPr>
              <w:spacing w:after="0"/>
            </w:pPr>
            <w:r/>
            <w:r>
              <w:rPr>
                <w:rFonts w:ascii="Arial" w:hAnsi="Arial"/>
                <w:b w:val="0"/>
                <w:sz w:val="16"/>
              </w:rPr>
              <w:t>$132,000 per annum</w:t>
            </w:r>
          </w:p>
        </w:tc>
      </w:tr>
      <w:tr>
        <w:tc>
          <w:tcPr>
            <w:tcW w:type="dxa" w:w="3240"/>
            <w:vAlign w:val="center"/>
          </w:tcPr>
          <w:p>
            <w:pPr>
              <w:spacing w:after="0"/>
            </w:pPr>
            <w:r/>
            <w:r>
              <w:rPr>
                <w:rFonts w:ascii="Arial" w:hAnsi="Arial"/>
                <w:b w:val="0"/>
                <w:sz w:val="16"/>
              </w:rPr>
              <w:t>Illustrative Capitalization Rate</w:t>
            </w:r>
          </w:p>
        </w:tc>
        <w:tc>
          <w:tcPr>
            <w:tcW w:type="dxa" w:w="6984"/>
            <w:vAlign w:val="center"/>
          </w:tcPr>
          <w:p>
            <w:pPr>
              <w:spacing w:after="0"/>
            </w:pPr>
            <w:r/>
            <w:r>
              <w:rPr>
                <w:rFonts w:ascii="Arial" w:hAnsi="Arial"/>
                <w:b w:val="0"/>
                <w:sz w:val="16"/>
              </w:rPr>
              <w:t>6.00%</w:t>
            </w:r>
          </w:p>
        </w:tc>
      </w:tr>
      <w:tr>
        <w:tc>
          <w:tcPr>
            <w:tcW w:type="dxa" w:w="3240"/>
            <w:vAlign w:val="center"/>
          </w:tcPr>
          <w:p>
            <w:pPr>
              <w:spacing w:after="0"/>
            </w:pPr>
            <w:r/>
            <w:r>
              <w:rPr>
                <w:rFonts w:ascii="Arial" w:hAnsi="Arial"/>
                <w:b w:val="0"/>
                <w:sz w:val="16"/>
              </w:rPr>
              <w:t>Indicated Value</w:t>
            </w:r>
          </w:p>
        </w:tc>
        <w:tc>
          <w:tcPr>
            <w:tcW w:type="dxa" w:w="6984"/>
            <w:vAlign w:val="center"/>
          </w:tcPr>
          <w:p>
            <w:pPr>
              <w:spacing w:after="0"/>
            </w:pPr>
            <w:r/>
            <w:r>
              <w:rPr>
                <w:rFonts w:ascii="Arial" w:hAnsi="Arial"/>
                <w:b w:val="0"/>
                <w:sz w:val="16"/>
              </w:rPr>
              <w:t>$2,200,000</w:t>
            </w:r>
          </w:p>
        </w:tc>
      </w:tr>
    </w:tbl>
    <w:p>
      <w:pPr>
        <w:spacing w:after="60"/>
      </w:pPr>
      <w:r>
        <w:rPr>
          <w:sz w:val="17"/>
        </w:rPr>
        <w:t>This income approach is a reasonableness cross-check only. The assumed rent, vacancy, operating expenses and capitalization rate must be replaced with verified lease/rent-roll and market evidence before reliance for a formal appraisal.</w:t>
      </w:r>
    </w:p>
    <w:p>
      <w:pPr>
        <w:spacing w:before="100" w:after="40"/>
      </w:pPr>
      <w:r>
        <w:rPr>
          <w:rFonts w:ascii="Arial" w:hAnsi="Arial"/>
          <w:b/>
          <w:sz w:val="22"/>
        </w:rPr>
        <w:t>6. VALUATION RECONCILIATION</w:t>
      </w:r>
    </w:p>
    <w:tbl>
      <w:tblPr>
        <w:tblStyle w:val="TableGrid"/>
        <w:tblW w:type="auto" w:w="0"/>
        <w:jc w:val="center"/>
        <w:tblLook w:firstColumn="1" w:firstRow="1" w:lastColumn="0" w:lastRow="0" w:noHBand="0" w:noVBand="1" w:val="04A0"/>
      </w:tblPr>
      <w:tblGrid>
        <w:gridCol w:w="3552"/>
        <w:gridCol w:w="3552"/>
        <w:gridCol w:w="3552"/>
      </w:tblGrid>
      <w:tr>
        <w:tc>
          <w:tcPr>
            <w:tcW w:type="dxa" w:w="3528"/>
            <w:vAlign w:val="center"/>
            <w:shd w:fill="D9E1F2"/>
          </w:tcPr>
          <w:p>
            <w:pPr>
              <w:spacing w:after="0"/>
            </w:pPr>
            <w:r/>
            <w:r>
              <w:rPr>
                <w:rFonts w:ascii="Arial" w:hAnsi="Arial"/>
                <w:b/>
                <w:sz w:val="16"/>
              </w:rPr>
              <w:t>Method</w:t>
            </w:r>
          </w:p>
        </w:tc>
        <w:tc>
          <w:tcPr>
            <w:tcW w:type="dxa" w:w="2880"/>
            <w:vAlign w:val="center"/>
            <w:shd w:fill="D9E1F2"/>
          </w:tcPr>
          <w:p>
            <w:pPr>
              <w:spacing w:after="0"/>
            </w:pPr>
            <w:r/>
            <w:r>
              <w:rPr>
                <w:rFonts w:ascii="Arial" w:hAnsi="Arial"/>
                <w:b/>
                <w:sz w:val="16"/>
              </w:rPr>
              <w:t>Indicative Value</w:t>
            </w:r>
          </w:p>
        </w:tc>
        <w:tc>
          <w:tcPr>
            <w:tcW w:type="dxa" w:w="3816"/>
            <w:vAlign w:val="center"/>
            <w:shd w:fill="D9E1F2"/>
          </w:tcPr>
          <w:p>
            <w:pPr>
              <w:spacing w:after="0"/>
            </w:pPr>
            <w:r/>
            <w:r>
              <w:rPr>
                <w:rFonts w:ascii="Arial" w:hAnsi="Arial"/>
                <w:b/>
                <w:sz w:val="16"/>
              </w:rPr>
              <w:t>Weight / Reliance</w:t>
            </w:r>
          </w:p>
        </w:tc>
      </w:tr>
      <w:tr>
        <w:tc>
          <w:tcPr>
            <w:tcW w:type="dxa" w:w="3528"/>
            <w:vAlign w:val="center"/>
          </w:tcPr>
          <w:p>
            <w:pPr>
              <w:spacing w:after="0"/>
            </w:pPr>
            <w:r/>
            <w:r>
              <w:rPr>
                <w:rFonts w:ascii="Arial" w:hAnsi="Arial"/>
                <w:b w:val="0"/>
                <w:sz w:val="16"/>
              </w:rPr>
              <w:t>Comparable Market Approach</w:t>
            </w:r>
          </w:p>
        </w:tc>
        <w:tc>
          <w:tcPr>
            <w:tcW w:type="dxa" w:w="2880"/>
            <w:vAlign w:val="center"/>
          </w:tcPr>
          <w:p>
            <w:pPr>
              <w:spacing w:after="0"/>
            </w:pPr>
            <w:r/>
            <w:r>
              <w:rPr>
                <w:rFonts w:ascii="Arial" w:hAnsi="Arial"/>
                <w:b w:val="0"/>
                <w:sz w:val="16"/>
              </w:rPr>
              <w:t>$2,200,250</w:t>
            </w:r>
          </w:p>
        </w:tc>
        <w:tc>
          <w:tcPr>
            <w:tcW w:type="dxa" w:w="3816"/>
            <w:vAlign w:val="center"/>
          </w:tcPr>
          <w:p>
            <w:pPr>
              <w:spacing w:after="0"/>
            </w:pPr>
            <w:r/>
            <w:r>
              <w:rPr>
                <w:rFonts w:ascii="Arial" w:hAnsi="Arial"/>
                <w:b w:val="0"/>
                <w:sz w:val="16"/>
              </w:rPr>
              <w:t>Primary</w:t>
            </w:r>
          </w:p>
        </w:tc>
      </w:tr>
      <w:tr>
        <w:tc>
          <w:tcPr>
            <w:tcW w:type="dxa" w:w="3528"/>
            <w:vAlign w:val="center"/>
          </w:tcPr>
          <w:p>
            <w:pPr>
              <w:spacing w:after="0"/>
            </w:pPr>
            <w:r/>
            <w:r>
              <w:rPr>
                <w:rFonts w:ascii="Arial" w:hAnsi="Arial"/>
                <w:b w:val="0"/>
                <w:sz w:val="16"/>
              </w:rPr>
              <w:t>Income Approach Cross-Check</w:t>
            </w:r>
          </w:p>
        </w:tc>
        <w:tc>
          <w:tcPr>
            <w:tcW w:type="dxa" w:w="2880"/>
            <w:vAlign w:val="center"/>
          </w:tcPr>
          <w:p>
            <w:pPr>
              <w:spacing w:after="0"/>
            </w:pPr>
            <w:r/>
            <w:r>
              <w:rPr>
                <w:rFonts w:ascii="Arial" w:hAnsi="Arial"/>
                <w:b w:val="0"/>
                <w:sz w:val="16"/>
              </w:rPr>
              <w:t>$2,200,000</w:t>
            </w:r>
          </w:p>
        </w:tc>
        <w:tc>
          <w:tcPr>
            <w:tcW w:type="dxa" w:w="3816"/>
            <w:vAlign w:val="center"/>
          </w:tcPr>
          <w:p>
            <w:pPr>
              <w:spacing w:after="0"/>
            </w:pPr>
            <w:r/>
            <w:r>
              <w:rPr>
                <w:rFonts w:ascii="Arial" w:hAnsi="Arial"/>
                <w:b w:val="0"/>
                <w:sz w:val="16"/>
              </w:rPr>
              <w:t>Secondary</w:t>
            </w:r>
          </w:p>
        </w:tc>
      </w:tr>
      <w:tr>
        <w:tc>
          <w:tcPr>
            <w:tcW w:type="dxa" w:w="3528"/>
            <w:vAlign w:val="center"/>
          </w:tcPr>
          <w:p>
            <w:pPr>
              <w:spacing w:after="0"/>
            </w:pPr>
            <w:r/>
            <w:r>
              <w:rPr>
                <w:rFonts w:ascii="Arial" w:hAnsi="Arial"/>
                <w:b w:val="0"/>
                <w:sz w:val="16"/>
              </w:rPr>
              <w:t>Transaction Consideration</w:t>
            </w:r>
          </w:p>
        </w:tc>
        <w:tc>
          <w:tcPr>
            <w:tcW w:type="dxa" w:w="2880"/>
            <w:vAlign w:val="center"/>
          </w:tcPr>
          <w:p>
            <w:pPr>
              <w:spacing w:after="0"/>
            </w:pPr>
            <w:r/>
            <w:r>
              <w:rPr>
                <w:rFonts w:ascii="Arial" w:hAnsi="Arial"/>
                <w:b w:val="0"/>
                <w:sz w:val="16"/>
              </w:rPr>
              <w:t>$2,200,000</w:t>
            </w:r>
          </w:p>
        </w:tc>
        <w:tc>
          <w:tcPr>
            <w:tcW w:type="dxa" w:w="3816"/>
            <w:vAlign w:val="center"/>
          </w:tcPr>
          <w:p>
            <w:pPr>
              <w:spacing w:after="0"/>
            </w:pPr>
            <w:r/>
            <w:r>
              <w:rPr>
                <w:rFonts w:ascii="Arial" w:hAnsi="Arial"/>
                <w:b w:val="0"/>
                <w:sz w:val="16"/>
              </w:rPr>
              <w:t>Reference</w:t>
            </w:r>
          </w:p>
        </w:tc>
      </w:tr>
    </w:tbl>
    <w:p>
      <w:r>
        <w:br w:type="page"/>
      </w:r>
    </w:p>
    <w:p>
      <w:pPr>
        <w:spacing w:before="100" w:after="40"/>
      </w:pPr>
      <w:r>
        <w:rPr>
          <w:rFonts w:ascii="Arial" w:hAnsi="Arial"/>
          <w:b/>
          <w:sz w:val="22"/>
        </w:rPr>
        <w:t>7. VALUATION CONCLUSION</w:t>
      </w:r>
    </w:p>
    <w:p>
      <w:pPr>
        <w:spacing w:after="60"/>
      </w:pPr>
      <w:r>
        <w:rPr>
          <w:sz w:val="17"/>
        </w:rPr>
        <w:t>Based on the stated asset particulars and the illustrative valuation assumptions described above, the indicative Market Value of the commercial office property as at 30 September 2026 is assessed at:</w:t>
      </w:r>
    </w:p>
    <w:p>
      <w:pPr>
        <w:spacing w:after="20"/>
        <w:jc w:val="center"/>
      </w:pPr>
      <w:r>
        <w:rPr>
          <w:b/>
          <w:sz w:val="32"/>
        </w:rPr>
        <w:t>$2,200,000</w:t>
      </w:r>
    </w:p>
    <w:p>
      <w:pPr>
        <w:spacing w:after="60"/>
        <w:jc w:val="center"/>
      </w:pPr>
      <w:r>
        <w:rPr>
          <w:b/>
          <w:sz w:val="18"/>
        </w:rPr>
        <w:t>(Two Million Two Hundred Thousand U.S. Dollars Only)</w:t>
      </w:r>
    </w:p>
    <w:p>
      <w:pPr>
        <w:spacing w:after="60"/>
      </w:pPr>
      <w:r>
        <w:rPr>
          <w:sz w:val="17"/>
        </w:rPr>
        <w:t>Indicative reasonable value range: $2.07 million to $2.335 million. The proposed acquisition consideration of $2.20 million falls within this range and is broadly consistent with the central market and income indications used in this illustrative analysis.</w:t>
      </w:r>
    </w:p>
    <w:p>
      <w:pPr>
        <w:spacing w:before="100" w:after="40"/>
      </w:pPr>
      <w:r>
        <w:rPr>
          <w:rFonts w:ascii="Arial" w:hAnsi="Arial"/>
          <w:b/>
          <w:sz w:val="22"/>
        </w:rPr>
        <w:t>8. VALUE SENSITIVITY</w:t>
      </w:r>
    </w:p>
    <w:tbl>
      <w:tblPr>
        <w:tblStyle w:val="TableGrid"/>
        <w:tblW w:type="auto" w:w="0"/>
        <w:jc w:val="center"/>
        <w:tblLook w:firstColumn="1" w:firstRow="1" w:lastColumn="0" w:lastRow="0" w:noHBand="0" w:noVBand="1" w:val="04A0"/>
      </w:tblPr>
      <w:tblGrid>
        <w:gridCol w:w="3552"/>
        <w:gridCol w:w="3552"/>
        <w:gridCol w:w="3552"/>
      </w:tblGrid>
      <w:tr>
        <w:tc>
          <w:tcPr>
            <w:tcW w:type="dxa" w:w="2880"/>
            <w:vAlign w:val="center"/>
            <w:shd w:fill="D9E1F2"/>
          </w:tcPr>
          <w:p>
            <w:pPr>
              <w:spacing w:after="0"/>
            </w:pPr>
            <w:r/>
            <w:r>
              <w:rPr>
                <w:rFonts w:ascii="Arial" w:hAnsi="Arial"/>
                <w:b/>
                <w:sz w:val="16"/>
              </w:rPr>
              <w:t>Rate / sq. ft.</w:t>
            </w:r>
          </w:p>
        </w:tc>
        <w:tc>
          <w:tcPr>
            <w:tcW w:type="dxa" w:w="3312"/>
            <w:vAlign w:val="center"/>
            <w:shd w:fill="D9E1F2"/>
          </w:tcPr>
          <w:p>
            <w:pPr>
              <w:spacing w:after="0"/>
            </w:pPr>
            <w:r/>
            <w:r>
              <w:rPr>
                <w:rFonts w:ascii="Arial" w:hAnsi="Arial"/>
                <w:b/>
                <w:sz w:val="16"/>
              </w:rPr>
              <w:t>Implied Value</w:t>
            </w:r>
          </w:p>
        </w:tc>
        <w:tc>
          <w:tcPr>
            <w:tcW w:type="dxa" w:w="4032"/>
            <w:vAlign w:val="center"/>
            <w:shd w:fill="D9E1F2"/>
          </w:tcPr>
          <w:p>
            <w:pPr>
              <w:spacing w:after="0"/>
            </w:pPr>
            <w:r/>
            <w:r>
              <w:rPr>
                <w:rFonts w:ascii="Arial" w:hAnsi="Arial"/>
                <w:b/>
                <w:sz w:val="16"/>
              </w:rPr>
              <w:t>Variance vs. $2.20 million</w:t>
            </w:r>
          </w:p>
        </w:tc>
      </w:tr>
      <w:tr>
        <w:tc>
          <w:tcPr>
            <w:tcW w:type="dxa" w:w="2880"/>
            <w:vAlign w:val="center"/>
          </w:tcPr>
          <w:p>
            <w:pPr>
              <w:spacing w:after="0"/>
            </w:pPr>
            <w:r/>
            <w:r>
              <w:rPr>
                <w:rFonts w:ascii="Arial" w:hAnsi="Arial"/>
                <w:b w:val="0"/>
                <w:sz w:val="16"/>
              </w:rPr>
              <w:t>$650</w:t>
            </w:r>
          </w:p>
        </w:tc>
        <w:tc>
          <w:tcPr>
            <w:tcW w:type="dxa" w:w="3312"/>
            <w:vAlign w:val="center"/>
          </w:tcPr>
          <w:p>
            <w:pPr>
              <w:spacing w:after="0"/>
            </w:pPr>
            <w:r/>
            <w:r>
              <w:rPr>
                <w:rFonts w:ascii="Arial" w:hAnsi="Arial"/>
                <w:b w:val="0"/>
                <w:sz w:val="16"/>
              </w:rPr>
              <w:t>$2,112,500</w:t>
            </w:r>
          </w:p>
        </w:tc>
        <w:tc>
          <w:tcPr>
            <w:tcW w:type="dxa" w:w="4032"/>
            <w:vAlign w:val="center"/>
          </w:tcPr>
          <w:p>
            <w:pPr>
              <w:spacing w:after="0"/>
            </w:pPr>
            <w:r/>
            <w:r>
              <w:rPr>
                <w:rFonts w:ascii="Arial" w:hAnsi="Arial"/>
                <w:b w:val="0"/>
                <w:sz w:val="16"/>
              </w:rPr>
              <w:t>-$87,500</w:t>
            </w:r>
          </w:p>
        </w:tc>
      </w:tr>
      <w:tr>
        <w:tc>
          <w:tcPr>
            <w:tcW w:type="dxa" w:w="2880"/>
            <w:vAlign w:val="center"/>
          </w:tcPr>
          <w:p>
            <w:pPr>
              <w:spacing w:after="0"/>
            </w:pPr>
            <w:r/>
            <w:r>
              <w:rPr>
                <w:rFonts w:ascii="Arial" w:hAnsi="Arial"/>
                <w:b w:val="0"/>
                <w:sz w:val="16"/>
              </w:rPr>
              <w:t>$665</w:t>
            </w:r>
          </w:p>
        </w:tc>
        <w:tc>
          <w:tcPr>
            <w:tcW w:type="dxa" w:w="3312"/>
            <w:vAlign w:val="center"/>
          </w:tcPr>
          <w:p>
            <w:pPr>
              <w:spacing w:after="0"/>
            </w:pPr>
            <w:r/>
            <w:r>
              <w:rPr>
                <w:rFonts w:ascii="Arial" w:hAnsi="Arial"/>
                <w:b w:val="0"/>
                <w:sz w:val="16"/>
              </w:rPr>
              <w:t>$2,161,250</w:t>
            </w:r>
          </w:p>
        </w:tc>
        <w:tc>
          <w:tcPr>
            <w:tcW w:type="dxa" w:w="4032"/>
            <w:vAlign w:val="center"/>
          </w:tcPr>
          <w:p>
            <w:pPr>
              <w:spacing w:after="0"/>
            </w:pPr>
            <w:r/>
            <w:r>
              <w:rPr>
                <w:rFonts w:ascii="Arial" w:hAnsi="Arial"/>
                <w:b w:val="0"/>
                <w:sz w:val="16"/>
              </w:rPr>
              <w:t>-$38,750</w:t>
            </w:r>
          </w:p>
        </w:tc>
      </w:tr>
      <w:tr>
        <w:tc>
          <w:tcPr>
            <w:tcW w:type="dxa" w:w="2880"/>
            <w:vAlign w:val="center"/>
          </w:tcPr>
          <w:p>
            <w:pPr>
              <w:spacing w:after="0"/>
            </w:pPr>
            <w:r/>
            <w:r>
              <w:rPr>
                <w:rFonts w:ascii="Arial" w:hAnsi="Arial"/>
                <w:b w:val="0"/>
                <w:sz w:val="16"/>
              </w:rPr>
              <w:t>$677</w:t>
            </w:r>
          </w:p>
        </w:tc>
        <w:tc>
          <w:tcPr>
            <w:tcW w:type="dxa" w:w="3312"/>
            <w:vAlign w:val="center"/>
          </w:tcPr>
          <w:p>
            <w:pPr>
              <w:spacing w:after="0"/>
            </w:pPr>
            <w:r/>
            <w:r>
              <w:rPr>
                <w:rFonts w:ascii="Arial" w:hAnsi="Arial"/>
                <w:b w:val="0"/>
                <w:sz w:val="16"/>
              </w:rPr>
              <w:t>$2,200,250</w:t>
            </w:r>
          </w:p>
        </w:tc>
        <w:tc>
          <w:tcPr>
            <w:tcW w:type="dxa" w:w="4032"/>
            <w:vAlign w:val="center"/>
          </w:tcPr>
          <w:p>
            <w:pPr>
              <w:spacing w:after="0"/>
            </w:pPr>
            <w:r/>
            <w:r>
              <w:rPr>
                <w:rFonts w:ascii="Arial" w:hAnsi="Arial"/>
                <w:b w:val="0"/>
                <w:sz w:val="16"/>
              </w:rPr>
              <w:t>+$250</w:t>
            </w:r>
          </w:p>
        </w:tc>
      </w:tr>
      <w:tr>
        <w:tc>
          <w:tcPr>
            <w:tcW w:type="dxa" w:w="2880"/>
            <w:vAlign w:val="center"/>
          </w:tcPr>
          <w:p>
            <w:pPr>
              <w:spacing w:after="0"/>
            </w:pPr>
            <w:r/>
            <w:r>
              <w:rPr>
                <w:rFonts w:ascii="Arial" w:hAnsi="Arial"/>
                <w:b w:val="0"/>
                <w:sz w:val="16"/>
              </w:rPr>
              <w:t>$700</w:t>
            </w:r>
          </w:p>
        </w:tc>
        <w:tc>
          <w:tcPr>
            <w:tcW w:type="dxa" w:w="3312"/>
            <w:vAlign w:val="center"/>
          </w:tcPr>
          <w:p>
            <w:pPr>
              <w:spacing w:after="0"/>
            </w:pPr>
            <w:r/>
            <w:r>
              <w:rPr>
                <w:rFonts w:ascii="Arial" w:hAnsi="Arial"/>
                <w:b w:val="0"/>
                <w:sz w:val="16"/>
              </w:rPr>
              <w:t>$2,275,000</w:t>
            </w:r>
          </w:p>
        </w:tc>
        <w:tc>
          <w:tcPr>
            <w:tcW w:type="dxa" w:w="4032"/>
            <w:vAlign w:val="center"/>
          </w:tcPr>
          <w:p>
            <w:pPr>
              <w:spacing w:after="0"/>
            </w:pPr>
            <w:r/>
            <w:r>
              <w:rPr>
                <w:rFonts w:ascii="Arial" w:hAnsi="Arial"/>
                <w:b w:val="0"/>
                <w:sz w:val="16"/>
              </w:rPr>
              <w:t>+$75,000</w:t>
            </w:r>
          </w:p>
        </w:tc>
      </w:tr>
      <w:tr>
        <w:tc>
          <w:tcPr>
            <w:tcW w:type="dxa" w:w="2880"/>
            <w:vAlign w:val="center"/>
          </w:tcPr>
          <w:p>
            <w:pPr>
              <w:spacing w:after="0"/>
            </w:pPr>
            <w:r/>
            <w:r>
              <w:rPr>
                <w:rFonts w:ascii="Arial" w:hAnsi="Arial"/>
                <w:b w:val="0"/>
                <w:sz w:val="16"/>
              </w:rPr>
              <w:t>$720</w:t>
            </w:r>
          </w:p>
        </w:tc>
        <w:tc>
          <w:tcPr>
            <w:tcW w:type="dxa" w:w="3312"/>
            <w:vAlign w:val="center"/>
          </w:tcPr>
          <w:p>
            <w:pPr>
              <w:spacing w:after="0"/>
            </w:pPr>
            <w:r/>
            <w:r>
              <w:rPr>
                <w:rFonts w:ascii="Arial" w:hAnsi="Arial"/>
                <w:b w:val="0"/>
                <w:sz w:val="16"/>
              </w:rPr>
              <w:t>$2,340,000</w:t>
            </w:r>
          </w:p>
        </w:tc>
        <w:tc>
          <w:tcPr>
            <w:tcW w:type="dxa" w:w="4032"/>
            <w:vAlign w:val="center"/>
          </w:tcPr>
          <w:p>
            <w:pPr>
              <w:spacing w:after="0"/>
            </w:pPr>
            <w:r/>
            <w:r>
              <w:rPr>
                <w:rFonts w:ascii="Arial" w:hAnsi="Arial"/>
                <w:b w:val="0"/>
                <w:sz w:val="16"/>
              </w:rPr>
              <w:t>+$140,000</w:t>
            </w:r>
          </w:p>
        </w:tc>
      </w:tr>
    </w:tbl>
    <w:p>
      <w:pPr>
        <w:spacing w:before="100" w:after="40"/>
      </w:pPr>
      <w:r>
        <w:rPr>
          <w:rFonts w:ascii="Arial" w:hAnsi="Arial"/>
          <w:b/>
          <w:sz w:val="22"/>
        </w:rPr>
        <w:t>9. MATERIAL RISKS AND DUE-DILIGENCE ITEMS</w:t>
      </w:r>
    </w:p>
    <w:p>
      <w:pPr>
        <w:spacing w:after="30"/>
        <w:ind w:left="230" w:hanging="230"/>
      </w:pPr>
      <w:r>
        <w:rPr>
          <w:b/>
        </w:rPr>
        <w:t xml:space="preserve">• </w:t>
      </w:r>
      <w:r>
        <w:rPr>
          <w:sz w:val="17"/>
        </w:rPr>
        <w:t>Title verification and search for historical encumbrances, liens, deed-of-trust releases and third-party claims.</w:t>
      </w:r>
    </w:p>
    <w:p>
      <w:pPr>
        <w:spacing w:after="30"/>
        <w:ind w:left="230" w:hanging="230"/>
      </w:pPr>
      <w:r>
        <w:rPr>
          <w:b/>
        </w:rPr>
        <w:t xml:space="preserve">• </w:t>
      </w:r>
      <w:r>
        <w:rPr>
          <w:sz w:val="17"/>
        </w:rPr>
        <w:t>Verification of zoning, permitted commercial use, building approvals, certificates and applicable local requirements.</w:t>
      </w:r>
    </w:p>
    <w:p>
      <w:pPr>
        <w:spacing w:after="30"/>
        <w:ind w:left="230" w:hanging="230"/>
      </w:pPr>
      <w:r>
        <w:rPr>
          <w:b/>
        </w:rPr>
        <w:t xml:space="preserve">• </w:t>
      </w:r>
      <w:r>
        <w:rPr>
          <w:sz w:val="17"/>
        </w:rPr>
        <w:t>Independent physical measurement of the 3,250 sq. ft. area and reconciliation with title/survey/property records.</w:t>
      </w:r>
    </w:p>
    <w:p>
      <w:pPr>
        <w:spacing w:after="30"/>
        <w:ind w:left="230" w:hanging="230"/>
      </w:pPr>
      <w:r>
        <w:rPr>
          <w:b/>
        </w:rPr>
        <w:t xml:space="preserve">• </w:t>
      </w:r>
      <w:r>
        <w:rPr>
          <w:sz w:val="17"/>
        </w:rPr>
        <w:t>Review of property tax, utility dues, maintenance/association dues and other statutory or property liabilities.</w:t>
      </w:r>
    </w:p>
    <w:p>
      <w:pPr>
        <w:spacing w:after="30"/>
        <w:ind w:left="230" w:hanging="230"/>
      </w:pPr>
      <w:r>
        <w:rPr>
          <w:b/>
        </w:rPr>
        <w:t xml:space="preserve">• </w:t>
      </w:r>
      <w:r>
        <w:rPr>
          <w:sz w:val="17"/>
        </w:rPr>
        <w:t>Structural, fire-safety, environmental and building-condition review where appropriate.</w:t>
      </w:r>
    </w:p>
    <w:p>
      <w:pPr>
        <w:spacing w:after="30"/>
        <w:ind w:left="230" w:hanging="230"/>
      </w:pPr>
      <w:r>
        <w:rPr>
          <w:b/>
        </w:rPr>
        <w:t xml:space="preserve">• </w:t>
      </w:r>
      <w:r>
        <w:rPr>
          <w:sz w:val="17"/>
        </w:rPr>
        <w:t>Review of tenancy, lease, licence or occupancy arrangements and vacant-possession requirements.</w:t>
      </w:r>
    </w:p>
    <w:p>
      <w:pPr>
        <w:spacing w:after="30"/>
        <w:ind w:left="230" w:hanging="230"/>
      </w:pPr>
      <w:r>
        <w:rPr>
          <w:b/>
        </w:rPr>
        <w:t xml:space="preserve">• </w:t>
      </w:r>
      <w:r>
        <w:rPr>
          <w:sz w:val="17"/>
        </w:rPr>
        <w:t>Confirmation of applicable federal, Texas and local taxes, recording fees and other transaction costs.</w:t>
      </w:r>
    </w:p>
    <w:p>
      <w:pPr>
        <w:spacing w:after="30"/>
        <w:ind w:left="230" w:hanging="230"/>
      </w:pPr>
      <w:r>
        <w:rPr>
          <w:b/>
        </w:rPr>
        <w:t xml:space="preserve">• </w:t>
      </w:r>
      <w:r>
        <w:rPr>
          <w:sz w:val="17"/>
        </w:rPr>
        <w:t>Independent market-comparable evidence before using this Memo for a financing, accounting, regulatory or statutory purpose.</w:t>
      </w:r>
    </w:p>
    <w:p>
      <w:pPr>
        <w:spacing w:before="100" w:after="40"/>
      </w:pPr>
      <w:r>
        <w:rPr>
          <w:rFonts w:ascii="Arial" w:hAnsi="Arial"/>
          <w:b/>
          <w:sz w:val="22"/>
        </w:rPr>
        <w:t>10. DOCUMENTS / INFORMATION RELIED UPON</w:t>
      </w:r>
    </w:p>
    <w:p>
      <w:pPr>
        <w:spacing w:after="30"/>
        <w:ind w:left="230" w:hanging="230"/>
      </w:pPr>
      <w:r>
        <w:rPr>
          <w:b/>
        </w:rPr>
        <w:t xml:space="preserve">• </w:t>
      </w:r>
      <w:r>
        <w:rPr>
          <w:sz w:val="17"/>
        </w:rPr>
        <w:t>Illustrative Sale Agreement prepared for LMN Asset Pvt. Ltd.</w:t>
      </w:r>
    </w:p>
    <w:p>
      <w:pPr>
        <w:spacing w:after="30"/>
        <w:ind w:left="230" w:hanging="230"/>
      </w:pPr>
      <w:r>
        <w:rPr>
          <w:b/>
        </w:rPr>
        <w:t xml:space="preserve">• </w:t>
      </w:r>
      <w:r>
        <w:rPr>
          <w:sz w:val="17"/>
        </w:rPr>
        <w:t>Asset description and transaction consideration stated in that agreement.</w:t>
      </w:r>
    </w:p>
    <w:p>
      <w:pPr>
        <w:spacing w:after="30"/>
        <w:ind w:left="230" w:hanging="230"/>
      </w:pPr>
      <w:r>
        <w:rPr>
          <w:b/>
        </w:rPr>
        <w:t xml:space="preserve">• </w:t>
      </w:r>
      <w:r>
        <w:rPr>
          <w:sz w:val="17"/>
        </w:rPr>
        <w:t>Indicative area, location and intended commercial use stated in the transaction documentation.</w:t>
      </w:r>
    </w:p>
    <w:p>
      <w:pPr>
        <w:spacing w:after="30"/>
        <w:ind w:left="230" w:hanging="230"/>
      </w:pPr>
      <w:r>
        <w:rPr>
          <w:b/>
        </w:rPr>
        <w:t xml:space="preserve">• </w:t>
      </w:r>
      <w:r>
        <w:rPr>
          <w:sz w:val="17"/>
        </w:rPr>
        <w:t>Illustrative market-rate and income assumptions described in this Memo.</w:t>
      </w:r>
    </w:p>
    <w:p>
      <w:pPr>
        <w:spacing w:before="100" w:after="40"/>
      </w:pPr>
      <w:r>
        <w:rPr>
          <w:rFonts w:ascii="Arial" w:hAnsi="Arial"/>
          <w:b/>
          <w:sz w:val="22"/>
        </w:rPr>
        <w:t>11. LIMITATIONS AND IMPORTANT NOTICE</w:t>
      </w:r>
    </w:p>
    <w:p>
      <w:pPr>
        <w:spacing w:after="60"/>
      </w:pPr>
      <w:r>
        <w:rPr>
          <w:sz w:val="17"/>
        </w:rPr>
        <w:t>This document has been prepared as an illustrative transaction-supporting valuation memorandum. It does not constitute a certified appraisal, an MAI appraisal, a statutory valuation certificate or an opinion issued for a regulated filing. No independent site inspection, title search, measurement, lease audit, engineering assessment or independent market-comparable verification has been performed for this illustrative Memo.</w:t>
      </w:r>
    </w:p>
    <w:p>
      <w:pPr>
        <w:spacing w:after="60"/>
      </w:pPr>
      <w:r>
        <w:rPr>
          <w:sz w:val="17"/>
        </w:rPr>
        <w:t>Before execution or reliance for a regulated, financing, tax, accounting, litigation or statutory purpose, the asset should be independently valued by an appropriately qualified appraiser/valuation professional and the underlying property and financial data should be verified.</w:t>
      </w:r>
    </w:p>
    <w:p>
      <w:pPr>
        <w:spacing w:before="100" w:after="40"/>
      </w:pPr>
      <w:r>
        <w:rPr>
          <w:rFonts w:ascii="Arial" w:hAnsi="Arial"/>
          <w:b/>
          <w:sz w:val="22"/>
        </w:rPr>
        <w:t>12. APPROVAL / SIGN-OFF</w:t>
      </w:r>
    </w:p>
    <w:tbl>
      <w:tblPr>
        <w:tblStyle w:val="TableGrid"/>
        <w:tblW w:type="auto" w:w="0"/>
        <w:jc w:val="center"/>
        <w:tblLook w:firstColumn="1" w:firstRow="1" w:lastColumn="0" w:lastRow="0" w:noHBand="0" w:noVBand="1" w:val="04A0"/>
      </w:tblPr>
      <w:tblGrid>
        <w:gridCol w:w="5328"/>
        <w:gridCol w:w="5328"/>
      </w:tblGrid>
      <w:tr>
        <w:tc>
          <w:tcPr>
            <w:tcW w:type="dxa" w:w="3240"/>
            <w:vAlign w:val="center"/>
          </w:tcPr>
          <w:p>
            <w:pPr>
              <w:spacing w:after="0"/>
            </w:pPr>
            <w:r/>
            <w:r>
              <w:rPr>
                <w:rFonts w:ascii="Arial" w:hAnsi="Arial"/>
                <w:b w:val="0"/>
                <w:sz w:val="16"/>
              </w:rPr>
              <w:t>Prepared for</w:t>
            </w:r>
          </w:p>
        </w:tc>
        <w:tc>
          <w:tcPr>
            <w:tcW w:type="dxa" w:w="6984"/>
            <w:vAlign w:val="center"/>
          </w:tcPr>
          <w:p>
            <w:pPr>
              <w:spacing w:after="0"/>
            </w:pPr>
            <w:r/>
            <w:r>
              <w:rPr>
                <w:rFonts w:ascii="Arial" w:hAnsi="Arial"/>
                <w:b w:val="0"/>
                <w:sz w:val="16"/>
              </w:rPr>
              <w:t>LMN Asset Pvt. Ltd.</w:t>
            </w:r>
          </w:p>
        </w:tc>
      </w:tr>
      <w:tr>
        <w:tc>
          <w:tcPr>
            <w:tcW w:type="dxa" w:w="3240"/>
            <w:vAlign w:val="center"/>
          </w:tcPr>
          <w:p>
            <w:pPr>
              <w:spacing w:after="0"/>
            </w:pPr>
            <w:r/>
            <w:r>
              <w:rPr>
                <w:rFonts w:ascii="Arial" w:hAnsi="Arial"/>
                <w:b w:val="0"/>
                <w:sz w:val="16"/>
              </w:rPr>
              <w:t>Prepared by</w:t>
            </w:r>
          </w:p>
        </w:tc>
        <w:tc>
          <w:tcPr>
            <w:tcW w:type="dxa" w:w="6984"/>
            <w:vAlign w:val="center"/>
          </w:tcPr>
          <w:p>
            <w:pPr>
              <w:spacing w:after="0"/>
            </w:pPr>
            <w:r/>
            <w:r>
              <w:rPr>
                <w:rFonts w:ascii="Arial" w:hAnsi="Arial"/>
                <w:b w:val="0"/>
                <w:sz w:val="16"/>
              </w:rPr>
              <w:t>Valuation / Investment Team</w:t>
            </w:r>
          </w:p>
        </w:tc>
      </w:tr>
      <w:tr>
        <w:tc>
          <w:tcPr>
            <w:tcW w:type="dxa" w:w="3240"/>
            <w:vAlign w:val="center"/>
          </w:tcPr>
          <w:p>
            <w:pPr>
              <w:spacing w:after="0"/>
            </w:pPr>
            <w:r/>
            <w:r>
              <w:rPr>
                <w:rFonts w:ascii="Arial" w:hAnsi="Arial"/>
                <w:b w:val="0"/>
                <w:sz w:val="16"/>
              </w:rPr>
              <w:t>Date</w:t>
            </w:r>
          </w:p>
        </w:tc>
        <w:tc>
          <w:tcPr>
            <w:tcW w:type="dxa" w:w="6984"/>
            <w:vAlign w:val="center"/>
          </w:tcPr>
          <w:p>
            <w:pPr>
              <w:spacing w:after="0"/>
            </w:pPr>
            <w:r/>
            <w:r>
              <w:rPr>
                <w:rFonts w:ascii="Arial" w:hAnsi="Arial"/>
                <w:b w:val="0"/>
                <w:sz w:val="16"/>
              </w:rPr>
              <w:t>30 September 2026</w:t>
            </w:r>
          </w:p>
        </w:tc>
      </w:tr>
      <w:tr>
        <w:tc>
          <w:tcPr>
            <w:tcW w:type="dxa" w:w="3240"/>
            <w:vAlign w:val="center"/>
          </w:tcPr>
          <w:p>
            <w:pPr>
              <w:spacing w:after="0"/>
            </w:pPr>
            <w:r/>
            <w:r>
              <w:rPr>
                <w:rFonts w:ascii="Arial" w:hAnsi="Arial"/>
                <w:b w:val="0"/>
                <w:sz w:val="16"/>
              </w:rPr>
              <w:t>Authorised Signatory</w:t>
            </w:r>
          </w:p>
        </w:tc>
        <w:tc>
          <w:tcPr>
            <w:tcW w:type="dxa" w:w="6984"/>
            <w:vAlign w:val="center"/>
          </w:tcPr>
          <w:p>
            <w:pPr>
              <w:spacing w:after="0"/>
            </w:pPr>
            <w:r/>
            <w:r>
              <w:rPr>
                <w:rFonts w:ascii="Arial" w:hAnsi="Arial"/>
                <w:b w:val="0"/>
                <w:sz w:val="16"/>
              </w:rPr>
              <w:t>Name: ____________________   Designation: ____________________</w:t>
            </w:r>
          </w:p>
        </w:tc>
      </w:tr>
      <w:tr>
        <w:tc>
          <w:tcPr>
            <w:tcW w:type="dxa" w:w="3240"/>
            <w:vAlign w:val="center"/>
          </w:tcPr>
          <w:p>
            <w:pPr>
              <w:spacing w:after="0"/>
            </w:pPr>
            <w:r/>
            <w:r>
              <w:rPr>
                <w:rFonts w:ascii="Arial" w:hAnsi="Arial"/>
                <w:b w:val="0"/>
                <w:sz w:val="16"/>
              </w:rPr>
              <w:t>Document classification</w:t>
            </w:r>
          </w:p>
        </w:tc>
        <w:tc>
          <w:tcPr>
            <w:tcW w:type="dxa" w:w="6984"/>
            <w:vAlign w:val="center"/>
          </w:tcPr>
          <w:p>
            <w:pPr>
              <w:spacing w:after="0"/>
            </w:pPr>
            <w:r/>
            <w:r>
              <w:rPr>
                <w:rFonts w:ascii="Arial" w:hAnsi="Arial"/>
                <w:b w:val="0"/>
                <w:sz w:val="16"/>
              </w:rPr>
              <w:t>Confidential — Illustrative / Transaction-Supporting</w:t>
            </w:r>
          </w:p>
        </w:tc>
      </w:tr>
    </w:tbl>
    <w:sectPr w:rsidR="00FC693F" w:rsidRPr="0006063C" w:rsidSect="00034616">
      <w:footerReference w:type="default" r:id="rId9"/>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4"/>
      </w:rPr>
      <w:t>LMN ASSET PVT. LTD. | VALUATION MEMORANDUM | CONFIDENTIAL — ILLUSTRATIVE USA / USD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