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ptos Display" w:hAnsi="Aptos Display"/>
          <w:b/>
          <w:color w:val="12263F"/>
          <w:sz w:val="46"/>
        </w:rPr>
        <w:t>COVER LETTER</w:t>
      </w:r>
    </w:p>
    <w:p>
      <w:pPr>
        <w:spacing w:before="0" w:after="160"/>
      </w:pPr>
      <w:r>
        <w:rPr>
          <w:rFonts w:ascii="Aptos" w:hAnsi="Aptos"/>
          <w:b/>
          <w:color w:val="008577"/>
          <w:sz w:val="22"/>
        </w:rPr>
        <w:t>BLOCKCHAIN &amp; AI TECHNOLOGY LEADER</w:t>
      </w:r>
    </w:p>
    <w:p>
      <w:pPr>
        <w:spacing w:after="160"/>
      </w:pPr>
      <w:r>
        <w:rPr>
          <w:b/>
          <w:color w:val="2A3038"/>
        </w:rPr>
        <w:t>Dear Hiring Manager,</w:t>
      </w:r>
    </w:p>
    <w:p>
      <w:r>
        <w:t>I am a Blockchain and AI technology professional with extensive experience in designing, architecting, and delivering enterprise-grade blockchain solutions, tokenization platforms, digital-asset ecosystems, and AI-enabled applications. My experience spans the complete lifecycle of technology initiatives—from conceptualization and solution architecture to product development, blockchain integration, tokenomics, and enterprise implementation.</w:t>
      </w:r>
    </w:p>
    <w:p>
      <w:pPr>
        <w:spacing w:before="160" w:after="80"/>
        <w:pBdr>
          <w:bottom w:val="single" w:sz="16" w:space="5" w:color="008577"/>
        </w:pBdr>
      </w:pPr>
      <w:r>
        <w:rPr>
          <w:rFonts w:ascii="Aptos Display" w:hAnsi="Aptos Display"/>
          <w:b/>
          <w:color w:val="12263F"/>
          <w:sz w:val="21"/>
        </w:rPr>
        <w:t>SELECTED PROJECT EXPERIENCE</w:t>
      </w:r>
    </w:p>
    <w:p>
      <w:pPr>
        <w:spacing w:after="80"/>
        <w:ind w:left="115" w:hanging="115"/>
      </w:pPr>
      <w:r>
        <w:rPr>
          <w:b/>
          <w:color w:val="008577"/>
        </w:rPr>
        <w:t xml:space="preserve">• </w:t>
      </w:r>
      <w:r>
        <w:rPr>
          <w:b/>
          <w:color w:val="12263F"/>
        </w:rPr>
        <w:t xml:space="preserve">Trade Finance — </w:t>
      </w:r>
      <w:r>
        <w:t>Enterprise blockchain platform for digitizing and streamlining trade-finance workflows, with a focus on transparency, document integrity, digital signatures, auditability, and multi-party transaction processes.</w:t>
      </w:r>
    </w:p>
    <w:p>
      <w:pPr>
        <w:spacing w:after="80"/>
        <w:ind w:left="115" w:hanging="115"/>
      </w:pPr>
      <w:r>
        <w:rPr>
          <w:b/>
          <w:color w:val="008577"/>
        </w:rPr>
        <w:t xml:space="preserve">• </w:t>
      </w:r>
      <w:r>
        <w:rPr>
          <w:b/>
          <w:color w:val="12263F"/>
        </w:rPr>
        <w:t xml:space="preserve">tubeNext — </w:t>
      </w:r>
      <w:r>
        <w:t>Blockchain-based certification and asset-management platform involving digital certificates, blockchain verification, digital identity, and enterprise workflow integration.</w:t>
      </w:r>
    </w:p>
    <w:p>
      <w:pPr>
        <w:spacing w:after="80"/>
        <w:ind w:left="115" w:hanging="115"/>
      </w:pPr>
      <w:r>
        <w:rPr>
          <w:b/>
          <w:color w:val="008577"/>
        </w:rPr>
        <w:t xml:space="preserve">• </w:t>
      </w:r>
      <w:r>
        <w:rPr>
          <w:b/>
          <w:color w:val="12263F"/>
        </w:rPr>
        <w:t xml:space="preserve">Inveniam — </w:t>
      </w:r>
      <w:r>
        <w:t>Exposure to institutional digital-asset infrastructure and blockchain-based private-market data and asset ecosystems, with a focus on digitization and institutional adoption of private-market assets.</w:t>
      </w:r>
    </w:p>
    <w:p>
      <w:pPr>
        <w:spacing w:after="80"/>
        <w:ind w:left="115" w:hanging="115"/>
      </w:pPr>
      <w:r>
        <w:rPr>
          <w:b/>
          <w:color w:val="008577"/>
        </w:rPr>
        <w:t xml:space="preserve">• </w:t>
      </w:r>
      <w:r>
        <w:rPr>
          <w:b/>
          <w:color w:val="12263F"/>
        </w:rPr>
        <w:t xml:space="preserve">Caprov — </w:t>
      </w:r>
      <w:r>
        <w:t>Private-capital and digital-asset marketplace involving tokenized assets, ERC-1155-based asset representation, ERC-20 payments, AI-based valuation, ownership/control mechanisms, and asset collateralization.</w:t>
      </w:r>
    </w:p>
    <w:p>
      <w:pPr>
        <w:spacing w:after="80"/>
        <w:ind w:left="115" w:hanging="115"/>
      </w:pPr>
      <w:r>
        <w:rPr>
          <w:b/>
          <w:color w:val="008577"/>
        </w:rPr>
        <w:t xml:space="preserve">• </w:t>
      </w:r>
      <w:r>
        <w:rPr>
          <w:b/>
          <w:color w:val="12263F"/>
        </w:rPr>
        <w:t xml:space="preserve">AnnapurnaChain — </w:t>
      </w:r>
      <w:r>
        <w:t>Enterprise blockchain implementation involving Hyperledger Fabric, digital identity/PKI, PDS workflows, blockchain-based traceability, and handling of complex beneficiary scenarios.</w:t>
      </w:r>
    </w:p>
    <w:p>
      <w:pPr>
        <w:spacing w:after="80"/>
        <w:ind w:left="115" w:hanging="115"/>
      </w:pPr>
      <w:r>
        <w:rPr>
          <w:b/>
          <w:color w:val="008577"/>
        </w:rPr>
        <w:t xml:space="preserve">• </w:t>
      </w:r>
      <w:r>
        <w:rPr>
          <w:b/>
          <w:color w:val="12263F"/>
        </w:rPr>
        <w:t xml:space="preserve">Bharat Bhumichain — </w:t>
      </w:r>
      <w:r>
        <w:t>Blockchain-based land-asset platform focused on tokenizing real-world land assets and creating digital representations of ownership and associated asset information.</w:t>
      </w:r>
    </w:p>
    <w:p>
      <w:pPr>
        <w:spacing w:after="80"/>
        <w:ind w:left="115" w:hanging="115"/>
      </w:pPr>
      <w:r>
        <w:rPr>
          <w:b/>
          <w:color w:val="008577"/>
        </w:rPr>
        <w:t xml:space="preserve">• </w:t>
      </w:r>
      <w:r>
        <w:rPr>
          <w:b/>
          <w:color w:val="12263F"/>
        </w:rPr>
        <w:t xml:space="preserve">LedgerREcon — </w:t>
      </w:r>
      <w:r>
        <w:t>AI-powered transaction reconciliation platform with blockchain-based auditability, where final transaction status and reconciliation reports are digitally fingerprinted and recorded on blockchain, creating a tamper-evident audit trail.</w:t>
      </w:r>
    </w:p>
    <w:p>
      <w:pPr>
        <w:spacing w:before="160" w:after="80"/>
        <w:pBdr>
          <w:bottom w:val="single" w:sz="16" w:space="5" w:color="008577"/>
        </w:pBdr>
      </w:pPr>
      <w:r>
        <w:rPr>
          <w:rFonts w:ascii="Aptos Display" w:hAnsi="Aptos Display"/>
          <w:b/>
          <w:color w:val="12263F"/>
          <w:sz w:val="21"/>
        </w:rPr>
        <w:t>WEB3 FUNDRAISING &amp; TOKENOMICS</w:t>
      </w:r>
    </w:p>
    <w:p>
      <w:r>
        <w:t>I have practical exposure to Web3 fundraising and Initial DEX Offering (IDO) initiatives, including PolcaCover, Unore, and TribesOne. This has provided me with an understanding of token-launch processes, token distribution, investor ecosystems, fundraising mechanisms, and the broader Web3 lifecycle.</w:t>
      </w:r>
    </w:p>
    <w:p>
      <w:r>
        <w:t>I also have experience designing professional tokenomics models covering token utility, total and circulating supply, allocation mechanisms, vesting structures, incentives, ecosystem economics, and mechanisms designed to align token utility with the underlying business model.</w:t>
      </w:r>
    </w:p>
    <w:p>
      <w:pPr>
        <w:spacing w:before="160" w:after="80"/>
        <w:pBdr>
          <w:bottom w:val="single" w:sz="16" w:space="5" w:color="008577"/>
        </w:pBdr>
      </w:pPr>
      <w:r>
        <w:rPr>
          <w:rFonts w:ascii="Aptos Display" w:hAnsi="Aptos Display"/>
          <w:b/>
          <w:color w:val="12263F"/>
          <w:sz w:val="21"/>
        </w:rPr>
        <w:t>BLOCKCHAIN STANDARDS &amp; TECHNICAL EXPERTISE</w:t>
      </w:r>
    </w:p>
    <w:p>
      <w:pPr>
        <w:spacing w:after="40"/>
        <w:ind w:left="230" w:hanging="230"/>
      </w:pPr>
      <w:r>
        <w:rPr>
          <w:b/>
          <w:color w:val="008577"/>
        </w:rPr>
        <w:t xml:space="preserve">• </w:t>
      </w:r>
      <w:r>
        <w:rPr>
          <w:b/>
          <w:color w:val="12263F"/>
        </w:rPr>
        <w:t xml:space="preserve">ERC-20 — </w:t>
      </w:r>
      <w:r>
        <w:t>Fungible tokens for payments, utility, and ecosystem mechanisms</w:t>
      </w:r>
    </w:p>
    <w:p>
      <w:pPr>
        <w:spacing w:after="40"/>
        <w:ind w:left="230" w:hanging="230"/>
      </w:pPr>
      <w:r>
        <w:rPr>
          <w:b/>
          <w:color w:val="008577"/>
        </w:rPr>
        <w:t xml:space="preserve">• </w:t>
      </w:r>
      <w:r>
        <w:rPr>
          <w:b/>
          <w:color w:val="12263F"/>
        </w:rPr>
        <w:t xml:space="preserve">ERC-721 — </w:t>
      </w:r>
      <w:r>
        <w:t>NFTs, unique digital asset representation, and ownership</w:t>
      </w:r>
    </w:p>
    <w:p>
      <w:pPr>
        <w:spacing w:after="40"/>
        <w:ind w:left="230" w:hanging="230"/>
      </w:pPr>
      <w:r>
        <w:rPr>
          <w:b/>
          <w:color w:val="008577"/>
        </w:rPr>
        <w:t xml:space="preserve">• </w:t>
      </w:r>
      <w:r>
        <w:rPr>
          <w:b/>
          <w:color w:val="12263F"/>
        </w:rPr>
        <w:t xml:space="preserve">ERC-1155 — </w:t>
      </w:r>
      <w:r>
        <w:t>Multi-token architecture supporting fungible and non-fungible asset representations</w:t>
      </w:r>
    </w:p>
    <w:p>
      <w:pPr>
        <w:spacing w:after="40"/>
        <w:ind w:left="230" w:hanging="230"/>
      </w:pPr>
      <w:r>
        <w:rPr>
          <w:b/>
          <w:color w:val="008577"/>
        </w:rPr>
        <w:t xml:space="preserve">• </w:t>
      </w:r>
      <w:r>
        <w:rPr>
          <w:b/>
          <w:color w:val="12263F"/>
        </w:rPr>
        <w:t xml:space="preserve">ERC-3643 — </w:t>
      </w:r>
      <w:r>
        <w:t>Permissioned and compliant tokenization of real-world and regulated assets</w:t>
      </w:r>
    </w:p>
    <w:p>
      <w:pPr>
        <w:spacing w:after="40"/>
        <w:ind w:left="230" w:hanging="230"/>
      </w:pPr>
      <w:r>
        <w:rPr>
          <w:b/>
          <w:color w:val="008577"/>
        </w:rPr>
        <w:t xml:space="preserve">• </w:t>
      </w:r>
      <w:r>
        <w:rPr>
          <w:b/>
          <w:color w:val="12263F"/>
        </w:rPr>
        <w:t xml:space="preserve">ERC-4626 — </w:t>
      </w:r>
      <w:r>
        <w:t>Tokenized vaults and yield-bearing asset structures</w:t>
      </w:r>
    </w:p>
    <w:p>
      <w:pPr>
        <w:spacing w:after="40"/>
        <w:ind w:left="230" w:hanging="230"/>
      </w:pPr>
      <w:r>
        <w:rPr>
          <w:b/>
          <w:color w:val="008577"/>
        </w:rPr>
        <w:t xml:space="preserve">• </w:t>
      </w:r>
      <w:r>
        <w:rPr>
          <w:b/>
          <w:color w:val="12263F"/>
        </w:rPr>
        <w:t xml:space="preserve">ERC-4337 — </w:t>
      </w:r>
      <w:r>
        <w:t>Account Abstraction, smart accounts, programmable transactions, and gasless transaction experiences</w:t>
      </w:r>
    </w:p>
    <w:p>
      <w:pPr>
        <w:spacing w:after="40"/>
        <w:ind w:left="259" w:hanging="173"/>
      </w:pPr>
      <w:r>
        <w:rPr>
          <w:b/>
          <w:color w:val="008577"/>
        </w:rPr>
        <w:t xml:space="preserve">• </w:t>
      </w:r>
      <w:r>
        <w:t>Smart Contracts &amp; EVM-based architectures</w:t>
      </w:r>
    </w:p>
    <w:p>
      <w:pPr>
        <w:spacing w:after="40"/>
        <w:ind w:left="259" w:hanging="173"/>
      </w:pPr>
      <w:r>
        <w:rPr>
          <w:b/>
          <w:color w:val="008577"/>
        </w:rPr>
        <w:t xml:space="preserve">• </w:t>
      </w:r>
      <w:r>
        <w:t>Hyperledger Fabric &amp; Enterprise Blockchain</w:t>
      </w:r>
    </w:p>
    <w:p>
      <w:pPr>
        <w:spacing w:after="40"/>
        <w:ind w:left="259" w:hanging="173"/>
      </w:pPr>
      <w:r>
        <w:rPr>
          <w:b/>
          <w:color w:val="008577"/>
        </w:rPr>
        <w:t xml:space="preserve">• </w:t>
      </w:r>
      <w:r>
        <w:t>RWA Tokenization &amp; Digital Assets</w:t>
      </w:r>
    </w:p>
    <w:p>
      <w:pPr>
        <w:spacing w:after="40"/>
        <w:ind w:left="259" w:hanging="173"/>
      </w:pPr>
      <w:r>
        <w:rPr>
          <w:b/>
          <w:color w:val="008577"/>
        </w:rPr>
        <w:t xml:space="preserve">• </w:t>
      </w:r>
      <w:r>
        <w:t>Private-market and private-capital asset digitization</w:t>
      </w:r>
    </w:p>
    <w:p>
      <w:pPr>
        <w:spacing w:after="40"/>
        <w:ind w:left="259" w:hanging="173"/>
      </w:pPr>
      <w:r>
        <w:rPr>
          <w:b/>
          <w:color w:val="008577"/>
        </w:rPr>
        <w:t xml:space="preserve">• </w:t>
      </w:r>
      <w:r>
        <w:t>Tokenomics and Web3 economic design</w:t>
      </w:r>
    </w:p>
    <w:p>
      <w:pPr>
        <w:spacing w:after="40"/>
        <w:ind w:left="259" w:hanging="173"/>
      </w:pPr>
      <w:r>
        <w:rPr>
          <w:b/>
          <w:color w:val="008577"/>
        </w:rPr>
        <w:t xml:space="preserve">• </w:t>
      </w:r>
      <w:r>
        <w:t>Digital Identity, PKI and Cryptographic Systems</w:t>
      </w:r>
    </w:p>
    <w:p>
      <w:pPr>
        <w:spacing w:after="40"/>
        <w:ind w:left="259" w:hanging="173"/>
      </w:pPr>
      <w:r>
        <w:rPr>
          <w:b/>
          <w:color w:val="008577"/>
        </w:rPr>
        <w:t xml:space="preserve">• </w:t>
      </w:r>
      <w:r>
        <w:t>Blockchain APIs and Enterprise System Integration</w:t>
      </w:r>
    </w:p>
    <w:p>
      <w:pPr>
        <w:spacing w:before="160" w:after="80"/>
        <w:pBdr>
          <w:bottom w:val="single" w:sz="16" w:space="5" w:color="008577"/>
        </w:pBdr>
      </w:pPr>
      <w:r>
        <w:rPr>
          <w:rFonts w:ascii="Aptos Display" w:hAnsi="Aptos Display"/>
          <w:b/>
          <w:color w:val="12263F"/>
          <w:sz w:val="21"/>
        </w:rPr>
        <w:t>AI, QUANTUM COMPUTING &amp; EMERGING TECHNOLOGY</w:t>
      </w:r>
    </w:p>
    <w:p>
      <w:r>
        <w:t>My broader expertise lies at the intersection of Blockchain, AI, Web3, Digital Assets, Tokenization, Private Capital, and Enterprise Technology. I have worked on solutions where blockchain provides immutability, provenance, transparency, and auditability, while AI is used for analysis, valuation, reconciliation, automation, and decision support.</w:t>
      </w:r>
    </w:p>
    <w:p>
      <w:r>
        <w:t>I am also actively researching quantum computing and its implications for blockchain security, including post-quantum cryptography, quantum-resistant digital signatures, and the potential evolution of blockchain architectures for a post-quantum environment.</w:t>
      </w:r>
    </w:p>
    <w:p>
      <w:pPr>
        <w:spacing w:before="160" w:after="80"/>
        <w:pBdr>
          <w:bottom w:val="single" w:sz="16" w:space="5" w:color="008577"/>
        </w:pBdr>
      </w:pPr>
      <w:r>
        <w:rPr>
          <w:rFonts w:ascii="Aptos Display" w:hAnsi="Aptos Display"/>
          <w:b/>
          <w:color w:val="12263F"/>
          <w:sz w:val="21"/>
        </w:rPr>
        <w:t>PROFESSIONAL VALUE</w:t>
      </w:r>
    </w:p>
    <w:p>
      <w:r>
        <w:t>What differentiates my experience is the combination of technical depth, product thinking, enterprise implementation experience, Web3 exposure, tokenomics expertise, and emerging-technology research. I am comfortable moving between business requirements, product strategy, technology architecture, blockchain protocols, smart contracts, AI systems, and implementation teams.</w:t>
      </w:r>
    </w:p>
    <w:p>
      <w:r>
        <w:t>I bring practical exposure across the digital-asset lifecycle—from asset digitization and tokenization to token economics, fundraising, valuation, collateralization, transaction processing, reconciliation, and blockchain-based auditability.</w:t>
      </w:r>
    </w:p>
    <w:p>
      <w:r>
        <w:t>I would welcome the opportunity to contribute this experience to an organization building innovative products or infrastructure in Blockchain, AI, Web3, Digital Assets, RWA Tokenization, Private Capital, FinTech, or emerging technologies.</w:t>
      </w:r>
    </w:p>
    <w:p>
      <w:r>
        <w:t>Thank you for considering my profile. I would be pleased to discuss how my experience, technical perspective, and product-oriented approach could contribute to your organization.</w:t>
      </w:r>
    </w:p>
    <w:p>
      <w:pPr>
        <w:spacing w:before="140" w:after="0"/>
      </w:pPr>
      <w:r>
        <w:rPr>
          <w:b/>
        </w:rPr>
        <w:t>Sincerely,</w:t>
      </w:r>
    </w:p>
    <w:p>
      <w:pPr>
        <w:spacing w:after="0"/>
      </w:pPr>
      <w:r>
        <w:rPr>
          <w:b/>
          <w:color w:val="12263F"/>
          <w:sz w:val="21"/>
        </w:rPr>
        <w:t>[Your Name]</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4"/>
        <w:sz w:val="15"/>
      </w:rPr>
      <w:t>CONFIDENTIAL • PROFESSIONAL PROFILE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8577"/>
        <w:sz w:val="16"/>
      </w:rPr>
      <w:t>BLOCKCHAIN  •  AI  •  DIGITAL ASSETS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A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&amp; AI Technology Leader - Cover Letter</dc:title>
  <dc:subject>Professional Cover Letter</dc:subject>
  <dc:creator>[Your Name]</dc:creator>
  <cp:keywords>Blockchain, AI, Web3, RWA, Tokenization, ERC-20, ERC-721, ERC-1155, ERC-3643, ERC-4626, ERC-4337</cp:keywords>
  <dc:description>generated by python-docx</dc:description>
  <cp:lastModifiedBy/>
  <cp:revision>1</cp:revision>
  <dcterms:created xsi:type="dcterms:W3CDTF">2013-12-23T23:15:00Z</dcterms:created>
  <dcterms:modified xsi:type="dcterms:W3CDTF">2013-12-23T23:15:00Z</dcterms:modified>
  <cp:category/>
</cp:coreProperties>
</file>