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sz w:val="26"/>
        </w:rPr>
        <w:t>PROPERTY DUE DILIGENCE | ENCUMBRANCE SEARCH REPORT</w:t>
      </w:r>
    </w:p>
    <w:p>
      <w:pPr>
        <w:spacing w:after="20"/>
        <w:jc w:val="center"/>
      </w:pPr>
      <w:r>
        <w:rPr>
          <w:b/>
          <w:sz w:val="16"/>
        </w:rPr>
        <w:t>ILLUSTRATIVE / DUMMY DATA — NOT A GOVERNMENT-ISSUED CERTIFICATE</w:t>
      </w:r>
    </w:p>
    <w:p>
      <w:pPr>
        <w:spacing w:after="40"/>
        <w:jc w:val="center"/>
      </w:pPr>
      <w:r>
        <w:rPr>
          <w:b/>
          <w:sz w:val="32"/>
        </w:rPr>
        <w:t>ENCUMBRANCE SEARCH REPORT</w:t>
      </w:r>
    </w:p>
    <w:p>
      <w:pPr>
        <w:spacing w:after="60"/>
        <w:jc w:val="center"/>
      </w:pPr>
      <w:r>
        <w:rPr>
          <w:b/>
          <w:sz w:val="21"/>
        </w:rPr>
        <w:t>Commercial Office Property — Dallas, Texas, USA</w:t>
      </w:r>
    </w:p>
    <w:tbl>
      <w:tblPr>
        <w:tblStyle w:val="TableGrid"/>
        <w:tblW w:type="auto" w:w="0"/>
        <w:jc w:val="center"/>
        <w:tblLook w:firstColumn="1" w:firstRow="1" w:lastColumn="0" w:lastRow="0" w:noHBand="0" w:noVBand="1" w:val="04A0"/>
      </w:tblPr>
      <w:tblGrid>
        <w:gridCol w:w="5328"/>
        <w:gridCol w:w="5328"/>
      </w:tblGrid>
      <w:tr>
        <w:tc>
          <w:tcPr>
            <w:tcW w:type="dxa" w:w="3096"/>
            <w:vAlign w:val="center"/>
            <w:shd w:fill="D9E1F2"/>
          </w:tcPr>
          <w:p>
            <w:pPr>
              <w:spacing w:after="0"/>
            </w:pPr>
            <w:r/>
            <w:r>
              <w:rPr>
                <w:rFonts w:ascii="Arial" w:hAnsi="Arial"/>
                <w:b/>
                <w:sz w:val="16"/>
              </w:rPr>
              <w:t>Particular</w:t>
            </w:r>
          </w:p>
        </w:tc>
        <w:tc>
          <w:tcPr>
            <w:tcW w:type="dxa" w:w="7128"/>
            <w:vAlign w:val="center"/>
            <w:shd w:fill="D9E1F2"/>
          </w:tcPr>
          <w:p>
            <w:pPr>
              <w:spacing w:after="0"/>
            </w:pPr>
            <w:r/>
            <w:r>
              <w:rPr>
                <w:rFonts w:ascii="Arial" w:hAnsi="Arial"/>
                <w:b/>
                <w:sz w:val="16"/>
              </w:rPr>
              <w:t>Details</w:t>
            </w:r>
          </w:p>
        </w:tc>
      </w:tr>
      <w:tr>
        <w:tc>
          <w:tcPr>
            <w:tcW w:type="dxa" w:w="3096"/>
            <w:vAlign w:val="center"/>
          </w:tcPr>
          <w:p>
            <w:pPr>
              <w:spacing w:after="0"/>
            </w:pPr>
            <w:r/>
            <w:r>
              <w:rPr>
                <w:rFonts w:ascii="Arial" w:hAnsi="Arial"/>
                <w:b w:val="0"/>
                <w:sz w:val="16"/>
              </w:rPr>
              <w:t>Property Owner / Proposed Seller</w:t>
            </w:r>
          </w:p>
        </w:tc>
        <w:tc>
          <w:tcPr>
            <w:tcW w:type="dxa" w:w="7128"/>
            <w:vAlign w:val="center"/>
          </w:tcPr>
          <w:p>
            <w:pPr>
              <w:spacing w:after="0"/>
            </w:pPr>
            <w:r/>
            <w:r>
              <w:rPr>
                <w:rFonts w:ascii="Arial" w:hAnsi="Arial"/>
                <w:b w:val="0"/>
                <w:sz w:val="16"/>
              </w:rPr>
              <w:t>Apex Industrial Assets Private Limited</w:t>
            </w:r>
          </w:p>
        </w:tc>
      </w:tr>
      <w:tr>
        <w:tc>
          <w:tcPr>
            <w:tcW w:type="dxa" w:w="3096"/>
            <w:vAlign w:val="center"/>
          </w:tcPr>
          <w:p>
            <w:pPr>
              <w:spacing w:after="0"/>
            </w:pPr>
            <w:r/>
            <w:r>
              <w:rPr>
                <w:rFonts w:ascii="Arial" w:hAnsi="Arial"/>
                <w:b w:val="0"/>
                <w:sz w:val="16"/>
              </w:rPr>
              <w:t>Proposed Purchaser</w:t>
            </w:r>
          </w:p>
        </w:tc>
        <w:tc>
          <w:tcPr>
            <w:tcW w:type="dxa" w:w="7128"/>
            <w:vAlign w:val="center"/>
          </w:tcPr>
          <w:p>
            <w:pPr>
              <w:spacing w:after="0"/>
            </w:pPr>
            <w:r/>
            <w:r>
              <w:rPr>
                <w:rFonts w:ascii="Arial" w:hAnsi="Arial"/>
                <w:b w:val="0"/>
                <w:sz w:val="16"/>
              </w:rPr>
              <w:t>LMN Asset Pvt. Ltd.</w:t>
            </w:r>
          </w:p>
        </w:tc>
      </w:tr>
      <w:tr>
        <w:tc>
          <w:tcPr>
            <w:tcW w:type="dxa" w:w="3096"/>
            <w:vAlign w:val="center"/>
          </w:tcPr>
          <w:p>
            <w:pPr>
              <w:spacing w:after="0"/>
            </w:pPr>
            <w:r/>
            <w:r>
              <w:rPr>
                <w:rFonts w:ascii="Arial" w:hAnsi="Arial"/>
                <w:b w:val="0"/>
                <w:sz w:val="16"/>
              </w:rPr>
              <w:t>Property</w:t>
            </w:r>
          </w:p>
        </w:tc>
        <w:tc>
          <w:tcPr>
            <w:tcW w:type="dxa" w:w="7128"/>
            <w:vAlign w:val="center"/>
          </w:tcPr>
          <w:p>
            <w:pPr>
              <w:spacing w:after="0"/>
            </w:pPr>
            <w:r/>
            <w:r>
              <w:rPr>
                <w:rFonts w:ascii="Arial" w:hAnsi="Arial"/>
                <w:b w:val="0"/>
                <w:sz w:val="16"/>
              </w:rPr>
              <w:t>Commercial office property</w:t>
            </w:r>
          </w:p>
        </w:tc>
      </w:tr>
      <w:tr>
        <w:tc>
          <w:tcPr>
            <w:tcW w:type="dxa" w:w="3096"/>
            <w:vAlign w:val="center"/>
          </w:tcPr>
          <w:p>
            <w:pPr>
              <w:spacing w:after="0"/>
            </w:pPr>
            <w:r/>
            <w:r>
              <w:rPr>
                <w:rFonts w:ascii="Arial" w:hAnsi="Arial"/>
                <w:b w:val="0"/>
                <w:sz w:val="16"/>
              </w:rPr>
              <w:t>Location</w:t>
            </w:r>
          </w:p>
        </w:tc>
        <w:tc>
          <w:tcPr>
            <w:tcW w:type="dxa" w:w="7128"/>
            <w:vAlign w:val="center"/>
          </w:tcPr>
          <w:p>
            <w:pPr>
              <w:spacing w:after="0"/>
            </w:pPr>
            <w:r/>
            <w:r>
              <w:rPr>
                <w:rFonts w:ascii="Arial" w:hAnsi="Arial"/>
                <w:b w:val="0"/>
                <w:sz w:val="16"/>
              </w:rPr>
              <w:t>114 Commerce Center Drive, Dallas, Texas 75201, USA (Illustrative)</w:t>
            </w:r>
          </w:p>
        </w:tc>
      </w:tr>
      <w:tr>
        <w:tc>
          <w:tcPr>
            <w:tcW w:type="dxa" w:w="3096"/>
            <w:vAlign w:val="center"/>
          </w:tcPr>
          <w:p>
            <w:pPr>
              <w:spacing w:after="0"/>
            </w:pPr>
            <w:r/>
            <w:r>
              <w:rPr>
                <w:rFonts w:ascii="Arial" w:hAnsi="Arial"/>
                <w:b w:val="0"/>
                <w:sz w:val="16"/>
              </w:rPr>
              <w:t>Approximate Area</w:t>
            </w:r>
          </w:p>
        </w:tc>
        <w:tc>
          <w:tcPr>
            <w:tcW w:type="dxa" w:w="7128"/>
            <w:vAlign w:val="center"/>
          </w:tcPr>
          <w:p>
            <w:pPr>
              <w:spacing w:after="0"/>
            </w:pPr>
            <w:r/>
            <w:r>
              <w:rPr>
                <w:rFonts w:ascii="Arial" w:hAnsi="Arial"/>
                <w:b w:val="0"/>
                <w:sz w:val="16"/>
              </w:rPr>
              <w:t>3,250 sq. ft.</w:t>
            </w:r>
          </w:p>
        </w:tc>
      </w:tr>
      <w:tr>
        <w:tc>
          <w:tcPr>
            <w:tcW w:type="dxa" w:w="3096"/>
            <w:vAlign w:val="center"/>
          </w:tcPr>
          <w:p>
            <w:pPr>
              <w:spacing w:after="0"/>
            </w:pPr>
            <w:r/>
            <w:r>
              <w:rPr>
                <w:rFonts w:ascii="Arial" w:hAnsi="Arial"/>
                <w:b w:val="0"/>
                <w:sz w:val="16"/>
              </w:rPr>
              <w:t>Indicative Unit / Property No.</w:t>
            </w:r>
          </w:p>
        </w:tc>
        <w:tc>
          <w:tcPr>
            <w:tcW w:type="dxa" w:w="7128"/>
            <w:vAlign w:val="center"/>
          </w:tcPr>
          <w:p>
            <w:pPr>
              <w:spacing w:after="0"/>
            </w:pPr>
            <w:r/>
            <w:r>
              <w:rPr>
                <w:rFonts w:ascii="Arial" w:hAnsi="Arial"/>
                <w:b w:val="0"/>
                <w:sz w:val="16"/>
              </w:rPr>
              <w:t>Office Unit 7B, Commerce Business Center</w:t>
            </w:r>
          </w:p>
        </w:tc>
      </w:tr>
      <w:tr>
        <w:tc>
          <w:tcPr>
            <w:tcW w:type="dxa" w:w="3096"/>
            <w:vAlign w:val="center"/>
          </w:tcPr>
          <w:p>
            <w:pPr>
              <w:spacing w:after="0"/>
            </w:pPr>
            <w:r/>
            <w:r>
              <w:rPr>
                <w:rFonts w:ascii="Arial" w:hAnsi="Arial"/>
                <w:b w:val="0"/>
                <w:sz w:val="16"/>
              </w:rPr>
              <w:t>Parcel / Property Reference</w:t>
            </w:r>
          </w:p>
        </w:tc>
        <w:tc>
          <w:tcPr>
            <w:tcW w:type="dxa" w:w="7128"/>
            <w:vAlign w:val="center"/>
          </w:tcPr>
          <w:p>
            <w:pPr>
              <w:spacing w:after="0"/>
            </w:pPr>
            <w:r/>
            <w:r>
              <w:rPr>
                <w:rFonts w:ascii="Arial" w:hAnsi="Arial"/>
                <w:b w:val="0"/>
                <w:sz w:val="16"/>
              </w:rPr>
              <w:t>Parcel No. 0001147, Dallas County (Illustrative)</w:t>
            </w:r>
          </w:p>
        </w:tc>
      </w:tr>
      <w:tr>
        <w:tc>
          <w:tcPr>
            <w:tcW w:type="dxa" w:w="3096"/>
            <w:vAlign w:val="center"/>
          </w:tcPr>
          <w:p>
            <w:pPr>
              <w:spacing w:after="0"/>
            </w:pPr>
            <w:r/>
            <w:r>
              <w:rPr>
                <w:rFonts w:ascii="Arial" w:hAnsi="Arial"/>
                <w:b w:val="0"/>
                <w:sz w:val="16"/>
              </w:rPr>
              <w:t>Search Period</w:t>
            </w:r>
          </w:p>
        </w:tc>
        <w:tc>
          <w:tcPr>
            <w:tcW w:type="dxa" w:w="7128"/>
            <w:vAlign w:val="center"/>
          </w:tcPr>
          <w:p>
            <w:pPr>
              <w:spacing w:after="0"/>
            </w:pPr>
            <w:r/>
            <w:r>
              <w:rPr>
                <w:rFonts w:ascii="Arial" w:hAnsi="Arial"/>
                <w:b w:val="0"/>
                <w:sz w:val="16"/>
              </w:rPr>
              <w:t>1 April 2016 to 30 September 2026</w:t>
            </w:r>
          </w:p>
        </w:tc>
      </w:tr>
      <w:tr>
        <w:tc>
          <w:tcPr>
            <w:tcW w:type="dxa" w:w="3096"/>
            <w:vAlign w:val="center"/>
          </w:tcPr>
          <w:p>
            <w:pPr>
              <w:spacing w:after="0"/>
            </w:pPr>
            <w:r/>
            <w:r>
              <w:rPr>
                <w:rFonts w:ascii="Arial" w:hAnsi="Arial"/>
                <w:b w:val="0"/>
                <w:sz w:val="16"/>
              </w:rPr>
              <w:t>Search / Cut-off Date</w:t>
            </w:r>
          </w:p>
        </w:tc>
        <w:tc>
          <w:tcPr>
            <w:tcW w:type="dxa" w:w="7128"/>
            <w:vAlign w:val="center"/>
          </w:tcPr>
          <w:p>
            <w:pPr>
              <w:spacing w:after="0"/>
            </w:pPr>
            <w:r/>
            <w:r>
              <w:rPr>
                <w:rFonts w:ascii="Arial" w:hAnsi="Arial"/>
                <w:b w:val="0"/>
                <w:sz w:val="16"/>
              </w:rPr>
              <w:t>30 September 2026</w:t>
            </w:r>
          </w:p>
        </w:tc>
      </w:tr>
      <w:tr>
        <w:tc>
          <w:tcPr>
            <w:tcW w:type="dxa" w:w="3096"/>
            <w:vAlign w:val="center"/>
          </w:tcPr>
          <w:p>
            <w:pPr>
              <w:spacing w:after="0"/>
            </w:pPr>
            <w:r/>
            <w:r>
              <w:rPr>
                <w:rFonts w:ascii="Arial" w:hAnsi="Arial"/>
                <w:b w:val="0"/>
                <w:sz w:val="16"/>
              </w:rPr>
              <w:t>Search Status</w:t>
            </w:r>
          </w:p>
        </w:tc>
        <w:tc>
          <w:tcPr>
            <w:tcW w:type="dxa" w:w="7128"/>
            <w:vAlign w:val="center"/>
          </w:tcPr>
          <w:p>
            <w:pPr>
              <w:spacing w:after="0"/>
            </w:pPr>
            <w:r/>
            <w:r>
              <w:rPr>
                <w:rFonts w:ascii="Arial" w:hAnsi="Arial"/>
                <w:b w:val="0"/>
                <w:sz w:val="16"/>
              </w:rPr>
              <w:t>Historical encumbrances identified; all listed matters subsequently discharged/resolved</w:t>
            </w:r>
          </w:p>
        </w:tc>
      </w:tr>
      <w:tr>
        <w:tc>
          <w:tcPr>
            <w:tcW w:type="dxa" w:w="3096"/>
            <w:vAlign w:val="center"/>
          </w:tcPr>
          <w:p>
            <w:pPr>
              <w:spacing w:after="0"/>
            </w:pPr>
            <w:r/>
            <w:r>
              <w:rPr>
                <w:rFonts w:ascii="Arial" w:hAnsi="Arial"/>
                <w:b w:val="0"/>
                <w:sz w:val="16"/>
              </w:rPr>
              <w:t>Final Status</w:t>
            </w:r>
          </w:p>
        </w:tc>
        <w:tc>
          <w:tcPr>
            <w:tcW w:type="dxa" w:w="7128"/>
            <w:vAlign w:val="center"/>
          </w:tcPr>
          <w:p>
            <w:pPr>
              <w:spacing w:after="0"/>
            </w:pPr>
            <w:r/>
            <w:r>
              <w:rPr>
                <w:rFonts w:ascii="Arial" w:hAnsi="Arial"/>
                <w:b w:val="0"/>
                <w:sz w:val="16"/>
              </w:rPr>
              <w:t>NO SUBSISTING ENCUMBRANCE IDENTIFIED (ILLUSTRATIVE)</w:t>
            </w:r>
          </w:p>
        </w:tc>
      </w:tr>
    </w:tbl>
    <w:p>
      <w:pPr>
        <w:spacing w:before="100" w:after="40"/>
      </w:pPr>
      <w:r>
        <w:rPr>
          <w:rFonts w:ascii="Arial" w:hAnsi="Arial"/>
          <w:b/>
          <w:sz w:val="22"/>
        </w:rPr>
        <w:t>1. PURPOSE OF THIS REPORT</w:t>
      </w:r>
    </w:p>
    <w:p>
      <w:pPr>
        <w:spacing w:after="60"/>
      </w:pPr>
      <w:r>
        <w:rPr>
          <w:sz w:val="17"/>
        </w:rPr>
        <w:t>This Encumbrance Search Report (“Report”) has been prepared as an illustrative transaction document for LMN Asset Pvt. Ltd. in connection with the proposed acquisition of the commercial office property described in this Report. It presents a hypothetical historical chain of loans, security interests, liens, disputes and releases and concludes that no subsisting encumbrance remains as at 30 September 2026.</w:t>
      </w:r>
    </w:p>
    <w:p>
      <w:pPr>
        <w:spacing w:after="60"/>
      </w:pPr>
      <w:r>
        <w:rPr>
          <w:sz w:val="17"/>
        </w:rPr>
        <w:t>This document contains dummy data and is not a title commitment, title policy, certified county record, UCC search certificate, court certificate, tax certificate, lender release, or other official record issued by a county recorder, title company, court, bank, tax authority or other governmental/statutory authority. It must not be presented as an official certificate.</w:t>
      </w:r>
    </w:p>
    <w:p>
      <w:pPr>
        <w:spacing w:before="100" w:after="40"/>
      </w:pPr>
      <w:r>
        <w:rPr>
          <w:rFonts w:ascii="Arial" w:hAnsi="Arial"/>
          <w:b/>
          <w:sz w:val="22"/>
        </w:rPr>
        <w:t>2. PROPERTY IDENTIFICATION</w:t>
      </w:r>
    </w:p>
    <w:tbl>
      <w:tblPr>
        <w:tblStyle w:val="TableGrid"/>
        <w:tblW w:type="auto" w:w="0"/>
        <w:jc w:val="center"/>
        <w:tblLook w:firstColumn="1" w:firstRow="1" w:lastColumn="0" w:lastRow="0" w:noHBand="0" w:noVBand="1" w:val="04A0"/>
      </w:tblPr>
      <w:tblGrid>
        <w:gridCol w:w="5328"/>
        <w:gridCol w:w="5328"/>
      </w:tblGrid>
      <w:tr>
        <w:tc>
          <w:tcPr>
            <w:tcW w:type="dxa" w:w="3096"/>
            <w:vAlign w:val="center"/>
            <w:shd w:fill="D9E1F2"/>
          </w:tcPr>
          <w:p>
            <w:pPr>
              <w:spacing w:after="0"/>
            </w:pPr>
            <w:r/>
            <w:r>
              <w:rPr>
                <w:rFonts w:ascii="Arial" w:hAnsi="Arial"/>
                <w:b/>
                <w:sz w:val="16"/>
              </w:rPr>
              <w:t>Property Particular</w:t>
            </w:r>
          </w:p>
        </w:tc>
        <w:tc>
          <w:tcPr>
            <w:tcW w:type="dxa" w:w="7128"/>
            <w:vAlign w:val="center"/>
            <w:shd w:fill="D9E1F2"/>
          </w:tcPr>
          <w:p>
            <w:pPr>
              <w:spacing w:after="0"/>
            </w:pPr>
            <w:r/>
            <w:r>
              <w:rPr>
                <w:rFonts w:ascii="Arial" w:hAnsi="Arial"/>
                <w:b/>
                <w:sz w:val="16"/>
              </w:rPr>
              <w:t>Description</w:t>
            </w:r>
          </w:p>
        </w:tc>
      </w:tr>
      <w:tr>
        <w:tc>
          <w:tcPr>
            <w:tcW w:type="dxa" w:w="3096"/>
            <w:vAlign w:val="center"/>
          </w:tcPr>
          <w:p>
            <w:pPr>
              <w:spacing w:after="0"/>
            </w:pPr>
            <w:r/>
            <w:r>
              <w:rPr>
                <w:rFonts w:ascii="Arial" w:hAnsi="Arial"/>
                <w:b w:val="0"/>
                <w:sz w:val="16"/>
              </w:rPr>
              <w:t>Property Type</w:t>
            </w:r>
          </w:p>
        </w:tc>
        <w:tc>
          <w:tcPr>
            <w:tcW w:type="dxa" w:w="7128"/>
            <w:vAlign w:val="center"/>
          </w:tcPr>
          <w:p>
            <w:pPr>
              <w:spacing w:after="0"/>
            </w:pPr>
            <w:r/>
            <w:r>
              <w:rPr>
                <w:rFonts w:ascii="Arial" w:hAnsi="Arial"/>
                <w:b w:val="0"/>
                <w:sz w:val="16"/>
              </w:rPr>
              <w:t>Commercial office property</w:t>
            </w:r>
          </w:p>
        </w:tc>
      </w:tr>
      <w:tr>
        <w:tc>
          <w:tcPr>
            <w:tcW w:type="dxa" w:w="3096"/>
            <w:vAlign w:val="center"/>
          </w:tcPr>
          <w:p>
            <w:pPr>
              <w:spacing w:after="0"/>
            </w:pPr>
            <w:r/>
            <w:r>
              <w:rPr>
                <w:rFonts w:ascii="Arial" w:hAnsi="Arial"/>
                <w:b w:val="0"/>
                <w:sz w:val="16"/>
              </w:rPr>
              <w:t>Building</w:t>
            </w:r>
          </w:p>
        </w:tc>
        <w:tc>
          <w:tcPr>
            <w:tcW w:type="dxa" w:w="7128"/>
            <w:vAlign w:val="center"/>
          </w:tcPr>
          <w:p>
            <w:pPr>
              <w:spacing w:after="0"/>
            </w:pPr>
            <w:r/>
            <w:r>
              <w:rPr>
                <w:rFonts w:ascii="Arial" w:hAnsi="Arial"/>
                <w:b w:val="0"/>
                <w:sz w:val="16"/>
              </w:rPr>
              <w:t>Commerce Business Center</w:t>
            </w:r>
          </w:p>
        </w:tc>
      </w:tr>
      <w:tr>
        <w:tc>
          <w:tcPr>
            <w:tcW w:type="dxa" w:w="3096"/>
            <w:vAlign w:val="center"/>
          </w:tcPr>
          <w:p>
            <w:pPr>
              <w:spacing w:after="0"/>
            </w:pPr>
            <w:r/>
            <w:r>
              <w:rPr>
                <w:rFonts w:ascii="Arial" w:hAnsi="Arial"/>
                <w:b w:val="0"/>
                <w:sz w:val="16"/>
              </w:rPr>
              <w:t>Unit</w:t>
            </w:r>
          </w:p>
        </w:tc>
        <w:tc>
          <w:tcPr>
            <w:tcW w:type="dxa" w:w="7128"/>
            <w:vAlign w:val="center"/>
          </w:tcPr>
          <w:p>
            <w:pPr>
              <w:spacing w:after="0"/>
            </w:pPr>
            <w:r/>
            <w:r>
              <w:rPr>
                <w:rFonts w:ascii="Arial" w:hAnsi="Arial"/>
                <w:b w:val="0"/>
                <w:sz w:val="16"/>
              </w:rPr>
              <w:t>Office Unit 7B</w:t>
            </w:r>
          </w:p>
        </w:tc>
      </w:tr>
      <w:tr>
        <w:tc>
          <w:tcPr>
            <w:tcW w:type="dxa" w:w="3096"/>
            <w:vAlign w:val="center"/>
          </w:tcPr>
          <w:p>
            <w:pPr>
              <w:spacing w:after="0"/>
            </w:pPr>
            <w:r/>
            <w:r>
              <w:rPr>
                <w:rFonts w:ascii="Arial" w:hAnsi="Arial"/>
                <w:b w:val="0"/>
                <w:sz w:val="16"/>
              </w:rPr>
              <w:t>Location</w:t>
            </w:r>
          </w:p>
        </w:tc>
        <w:tc>
          <w:tcPr>
            <w:tcW w:type="dxa" w:w="7128"/>
            <w:vAlign w:val="center"/>
          </w:tcPr>
          <w:p>
            <w:pPr>
              <w:spacing w:after="0"/>
            </w:pPr>
            <w:r/>
            <w:r>
              <w:rPr>
                <w:rFonts w:ascii="Arial" w:hAnsi="Arial"/>
                <w:b w:val="0"/>
                <w:sz w:val="16"/>
              </w:rPr>
              <w:t>114 Commerce Center Drive, Dallas, Texas 75201, USA</w:t>
            </w:r>
          </w:p>
        </w:tc>
      </w:tr>
      <w:tr>
        <w:tc>
          <w:tcPr>
            <w:tcW w:type="dxa" w:w="3096"/>
            <w:vAlign w:val="center"/>
          </w:tcPr>
          <w:p>
            <w:pPr>
              <w:spacing w:after="0"/>
            </w:pPr>
            <w:r/>
            <w:r>
              <w:rPr>
                <w:rFonts w:ascii="Arial" w:hAnsi="Arial"/>
                <w:b w:val="0"/>
                <w:sz w:val="16"/>
              </w:rPr>
              <w:t>Area</w:t>
            </w:r>
          </w:p>
        </w:tc>
        <w:tc>
          <w:tcPr>
            <w:tcW w:type="dxa" w:w="7128"/>
            <w:vAlign w:val="center"/>
          </w:tcPr>
          <w:p>
            <w:pPr>
              <w:spacing w:after="0"/>
            </w:pPr>
            <w:r/>
            <w:r>
              <w:rPr>
                <w:rFonts w:ascii="Arial" w:hAnsi="Arial"/>
                <w:b w:val="0"/>
                <w:sz w:val="16"/>
              </w:rPr>
              <w:t>3,250 sq. ft. (approx.)</w:t>
            </w:r>
          </w:p>
        </w:tc>
      </w:tr>
      <w:tr>
        <w:tc>
          <w:tcPr>
            <w:tcW w:type="dxa" w:w="3096"/>
            <w:vAlign w:val="center"/>
          </w:tcPr>
          <w:p>
            <w:pPr>
              <w:spacing w:after="0"/>
            </w:pPr>
            <w:r/>
            <w:r>
              <w:rPr>
                <w:rFonts w:ascii="Arial" w:hAnsi="Arial"/>
                <w:b w:val="0"/>
                <w:sz w:val="16"/>
              </w:rPr>
              <w:t>Parcel / Property Reference</w:t>
            </w:r>
          </w:p>
        </w:tc>
        <w:tc>
          <w:tcPr>
            <w:tcW w:type="dxa" w:w="7128"/>
            <w:vAlign w:val="center"/>
          </w:tcPr>
          <w:p>
            <w:pPr>
              <w:spacing w:after="0"/>
            </w:pPr>
            <w:r/>
            <w:r>
              <w:rPr>
                <w:rFonts w:ascii="Arial" w:hAnsi="Arial"/>
                <w:b w:val="0"/>
                <w:sz w:val="16"/>
              </w:rPr>
              <w:t>Parcel No. 0001147, Dallas County, Texas (Illustrative)</w:t>
            </w:r>
          </w:p>
        </w:tc>
      </w:tr>
      <w:tr>
        <w:tc>
          <w:tcPr>
            <w:tcW w:type="dxa" w:w="3096"/>
            <w:vAlign w:val="center"/>
          </w:tcPr>
          <w:p>
            <w:pPr>
              <w:spacing w:after="0"/>
            </w:pPr>
            <w:r/>
            <w:r>
              <w:rPr>
                <w:rFonts w:ascii="Arial" w:hAnsi="Arial"/>
                <w:b w:val="0"/>
                <w:sz w:val="16"/>
              </w:rPr>
              <w:t>Current Owner</w:t>
            </w:r>
          </w:p>
        </w:tc>
        <w:tc>
          <w:tcPr>
            <w:tcW w:type="dxa" w:w="7128"/>
            <w:vAlign w:val="center"/>
          </w:tcPr>
          <w:p>
            <w:pPr>
              <w:spacing w:after="0"/>
            </w:pPr>
            <w:r/>
            <w:r>
              <w:rPr>
                <w:rFonts w:ascii="Arial" w:hAnsi="Arial"/>
                <w:b w:val="0"/>
                <w:sz w:val="16"/>
              </w:rPr>
              <w:t>Apex Industrial Assets Private Limited</w:t>
            </w:r>
          </w:p>
        </w:tc>
      </w:tr>
      <w:tr>
        <w:tc>
          <w:tcPr>
            <w:tcW w:type="dxa" w:w="3096"/>
            <w:vAlign w:val="center"/>
          </w:tcPr>
          <w:p>
            <w:pPr>
              <w:spacing w:after="0"/>
            </w:pPr>
            <w:r/>
            <w:r>
              <w:rPr>
                <w:rFonts w:ascii="Arial" w:hAnsi="Arial"/>
                <w:b w:val="0"/>
                <w:sz w:val="16"/>
              </w:rPr>
              <w:t>Intended Transferee</w:t>
            </w:r>
          </w:p>
        </w:tc>
        <w:tc>
          <w:tcPr>
            <w:tcW w:type="dxa" w:w="7128"/>
            <w:vAlign w:val="center"/>
          </w:tcPr>
          <w:p>
            <w:pPr>
              <w:spacing w:after="0"/>
            </w:pPr>
            <w:r/>
            <w:r>
              <w:rPr>
                <w:rFonts w:ascii="Arial" w:hAnsi="Arial"/>
                <w:b w:val="0"/>
                <w:sz w:val="16"/>
              </w:rPr>
              <w:t>LMN Asset Pvt. Ltd.</w:t>
            </w:r>
          </w:p>
        </w:tc>
      </w:tr>
      <w:tr>
        <w:tc>
          <w:tcPr>
            <w:tcW w:type="dxa" w:w="3096"/>
            <w:vAlign w:val="center"/>
          </w:tcPr>
          <w:p>
            <w:pPr>
              <w:spacing w:after="0"/>
            </w:pPr>
            <w:r/>
            <w:r>
              <w:rPr>
                <w:rFonts w:ascii="Arial" w:hAnsi="Arial"/>
                <w:b w:val="0"/>
                <w:sz w:val="16"/>
              </w:rPr>
              <w:t>Proposed Sale Consideration</w:t>
            </w:r>
          </w:p>
        </w:tc>
        <w:tc>
          <w:tcPr>
            <w:tcW w:type="dxa" w:w="7128"/>
            <w:vAlign w:val="center"/>
          </w:tcPr>
          <w:p>
            <w:pPr>
              <w:spacing w:after="0"/>
            </w:pPr>
            <w:r/>
            <w:r>
              <w:rPr>
                <w:rFonts w:ascii="Arial" w:hAnsi="Arial"/>
                <w:b w:val="0"/>
                <w:sz w:val="16"/>
              </w:rPr>
              <w:t>$2,200,000 USD</w:t>
            </w:r>
          </w:p>
        </w:tc>
      </w:tr>
    </w:tbl>
    <w:p>
      <w:pPr>
        <w:spacing w:before="100" w:after="40"/>
      </w:pPr>
      <w:r>
        <w:rPr>
          <w:rFonts w:ascii="Arial" w:hAnsi="Arial"/>
          <w:b/>
          <w:sz w:val="22"/>
        </w:rPr>
        <w:t>3. SEARCH PARAMETERS AND RECORDS REVIEWED</w:t>
      </w:r>
    </w:p>
    <w:p>
      <w:pPr>
        <w:spacing w:after="40"/>
      </w:pPr>
      <w:r>
        <w:rPr>
          <w:sz w:val="17"/>
        </w:rPr>
        <w:t>For this illustrative report, the assumed search covers the period from 1 April 2016 through 30 September 2026. The hypothetical review includes county real-property records, deed-of-trust and lien releases, UCC/security-interest search concepts, court-dispute records, property-tax records, contractor claims and lender no-dues/release documentation.</w:t>
      </w:r>
    </w:p>
    <w:p>
      <w:pPr>
        <w:spacing w:after="30"/>
        <w:ind w:left="230" w:hanging="230"/>
      </w:pPr>
      <w:r>
        <w:rPr>
          <w:b/>
        </w:rPr>
        <w:t xml:space="preserve">• </w:t>
      </w:r>
      <w:r>
        <w:rPr>
          <w:sz w:val="17"/>
        </w:rPr>
        <w:t>Illustrative Dallas County real-property recording index and property transaction records.</w:t>
      </w:r>
    </w:p>
    <w:p>
      <w:pPr>
        <w:spacing w:after="30"/>
        <w:ind w:left="230" w:hanging="230"/>
      </w:pPr>
      <w:r>
        <w:rPr>
          <w:b/>
        </w:rPr>
        <w:t xml:space="preserve">• </w:t>
      </w:r>
      <w:r>
        <w:rPr>
          <w:sz w:val="17"/>
        </w:rPr>
        <w:t>Illustrative deed-of-trust, mortgage, lien and security-interest records relating to the Property.</w:t>
      </w:r>
    </w:p>
    <w:p>
      <w:pPr>
        <w:spacing w:after="30"/>
        <w:ind w:left="230" w:hanging="230"/>
      </w:pPr>
      <w:r>
        <w:rPr>
          <w:b/>
        </w:rPr>
        <w:t xml:space="preserve">• </w:t>
      </w:r>
      <w:r>
        <w:rPr>
          <w:sz w:val="17"/>
        </w:rPr>
        <w:t>Illustrative bank No-Dues Certificates, payoff letters and releases/satisfactions.</w:t>
      </w:r>
    </w:p>
    <w:p>
      <w:pPr>
        <w:spacing w:after="30"/>
        <w:ind w:left="230" w:hanging="230"/>
      </w:pPr>
      <w:r>
        <w:rPr>
          <w:b/>
        </w:rPr>
        <w:t xml:space="preserve">• </w:t>
      </w:r>
      <w:r>
        <w:rPr>
          <w:sz w:val="17"/>
        </w:rPr>
        <w:t>Illustrative civil dispute / settlement documentation.</w:t>
      </w:r>
    </w:p>
    <w:p>
      <w:pPr>
        <w:spacing w:after="30"/>
        <w:ind w:left="230" w:hanging="230"/>
      </w:pPr>
      <w:r>
        <w:rPr>
          <w:b/>
        </w:rPr>
        <w:t xml:space="preserve">• </w:t>
      </w:r>
      <w:r>
        <w:rPr>
          <w:sz w:val="17"/>
        </w:rPr>
        <w:t>Illustrative Dallas County property-tax assessment and payment records.</w:t>
      </w:r>
    </w:p>
    <w:p>
      <w:pPr>
        <w:spacing w:after="30"/>
        <w:ind w:left="230" w:hanging="230"/>
      </w:pPr>
      <w:r>
        <w:rPr>
          <w:b/>
        </w:rPr>
        <w:t xml:space="preserve">• </w:t>
      </w:r>
      <w:r>
        <w:rPr>
          <w:sz w:val="17"/>
        </w:rPr>
        <w:t>Illustrative contractor settlement and release documentation.</w:t>
      </w:r>
    </w:p>
    <w:p>
      <w:pPr>
        <w:spacing w:before="100" w:after="40"/>
      </w:pPr>
      <w:r>
        <w:rPr>
          <w:rFonts w:ascii="Arial" w:hAnsi="Arial"/>
          <w:b/>
          <w:sz w:val="22"/>
        </w:rPr>
        <w:t>4. HISTORICAL ENCUMBRANCES AND THEIR DISCHARGE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504"/>
            <w:vAlign w:val="center"/>
            <w:shd w:fill="D9E1F2"/>
          </w:tcPr>
          <w:p>
            <w:pPr>
              <w:spacing w:after="0"/>
            </w:pPr>
            <w:r/>
            <w:r>
              <w:rPr>
                <w:rFonts w:ascii="Arial" w:hAnsi="Arial"/>
                <w:b/>
                <w:sz w:val="16"/>
              </w:rPr>
              <w:t>No.</w:t>
            </w:r>
          </w:p>
        </w:tc>
        <w:tc>
          <w:tcPr>
            <w:tcW w:type="dxa" w:w="4320"/>
            <w:vAlign w:val="center"/>
            <w:shd w:fill="D9E1F2"/>
          </w:tcPr>
          <w:p>
            <w:pPr>
              <w:spacing w:after="0"/>
            </w:pPr>
            <w:r/>
            <w:r>
              <w:rPr>
                <w:rFonts w:ascii="Arial" w:hAnsi="Arial"/>
                <w:b/>
                <w:sz w:val="16"/>
              </w:rPr>
              <w:t>Historical Encumbrance</w:t>
            </w:r>
          </w:p>
        </w:tc>
        <w:tc>
          <w:tcPr>
            <w:tcW w:type="dxa" w:w="1800"/>
            <w:vAlign w:val="center"/>
            <w:shd w:fill="D9E1F2"/>
          </w:tcPr>
          <w:p>
            <w:pPr>
              <w:spacing w:after="0"/>
            </w:pPr>
            <w:r/>
            <w:r>
              <w:rPr>
                <w:rFonts w:ascii="Arial" w:hAnsi="Arial"/>
                <w:b/>
                <w:sz w:val="16"/>
              </w:rPr>
              <w:t>Amount / Claim</w:t>
            </w:r>
          </w:p>
        </w:tc>
        <w:tc>
          <w:tcPr>
            <w:tcW w:type="dxa" w:w="3600"/>
            <w:vAlign w:val="center"/>
            <w:shd w:fill="D9E1F2"/>
          </w:tcPr>
          <w:p>
            <w:pPr>
              <w:spacing w:after="0"/>
            </w:pPr>
            <w:r/>
            <w:r>
              <w:rPr>
                <w:rFonts w:ascii="Arial" w:hAnsi="Arial"/>
                <w:b/>
                <w:sz w:val="16"/>
              </w:rPr>
              <w:t>Final Status</w:t>
            </w:r>
          </w:p>
        </w:tc>
      </w:tr>
      <w:tr>
        <w:tc>
          <w:tcPr>
            <w:tcW w:type="dxa" w:w="504"/>
            <w:vAlign w:val="center"/>
          </w:tcPr>
          <w:p>
            <w:pPr>
              <w:spacing w:after="0"/>
            </w:pPr>
            <w:r/>
            <w:r>
              <w:rPr>
                <w:rFonts w:ascii="Arial" w:hAnsi="Arial"/>
                <w:b w:val="0"/>
                <w:sz w:val="16"/>
              </w:rPr>
              <w:t>1</w:t>
            </w:r>
          </w:p>
        </w:tc>
        <w:tc>
          <w:tcPr>
            <w:tcW w:type="dxa" w:w="4320"/>
            <w:vAlign w:val="center"/>
          </w:tcPr>
          <w:p>
            <w:pPr>
              <w:spacing w:after="0"/>
            </w:pPr>
            <w:r/>
            <w:r>
              <w:rPr>
                <w:rFonts w:ascii="Arial" w:hAnsi="Arial"/>
                <w:b w:val="0"/>
                <w:sz w:val="16"/>
              </w:rPr>
              <w:t>Mortgage / Deed of Trust — HDFC Bank Ltd.</w:t>
            </w:r>
          </w:p>
        </w:tc>
        <w:tc>
          <w:tcPr>
            <w:tcW w:type="dxa" w:w="1800"/>
            <w:vAlign w:val="center"/>
          </w:tcPr>
          <w:p>
            <w:pPr>
              <w:spacing w:after="0"/>
            </w:pPr>
            <w:r/>
            <w:r>
              <w:rPr>
                <w:rFonts w:ascii="Arial" w:hAnsi="Arial"/>
                <w:b w:val="0"/>
                <w:sz w:val="16"/>
              </w:rPr>
              <w:t>$550,000</w:t>
            </w:r>
          </w:p>
        </w:tc>
        <w:tc>
          <w:tcPr>
            <w:tcW w:type="dxa" w:w="3600"/>
            <w:vAlign w:val="center"/>
          </w:tcPr>
          <w:p>
            <w:pPr>
              <w:spacing w:after="0"/>
            </w:pPr>
            <w:r/>
            <w:r>
              <w:rPr>
                <w:rFonts w:ascii="Arial" w:hAnsi="Arial"/>
                <w:b w:val="0"/>
                <w:sz w:val="16"/>
              </w:rPr>
              <w:t>Repaid; deed of trust released</w:t>
            </w:r>
          </w:p>
        </w:tc>
      </w:tr>
      <w:tr>
        <w:tc>
          <w:tcPr>
            <w:tcW w:type="dxa" w:w="504"/>
            <w:vAlign w:val="center"/>
          </w:tcPr>
          <w:p>
            <w:pPr>
              <w:spacing w:after="0"/>
            </w:pPr>
            <w:r/>
            <w:r>
              <w:rPr>
                <w:rFonts w:ascii="Arial" w:hAnsi="Arial"/>
                <w:b w:val="0"/>
                <w:sz w:val="16"/>
              </w:rPr>
              <w:t>2</w:t>
            </w:r>
          </w:p>
        </w:tc>
        <w:tc>
          <w:tcPr>
            <w:tcW w:type="dxa" w:w="4320"/>
            <w:vAlign w:val="center"/>
          </w:tcPr>
          <w:p>
            <w:pPr>
              <w:spacing w:after="0"/>
            </w:pPr>
            <w:r/>
            <w:r>
              <w:rPr>
                <w:rFonts w:ascii="Arial" w:hAnsi="Arial"/>
                <w:b w:val="0"/>
                <w:sz w:val="16"/>
              </w:rPr>
              <w:t>Working Capital Security Interest — ICICI Bank Ltd.</w:t>
            </w:r>
          </w:p>
        </w:tc>
        <w:tc>
          <w:tcPr>
            <w:tcW w:type="dxa" w:w="1800"/>
            <w:vAlign w:val="center"/>
          </w:tcPr>
          <w:p>
            <w:pPr>
              <w:spacing w:after="0"/>
            </w:pPr>
            <w:r/>
            <w:r>
              <w:rPr>
                <w:rFonts w:ascii="Arial" w:hAnsi="Arial"/>
                <w:b w:val="0"/>
                <w:sz w:val="16"/>
              </w:rPr>
              <w:t>$275,000</w:t>
            </w:r>
          </w:p>
        </w:tc>
        <w:tc>
          <w:tcPr>
            <w:tcW w:type="dxa" w:w="3600"/>
            <w:vAlign w:val="center"/>
          </w:tcPr>
          <w:p>
            <w:pPr>
              <w:spacing w:after="0"/>
            </w:pPr>
            <w:r/>
            <w:r>
              <w:rPr>
                <w:rFonts w:ascii="Arial" w:hAnsi="Arial"/>
                <w:b w:val="0"/>
                <w:sz w:val="16"/>
              </w:rPr>
              <w:t>Fully discharged; security interest satisfied</w:t>
            </w:r>
          </w:p>
        </w:tc>
      </w:tr>
      <w:tr>
        <w:tc>
          <w:tcPr>
            <w:tcW w:type="dxa" w:w="504"/>
            <w:vAlign w:val="center"/>
          </w:tcPr>
          <w:p>
            <w:pPr>
              <w:spacing w:after="0"/>
            </w:pPr>
            <w:r/>
            <w:r>
              <w:rPr>
                <w:rFonts w:ascii="Arial" w:hAnsi="Arial"/>
                <w:b w:val="0"/>
                <w:sz w:val="16"/>
              </w:rPr>
              <w:t>3</w:t>
            </w:r>
          </w:p>
        </w:tc>
        <w:tc>
          <w:tcPr>
            <w:tcW w:type="dxa" w:w="4320"/>
            <w:vAlign w:val="center"/>
          </w:tcPr>
          <w:p>
            <w:pPr>
              <w:spacing w:after="0"/>
            </w:pPr>
            <w:r/>
            <w:r>
              <w:rPr>
                <w:rFonts w:ascii="Arial" w:hAnsi="Arial"/>
                <w:b w:val="0"/>
                <w:sz w:val="16"/>
              </w:rPr>
              <w:t>Civil title / ownership dispute</w:t>
            </w:r>
          </w:p>
        </w:tc>
        <w:tc>
          <w:tcPr>
            <w:tcW w:type="dxa" w:w="1800"/>
            <w:vAlign w:val="center"/>
          </w:tcPr>
          <w:p>
            <w:pPr>
              <w:spacing w:after="0"/>
            </w:pPr>
            <w:r/>
            <w:r>
              <w:rPr>
                <w:rFonts w:ascii="Arial" w:hAnsi="Arial"/>
                <w:b w:val="0"/>
                <w:sz w:val="16"/>
              </w:rPr>
              <w:t>Unquantified</w:t>
            </w:r>
          </w:p>
        </w:tc>
        <w:tc>
          <w:tcPr>
            <w:tcW w:type="dxa" w:w="3600"/>
            <w:vAlign w:val="center"/>
          </w:tcPr>
          <w:p>
            <w:pPr>
              <w:spacing w:after="0"/>
            </w:pPr>
            <w:r/>
            <w:r>
              <w:rPr>
                <w:rFonts w:ascii="Arial" w:hAnsi="Arial"/>
                <w:b w:val="0"/>
                <w:sz w:val="16"/>
              </w:rPr>
              <w:t>Settled; claim withdrawn</w:t>
            </w:r>
          </w:p>
        </w:tc>
      </w:tr>
      <w:tr>
        <w:tc>
          <w:tcPr>
            <w:tcW w:type="dxa" w:w="504"/>
            <w:vAlign w:val="center"/>
          </w:tcPr>
          <w:p>
            <w:pPr>
              <w:spacing w:after="0"/>
            </w:pPr>
            <w:r/>
            <w:r>
              <w:rPr>
                <w:rFonts w:ascii="Arial" w:hAnsi="Arial"/>
                <w:b w:val="0"/>
                <w:sz w:val="16"/>
              </w:rPr>
              <w:t>4</w:t>
            </w:r>
          </w:p>
        </w:tc>
        <w:tc>
          <w:tcPr>
            <w:tcW w:type="dxa" w:w="4320"/>
            <w:vAlign w:val="center"/>
          </w:tcPr>
          <w:p>
            <w:pPr>
              <w:spacing w:after="0"/>
            </w:pPr>
            <w:r/>
            <w:r>
              <w:rPr>
                <w:rFonts w:ascii="Arial" w:hAnsi="Arial"/>
                <w:b w:val="0"/>
                <w:sz w:val="16"/>
              </w:rPr>
              <w:t>County property-tax demand dispute</w:t>
            </w:r>
          </w:p>
        </w:tc>
        <w:tc>
          <w:tcPr>
            <w:tcW w:type="dxa" w:w="1800"/>
            <w:vAlign w:val="center"/>
          </w:tcPr>
          <w:p>
            <w:pPr>
              <w:spacing w:after="0"/>
            </w:pPr>
            <w:r/>
            <w:r>
              <w:rPr>
                <w:rFonts w:ascii="Arial" w:hAnsi="Arial"/>
                <w:b w:val="0"/>
                <w:sz w:val="16"/>
              </w:rPr>
              <w:t>$23,000</w:t>
            </w:r>
          </w:p>
        </w:tc>
        <w:tc>
          <w:tcPr>
            <w:tcW w:type="dxa" w:w="3600"/>
            <w:vAlign w:val="center"/>
          </w:tcPr>
          <w:p>
            <w:pPr>
              <w:spacing w:after="0"/>
            </w:pPr>
            <w:r/>
            <w:r>
              <w:rPr>
                <w:rFonts w:ascii="Arial" w:hAnsi="Arial"/>
                <w:b w:val="0"/>
                <w:sz w:val="16"/>
              </w:rPr>
              <w:t>Paid; demand closed</w:t>
            </w:r>
          </w:p>
        </w:tc>
      </w:tr>
      <w:tr>
        <w:tc>
          <w:tcPr>
            <w:tcW w:type="dxa" w:w="504"/>
            <w:vAlign w:val="center"/>
          </w:tcPr>
          <w:p>
            <w:pPr>
              <w:spacing w:after="0"/>
            </w:pPr>
            <w:r/>
            <w:r>
              <w:rPr>
                <w:rFonts w:ascii="Arial" w:hAnsi="Arial"/>
                <w:b w:val="0"/>
                <w:sz w:val="16"/>
              </w:rPr>
              <w:t>5</w:t>
            </w:r>
          </w:p>
        </w:tc>
        <w:tc>
          <w:tcPr>
            <w:tcW w:type="dxa" w:w="4320"/>
            <w:vAlign w:val="center"/>
          </w:tcPr>
          <w:p>
            <w:pPr>
              <w:spacing w:after="0"/>
            </w:pPr>
            <w:r/>
            <w:r>
              <w:rPr>
                <w:rFonts w:ascii="Arial" w:hAnsi="Arial"/>
                <w:b w:val="0"/>
                <w:sz w:val="16"/>
              </w:rPr>
              <w:t>Contractor payment claim / lien</w:t>
            </w:r>
          </w:p>
        </w:tc>
        <w:tc>
          <w:tcPr>
            <w:tcW w:type="dxa" w:w="1800"/>
            <w:vAlign w:val="center"/>
          </w:tcPr>
          <w:p>
            <w:pPr>
              <w:spacing w:after="0"/>
            </w:pPr>
            <w:r/>
            <w:r>
              <w:rPr>
                <w:rFonts w:ascii="Arial" w:hAnsi="Arial"/>
                <w:b w:val="0"/>
                <w:sz w:val="16"/>
              </w:rPr>
              <w:t>$52,000</w:t>
            </w:r>
          </w:p>
        </w:tc>
        <w:tc>
          <w:tcPr>
            <w:tcW w:type="dxa" w:w="3600"/>
            <w:vAlign w:val="center"/>
          </w:tcPr>
          <w:p>
            <w:pPr>
              <w:spacing w:after="0"/>
            </w:pPr>
            <w:r/>
            <w:r>
              <w:rPr>
                <w:rFonts w:ascii="Arial" w:hAnsi="Arial"/>
                <w:b w:val="0"/>
                <w:sz w:val="16"/>
              </w:rPr>
              <w:t>Settled; release obtained</w:t>
            </w:r>
          </w:p>
        </w:tc>
      </w:tr>
      <w:tr>
        <w:tc>
          <w:tcPr>
            <w:tcW w:type="dxa" w:w="504"/>
            <w:vAlign w:val="center"/>
          </w:tcPr>
          <w:p>
            <w:pPr>
              <w:spacing w:after="0"/>
            </w:pPr>
            <w:r/>
            <w:r>
              <w:rPr>
                <w:rFonts w:ascii="Arial" w:hAnsi="Arial"/>
                <w:b w:val="0"/>
                <w:sz w:val="16"/>
              </w:rPr>
              <w:t>6</w:t>
            </w:r>
          </w:p>
        </w:tc>
        <w:tc>
          <w:tcPr>
            <w:tcW w:type="dxa" w:w="4320"/>
            <w:vAlign w:val="center"/>
          </w:tcPr>
          <w:p>
            <w:pPr>
              <w:spacing w:after="0"/>
            </w:pPr>
            <w:r/>
            <w:r>
              <w:rPr>
                <w:rFonts w:ascii="Arial" w:hAnsi="Arial"/>
                <w:b w:val="0"/>
                <w:sz w:val="16"/>
              </w:rPr>
              <w:t>Residual bank charge — HDFC Bank Ltd.</w:t>
            </w:r>
          </w:p>
        </w:tc>
        <w:tc>
          <w:tcPr>
            <w:tcW w:type="dxa" w:w="1800"/>
            <w:vAlign w:val="center"/>
          </w:tcPr>
          <w:p>
            <w:pPr>
              <w:spacing w:after="0"/>
            </w:pPr>
            <w:r/>
            <w:r>
              <w:rPr>
                <w:rFonts w:ascii="Arial" w:hAnsi="Arial"/>
                <w:b w:val="0"/>
                <w:sz w:val="16"/>
              </w:rPr>
              <w:t>$135,000</w:t>
            </w:r>
          </w:p>
        </w:tc>
        <w:tc>
          <w:tcPr>
            <w:tcW w:type="dxa" w:w="3600"/>
            <w:vAlign w:val="center"/>
          </w:tcPr>
          <w:p>
            <w:pPr>
              <w:spacing w:after="0"/>
            </w:pPr>
            <w:r/>
            <w:r>
              <w:rPr>
                <w:rFonts w:ascii="Arial" w:hAnsi="Arial"/>
                <w:b w:val="0"/>
                <w:sz w:val="16"/>
              </w:rPr>
              <w:t>Repaid; release recorded</w:t>
            </w:r>
          </w:p>
        </w:tc>
      </w:tr>
    </w:tbl>
    <w:p>
      <w:pPr>
        <w:spacing w:before="100" w:after="40"/>
      </w:pPr>
      <w:r>
        <w:rPr>
          <w:rFonts w:ascii="Arial" w:hAnsi="Arial"/>
          <w:b/>
          <w:sz w:val="22"/>
        </w:rPr>
        <w:t>5. DETAILS OF HISTORICAL LOANS AND CHARGES</w:t>
      </w:r>
    </w:p>
    <w:p>
      <w:pPr>
        <w:spacing w:before="100" w:after="40"/>
      </w:pPr>
      <w:r>
        <w:rPr>
          <w:rFonts w:ascii="Arial" w:hAnsi="Arial"/>
          <w:b/>
          <w:sz w:val="19"/>
        </w:rPr>
        <w:t>5.1 HDFC Bank — Term Loan and Deed of Trust</w:t>
      </w:r>
    </w:p>
    <w:tbl>
      <w:tblPr>
        <w:tblStyle w:val="TableGrid"/>
        <w:tblW w:type="auto" w:w="0"/>
        <w:jc w:val="center"/>
        <w:tblLook w:firstColumn="1" w:firstRow="1" w:lastColumn="0" w:lastRow="0" w:noHBand="0" w:noVBand="1" w:val="04A0"/>
      </w:tblPr>
      <w:tblGrid>
        <w:gridCol w:w="5328"/>
        <w:gridCol w:w="5328"/>
      </w:tblGrid>
      <w:tr>
        <w:tc>
          <w:tcPr>
            <w:tcW w:type="dxa" w:w="3096"/>
            <w:vAlign w:val="center"/>
            <w:shd w:fill="D9E1F2"/>
          </w:tcPr>
          <w:p>
            <w:pPr>
              <w:spacing w:after="0"/>
            </w:pPr>
            <w:r/>
            <w:r>
              <w:rPr>
                <w:rFonts w:ascii="Arial" w:hAnsi="Arial"/>
                <w:b/>
                <w:sz w:val="16"/>
              </w:rPr>
              <w:t>Instrument</w:t>
            </w:r>
          </w:p>
        </w:tc>
        <w:tc>
          <w:tcPr>
            <w:tcW w:type="dxa" w:w="7128"/>
            <w:vAlign w:val="center"/>
            <w:shd w:fill="D9E1F2"/>
          </w:tcPr>
          <w:p>
            <w:pPr>
              <w:spacing w:after="0"/>
            </w:pPr>
            <w:r/>
            <w:r>
              <w:rPr>
                <w:rFonts w:ascii="Arial" w:hAnsi="Arial"/>
                <w:b/>
                <w:sz w:val="16"/>
              </w:rPr>
              <w:t>Illustrative Details</w:t>
            </w:r>
          </w:p>
        </w:tc>
      </w:tr>
      <w:tr>
        <w:tc>
          <w:tcPr>
            <w:tcW w:type="dxa" w:w="3096"/>
            <w:vAlign w:val="center"/>
          </w:tcPr>
          <w:p>
            <w:pPr>
              <w:spacing w:after="0"/>
            </w:pPr>
            <w:r/>
            <w:r>
              <w:rPr>
                <w:rFonts w:ascii="Arial" w:hAnsi="Arial"/>
                <w:b w:val="0"/>
                <w:sz w:val="16"/>
              </w:rPr>
              <w:t>Lender</w:t>
            </w:r>
          </w:p>
        </w:tc>
        <w:tc>
          <w:tcPr>
            <w:tcW w:type="dxa" w:w="7128"/>
            <w:vAlign w:val="center"/>
          </w:tcPr>
          <w:p>
            <w:pPr>
              <w:spacing w:after="0"/>
            </w:pPr>
            <w:r/>
            <w:r>
              <w:rPr>
                <w:rFonts w:ascii="Arial" w:hAnsi="Arial"/>
                <w:b w:val="0"/>
                <w:sz w:val="16"/>
              </w:rPr>
              <w:t>HDFC Bank Limited</w:t>
            </w:r>
          </w:p>
        </w:tc>
      </w:tr>
      <w:tr>
        <w:tc>
          <w:tcPr>
            <w:tcW w:type="dxa" w:w="3096"/>
            <w:vAlign w:val="center"/>
          </w:tcPr>
          <w:p>
            <w:pPr>
              <w:spacing w:after="0"/>
            </w:pPr>
            <w:r/>
            <w:r>
              <w:rPr>
                <w:rFonts w:ascii="Arial" w:hAnsi="Arial"/>
                <w:b w:val="0"/>
                <w:sz w:val="16"/>
              </w:rPr>
              <w:t>Borrower / Grantor</w:t>
            </w:r>
          </w:p>
        </w:tc>
        <w:tc>
          <w:tcPr>
            <w:tcW w:type="dxa" w:w="7128"/>
            <w:vAlign w:val="center"/>
          </w:tcPr>
          <w:p>
            <w:pPr>
              <w:spacing w:after="0"/>
            </w:pPr>
            <w:r/>
            <w:r>
              <w:rPr>
                <w:rFonts w:ascii="Arial" w:hAnsi="Arial"/>
                <w:b w:val="0"/>
                <w:sz w:val="16"/>
              </w:rPr>
              <w:t>Apex Industrial Assets Private Limited</w:t>
            </w:r>
          </w:p>
        </w:tc>
      </w:tr>
      <w:tr>
        <w:tc>
          <w:tcPr>
            <w:tcW w:type="dxa" w:w="3096"/>
            <w:vAlign w:val="center"/>
          </w:tcPr>
          <w:p>
            <w:pPr>
              <w:spacing w:after="0"/>
            </w:pPr>
            <w:r/>
            <w:r>
              <w:rPr>
                <w:rFonts w:ascii="Arial" w:hAnsi="Arial"/>
                <w:b w:val="0"/>
                <w:sz w:val="16"/>
              </w:rPr>
              <w:t>Original Facility</w:t>
            </w:r>
          </w:p>
        </w:tc>
        <w:tc>
          <w:tcPr>
            <w:tcW w:type="dxa" w:w="7128"/>
            <w:vAlign w:val="center"/>
          </w:tcPr>
          <w:p>
            <w:pPr>
              <w:spacing w:after="0"/>
            </w:pPr>
            <w:r/>
            <w:r>
              <w:rPr>
                <w:rFonts w:ascii="Arial" w:hAnsi="Arial"/>
                <w:b w:val="0"/>
                <w:sz w:val="16"/>
              </w:rPr>
              <w:t>Term Loan</w:t>
            </w:r>
          </w:p>
        </w:tc>
      </w:tr>
      <w:tr>
        <w:tc>
          <w:tcPr>
            <w:tcW w:type="dxa" w:w="3096"/>
            <w:vAlign w:val="center"/>
          </w:tcPr>
          <w:p>
            <w:pPr>
              <w:spacing w:after="0"/>
            </w:pPr>
            <w:r/>
            <w:r>
              <w:rPr>
                <w:rFonts w:ascii="Arial" w:hAnsi="Arial"/>
                <w:b w:val="0"/>
                <w:sz w:val="16"/>
              </w:rPr>
              <w:t>Original Secured Amount</w:t>
            </w:r>
          </w:p>
        </w:tc>
        <w:tc>
          <w:tcPr>
            <w:tcW w:type="dxa" w:w="7128"/>
            <w:vAlign w:val="center"/>
          </w:tcPr>
          <w:p>
            <w:pPr>
              <w:spacing w:after="0"/>
            </w:pPr>
            <w:r/>
            <w:r>
              <w:rPr>
                <w:rFonts w:ascii="Arial" w:hAnsi="Arial"/>
                <w:b w:val="0"/>
                <w:sz w:val="16"/>
              </w:rPr>
              <w:t>$550,000</w:t>
            </w:r>
          </w:p>
        </w:tc>
      </w:tr>
      <w:tr>
        <w:tc>
          <w:tcPr>
            <w:tcW w:type="dxa" w:w="3096"/>
            <w:vAlign w:val="center"/>
          </w:tcPr>
          <w:p>
            <w:pPr>
              <w:spacing w:after="0"/>
            </w:pPr>
            <w:r/>
            <w:r>
              <w:rPr>
                <w:rFonts w:ascii="Arial" w:hAnsi="Arial"/>
                <w:b w:val="0"/>
                <w:sz w:val="16"/>
              </w:rPr>
              <w:t>Illustrative Mortgage / Deed of Trust Date</w:t>
            </w:r>
          </w:p>
        </w:tc>
        <w:tc>
          <w:tcPr>
            <w:tcW w:type="dxa" w:w="7128"/>
            <w:vAlign w:val="center"/>
          </w:tcPr>
          <w:p>
            <w:pPr>
              <w:spacing w:after="0"/>
            </w:pPr>
            <w:r/>
            <w:r>
              <w:rPr>
                <w:rFonts w:ascii="Arial" w:hAnsi="Arial"/>
                <w:b w:val="0"/>
                <w:sz w:val="16"/>
              </w:rPr>
              <w:t>15 June 2018</w:t>
            </w:r>
          </w:p>
        </w:tc>
      </w:tr>
      <w:tr>
        <w:tc>
          <w:tcPr>
            <w:tcW w:type="dxa" w:w="3096"/>
            <w:vAlign w:val="center"/>
          </w:tcPr>
          <w:p>
            <w:pPr>
              <w:spacing w:after="0"/>
            </w:pPr>
            <w:r/>
            <w:r>
              <w:rPr>
                <w:rFonts w:ascii="Arial" w:hAnsi="Arial"/>
                <w:b w:val="0"/>
                <w:sz w:val="16"/>
              </w:rPr>
              <w:t>Illustrative Recording Reference</w:t>
            </w:r>
          </w:p>
        </w:tc>
        <w:tc>
          <w:tcPr>
            <w:tcW w:type="dxa" w:w="7128"/>
            <w:vAlign w:val="center"/>
          </w:tcPr>
          <w:p>
            <w:pPr>
              <w:spacing w:after="0"/>
            </w:pPr>
            <w:r/>
            <w:r>
              <w:rPr>
                <w:rFonts w:ascii="Arial" w:hAnsi="Arial"/>
                <w:b w:val="0"/>
                <w:sz w:val="16"/>
              </w:rPr>
              <w:t>Dallas County Instrument No. 2018-064821</w:t>
            </w:r>
          </w:p>
        </w:tc>
      </w:tr>
      <w:tr>
        <w:tc>
          <w:tcPr>
            <w:tcW w:type="dxa" w:w="3096"/>
            <w:vAlign w:val="center"/>
          </w:tcPr>
          <w:p>
            <w:pPr>
              <w:spacing w:after="0"/>
            </w:pPr>
            <w:r/>
            <w:r>
              <w:rPr>
                <w:rFonts w:ascii="Arial" w:hAnsi="Arial"/>
                <w:b w:val="0"/>
                <w:sz w:val="16"/>
              </w:rPr>
              <w:t>Repayment Date</w:t>
            </w:r>
          </w:p>
        </w:tc>
        <w:tc>
          <w:tcPr>
            <w:tcW w:type="dxa" w:w="7128"/>
            <w:vAlign w:val="center"/>
          </w:tcPr>
          <w:p>
            <w:pPr>
              <w:spacing w:after="0"/>
            </w:pPr>
            <w:r/>
            <w:r>
              <w:rPr>
                <w:rFonts w:ascii="Arial" w:hAnsi="Arial"/>
                <w:b w:val="0"/>
                <w:sz w:val="16"/>
              </w:rPr>
              <w:t>20 December 2021</w:t>
            </w:r>
          </w:p>
        </w:tc>
      </w:tr>
      <w:tr>
        <w:tc>
          <w:tcPr>
            <w:tcW w:type="dxa" w:w="3096"/>
            <w:vAlign w:val="center"/>
          </w:tcPr>
          <w:p>
            <w:pPr>
              <w:spacing w:after="0"/>
            </w:pPr>
            <w:r/>
            <w:r>
              <w:rPr>
                <w:rFonts w:ascii="Arial" w:hAnsi="Arial"/>
                <w:b w:val="0"/>
                <w:sz w:val="16"/>
              </w:rPr>
              <w:t>Release Instrument</w:t>
            </w:r>
          </w:p>
        </w:tc>
        <w:tc>
          <w:tcPr>
            <w:tcW w:type="dxa" w:w="7128"/>
            <w:vAlign w:val="center"/>
          </w:tcPr>
          <w:p>
            <w:pPr>
              <w:spacing w:after="0"/>
            </w:pPr>
            <w:r/>
            <w:r>
              <w:rPr>
                <w:rFonts w:ascii="Arial" w:hAnsi="Arial"/>
                <w:b w:val="0"/>
                <w:sz w:val="16"/>
              </w:rPr>
              <w:t>Release / Reconveyance of Deed of Trust</w:t>
            </w:r>
          </w:p>
        </w:tc>
      </w:tr>
      <w:tr>
        <w:tc>
          <w:tcPr>
            <w:tcW w:type="dxa" w:w="3096"/>
            <w:vAlign w:val="center"/>
          </w:tcPr>
          <w:p>
            <w:pPr>
              <w:spacing w:after="0"/>
            </w:pPr>
            <w:r/>
            <w:r>
              <w:rPr>
                <w:rFonts w:ascii="Arial" w:hAnsi="Arial"/>
                <w:b w:val="0"/>
                <w:sz w:val="16"/>
              </w:rPr>
              <w:t>Illustrative Release Reference</w:t>
            </w:r>
          </w:p>
        </w:tc>
        <w:tc>
          <w:tcPr>
            <w:tcW w:type="dxa" w:w="7128"/>
            <w:vAlign w:val="center"/>
          </w:tcPr>
          <w:p>
            <w:pPr>
              <w:spacing w:after="0"/>
            </w:pPr>
            <w:r/>
            <w:r>
              <w:rPr>
                <w:rFonts w:ascii="Arial" w:hAnsi="Arial"/>
                <w:b w:val="0"/>
                <w:sz w:val="16"/>
              </w:rPr>
              <w:t>Dallas County Instrument No. 2022-011584</w:t>
            </w:r>
          </w:p>
        </w:tc>
      </w:tr>
      <w:tr>
        <w:tc>
          <w:tcPr>
            <w:tcW w:type="dxa" w:w="3096"/>
            <w:vAlign w:val="center"/>
          </w:tcPr>
          <w:p>
            <w:pPr>
              <w:spacing w:after="0"/>
            </w:pPr>
            <w:r/>
            <w:r>
              <w:rPr>
                <w:rFonts w:ascii="Arial" w:hAnsi="Arial"/>
                <w:b w:val="0"/>
                <w:sz w:val="16"/>
              </w:rPr>
              <w:t>Status as at 30 Sep 2026</w:t>
            </w:r>
          </w:p>
        </w:tc>
        <w:tc>
          <w:tcPr>
            <w:tcW w:type="dxa" w:w="7128"/>
            <w:vAlign w:val="center"/>
          </w:tcPr>
          <w:p>
            <w:pPr>
              <w:spacing w:after="0"/>
            </w:pPr>
            <w:r/>
            <w:r>
              <w:rPr>
                <w:rFonts w:ascii="Arial" w:hAnsi="Arial"/>
                <w:b w:val="0"/>
                <w:sz w:val="16"/>
              </w:rPr>
              <w:t>FULLY RELEASED — NO SUBSISTING CHARGE</w:t>
            </w:r>
          </w:p>
        </w:tc>
      </w:tr>
    </w:tbl>
    <w:p>
      <w:pPr>
        <w:spacing w:before="100" w:after="40"/>
      </w:pPr>
      <w:r>
        <w:rPr>
          <w:rFonts w:ascii="Arial" w:hAnsi="Arial"/>
          <w:b/>
          <w:sz w:val="19"/>
        </w:rPr>
        <w:t>5.2 ICICI Bank — Working Capital Facility</w:t>
      </w:r>
    </w:p>
    <w:tbl>
      <w:tblPr>
        <w:tblStyle w:val="TableGrid"/>
        <w:tblW w:type="auto" w:w="0"/>
        <w:jc w:val="center"/>
        <w:tblLook w:firstColumn="1" w:firstRow="1" w:lastColumn="0" w:lastRow="0" w:noHBand="0" w:noVBand="1" w:val="04A0"/>
      </w:tblPr>
      <w:tblGrid>
        <w:gridCol w:w="5328"/>
        <w:gridCol w:w="5328"/>
      </w:tblGrid>
      <w:tr>
        <w:tc>
          <w:tcPr>
            <w:tcW w:type="dxa" w:w="3096"/>
            <w:vAlign w:val="center"/>
            <w:shd w:fill="D9E1F2"/>
          </w:tcPr>
          <w:p>
            <w:pPr>
              <w:spacing w:after="0"/>
            </w:pPr>
            <w:r/>
            <w:r>
              <w:rPr>
                <w:rFonts w:ascii="Arial" w:hAnsi="Arial"/>
                <w:b/>
                <w:sz w:val="16"/>
              </w:rPr>
              <w:t>Instrument</w:t>
            </w:r>
          </w:p>
        </w:tc>
        <w:tc>
          <w:tcPr>
            <w:tcW w:type="dxa" w:w="7128"/>
            <w:vAlign w:val="center"/>
            <w:shd w:fill="D9E1F2"/>
          </w:tcPr>
          <w:p>
            <w:pPr>
              <w:spacing w:after="0"/>
            </w:pPr>
            <w:r/>
            <w:r>
              <w:rPr>
                <w:rFonts w:ascii="Arial" w:hAnsi="Arial"/>
                <w:b/>
                <w:sz w:val="16"/>
              </w:rPr>
              <w:t>Illustrative Details</w:t>
            </w:r>
          </w:p>
        </w:tc>
      </w:tr>
      <w:tr>
        <w:tc>
          <w:tcPr>
            <w:tcW w:type="dxa" w:w="3096"/>
            <w:vAlign w:val="center"/>
          </w:tcPr>
          <w:p>
            <w:pPr>
              <w:spacing w:after="0"/>
            </w:pPr>
            <w:r/>
            <w:r>
              <w:rPr>
                <w:rFonts w:ascii="Arial" w:hAnsi="Arial"/>
                <w:b w:val="0"/>
                <w:sz w:val="16"/>
              </w:rPr>
              <w:t>Lender</w:t>
            </w:r>
          </w:p>
        </w:tc>
        <w:tc>
          <w:tcPr>
            <w:tcW w:type="dxa" w:w="7128"/>
            <w:vAlign w:val="center"/>
          </w:tcPr>
          <w:p>
            <w:pPr>
              <w:spacing w:after="0"/>
            </w:pPr>
            <w:r/>
            <w:r>
              <w:rPr>
                <w:rFonts w:ascii="Arial" w:hAnsi="Arial"/>
                <w:b w:val="0"/>
                <w:sz w:val="16"/>
              </w:rPr>
              <w:t>ICICI Bank Limited</w:t>
            </w:r>
          </w:p>
        </w:tc>
      </w:tr>
      <w:tr>
        <w:tc>
          <w:tcPr>
            <w:tcW w:type="dxa" w:w="3096"/>
            <w:vAlign w:val="center"/>
          </w:tcPr>
          <w:p>
            <w:pPr>
              <w:spacing w:after="0"/>
            </w:pPr>
            <w:r/>
            <w:r>
              <w:rPr>
                <w:rFonts w:ascii="Arial" w:hAnsi="Arial"/>
                <w:b w:val="0"/>
                <w:sz w:val="16"/>
              </w:rPr>
              <w:t>Borrower / Grantor</w:t>
            </w:r>
          </w:p>
        </w:tc>
        <w:tc>
          <w:tcPr>
            <w:tcW w:type="dxa" w:w="7128"/>
            <w:vAlign w:val="center"/>
          </w:tcPr>
          <w:p>
            <w:pPr>
              <w:spacing w:after="0"/>
            </w:pPr>
            <w:r/>
            <w:r>
              <w:rPr>
                <w:rFonts w:ascii="Arial" w:hAnsi="Arial"/>
                <w:b w:val="0"/>
                <w:sz w:val="16"/>
              </w:rPr>
              <w:t>Apex Industrial Assets Private Limited</w:t>
            </w:r>
          </w:p>
        </w:tc>
      </w:tr>
      <w:tr>
        <w:tc>
          <w:tcPr>
            <w:tcW w:type="dxa" w:w="3096"/>
            <w:vAlign w:val="center"/>
          </w:tcPr>
          <w:p>
            <w:pPr>
              <w:spacing w:after="0"/>
            </w:pPr>
            <w:r/>
            <w:r>
              <w:rPr>
                <w:rFonts w:ascii="Arial" w:hAnsi="Arial"/>
                <w:b w:val="0"/>
                <w:sz w:val="16"/>
              </w:rPr>
              <w:t>Facility</w:t>
            </w:r>
          </w:p>
        </w:tc>
        <w:tc>
          <w:tcPr>
            <w:tcW w:type="dxa" w:w="7128"/>
            <w:vAlign w:val="center"/>
          </w:tcPr>
          <w:p>
            <w:pPr>
              <w:spacing w:after="0"/>
            </w:pPr>
            <w:r/>
            <w:r>
              <w:rPr>
                <w:rFonts w:ascii="Arial" w:hAnsi="Arial"/>
                <w:b w:val="0"/>
                <w:sz w:val="16"/>
              </w:rPr>
              <w:t>Working Capital / Revolving Credit</w:t>
            </w:r>
          </w:p>
        </w:tc>
      </w:tr>
      <w:tr>
        <w:tc>
          <w:tcPr>
            <w:tcW w:type="dxa" w:w="3096"/>
            <w:vAlign w:val="center"/>
          </w:tcPr>
          <w:p>
            <w:pPr>
              <w:spacing w:after="0"/>
            </w:pPr>
            <w:r/>
            <w:r>
              <w:rPr>
                <w:rFonts w:ascii="Arial" w:hAnsi="Arial"/>
                <w:b w:val="0"/>
                <w:sz w:val="16"/>
              </w:rPr>
              <w:t>Original Secured Amount</w:t>
            </w:r>
          </w:p>
        </w:tc>
        <w:tc>
          <w:tcPr>
            <w:tcW w:type="dxa" w:w="7128"/>
            <w:vAlign w:val="center"/>
          </w:tcPr>
          <w:p>
            <w:pPr>
              <w:spacing w:after="0"/>
            </w:pPr>
            <w:r/>
            <w:r>
              <w:rPr>
                <w:rFonts w:ascii="Arial" w:hAnsi="Arial"/>
                <w:b w:val="0"/>
                <w:sz w:val="16"/>
              </w:rPr>
              <w:t>$275,000</w:t>
            </w:r>
          </w:p>
        </w:tc>
      </w:tr>
      <w:tr>
        <w:tc>
          <w:tcPr>
            <w:tcW w:type="dxa" w:w="3096"/>
            <w:vAlign w:val="center"/>
          </w:tcPr>
          <w:p>
            <w:pPr>
              <w:spacing w:after="0"/>
            </w:pPr>
            <w:r/>
            <w:r>
              <w:rPr>
                <w:rFonts w:ascii="Arial" w:hAnsi="Arial"/>
                <w:b w:val="0"/>
                <w:sz w:val="16"/>
              </w:rPr>
              <w:t>Illustrative Security Date</w:t>
            </w:r>
          </w:p>
        </w:tc>
        <w:tc>
          <w:tcPr>
            <w:tcW w:type="dxa" w:w="7128"/>
            <w:vAlign w:val="center"/>
          </w:tcPr>
          <w:p>
            <w:pPr>
              <w:spacing w:after="0"/>
            </w:pPr>
            <w:r/>
            <w:r>
              <w:rPr>
                <w:rFonts w:ascii="Arial" w:hAnsi="Arial"/>
                <w:b w:val="0"/>
                <w:sz w:val="16"/>
              </w:rPr>
              <w:t>10 February 2020</w:t>
            </w:r>
          </w:p>
        </w:tc>
      </w:tr>
      <w:tr>
        <w:tc>
          <w:tcPr>
            <w:tcW w:type="dxa" w:w="3096"/>
            <w:vAlign w:val="center"/>
          </w:tcPr>
          <w:p>
            <w:pPr>
              <w:spacing w:after="0"/>
            </w:pPr>
            <w:r/>
            <w:r>
              <w:rPr>
                <w:rFonts w:ascii="Arial" w:hAnsi="Arial"/>
                <w:b w:val="0"/>
                <w:sz w:val="16"/>
              </w:rPr>
              <w:t>Illustrative Recording / Filing Reference</w:t>
            </w:r>
          </w:p>
        </w:tc>
        <w:tc>
          <w:tcPr>
            <w:tcW w:type="dxa" w:w="7128"/>
            <w:vAlign w:val="center"/>
          </w:tcPr>
          <w:p>
            <w:pPr>
              <w:spacing w:after="0"/>
            </w:pPr>
            <w:r/>
            <w:r>
              <w:rPr>
                <w:rFonts w:ascii="Arial" w:hAnsi="Arial"/>
                <w:b w:val="0"/>
                <w:sz w:val="16"/>
              </w:rPr>
              <w:t>TX-UCC/DAL/2020/018732</w:t>
            </w:r>
          </w:p>
        </w:tc>
      </w:tr>
      <w:tr>
        <w:tc>
          <w:tcPr>
            <w:tcW w:type="dxa" w:w="3096"/>
            <w:vAlign w:val="center"/>
          </w:tcPr>
          <w:p>
            <w:pPr>
              <w:spacing w:after="0"/>
            </w:pPr>
            <w:r/>
            <w:r>
              <w:rPr>
                <w:rFonts w:ascii="Arial" w:hAnsi="Arial"/>
                <w:b w:val="0"/>
                <w:sz w:val="16"/>
              </w:rPr>
              <w:t>Discharge Date</w:t>
            </w:r>
          </w:p>
        </w:tc>
        <w:tc>
          <w:tcPr>
            <w:tcW w:type="dxa" w:w="7128"/>
            <w:vAlign w:val="center"/>
          </w:tcPr>
          <w:p>
            <w:pPr>
              <w:spacing w:after="0"/>
            </w:pPr>
            <w:r/>
            <w:r>
              <w:rPr>
                <w:rFonts w:ascii="Arial" w:hAnsi="Arial"/>
                <w:b w:val="0"/>
                <w:sz w:val="16"/>
              </w:rPr>
              <w:t>31 August 2023</w:t>
            </w:r>
          </w:p>
        </w:tc>
      </w:tr>
      <w:tr>
        <w:tc>
          <w:tcPr>
            <w:tcW w:type="dxa" w:w="3096"/>
            <w:vAlign w:val="center"/>
          </w:tcPr>
          <w:p>
            <w:pPr>
              <w:spacing w:after="0"/>
            </w:pPr>
            <w:r/>
            <w:r>
              <w:rPr>
                <w:rFonts w:ascii="Arial" w:hAnsi="Arial"/>
                <w:b w:val="0"/>
                <w:sz w:val="16"/>
              </w:rPr>
              <w:t>Discharge / No-Dues Ref.</w:t>
            </w:r>
          </w:p>
        </w:tc>
        <w:tc>
          <w:tcPr>
            <w:tcW w:type="dxa" w:w="7128"/>
            <w:vAlign w:val="center"/>
          </w:tcPr>
          <w:p>
            <w:pPr>
              <w:spacing w:after="0"/>
            </w:pPr>
            <w:r/>
            <w:r>
              <w:rPr>
                <w:rFonts w:ascii="Arial" w:hAnsi="Arial"/>
                <w:b w:val="0"/>
                <w:sz w:val="16"/>
              </w:rPr>
              <w:t>ICICI/ND/USA/2023/88314</w:t>
            </w:r>
          </w:p>
        </w:tc>
      </w:tr>
      <w:tr>
        <w:tc>
          <w:tcPr>
            <w:tcW w:type="dxa" w:w="3096"/>
            <w:vAlign w:val="center"/>
          </w:tcPr>
          <w:p>
            <w:pPr>
              <w:spacing w:after="0"/>
            </w:pPr>
            <w:r/>
            <w:r>
              <w:rPr>
                <w:rFonts w:ascii="Arial" w:hAnsi="Arial"/>
                <w:b w:val="0"/>
                <w:sz w:val="16"/>
              </w:rPr>
              <w:t>Status as at 30 Sep 2026</w:t>
            </w:r>
          </w:p>
        </w:tc>
        <w:tc>
          <w:tcPr>
            <w:tcW w:type="dxa" w:w="7128"/>
            <w:vAlign w:val="center"/>
          </w:tcPr>
          <w:p>
            <w:pPr>
              <w:spacing w:after="0"/>
            </w:pPr>
            <w:r/>
            <w:r>
              <w:rPr>
                <w:rFonts w:ascii="Arial" w:hAnsi="Arial"/>
                <w:b w:val="0"/>
                <w:sz w:val="16"/>
              </w:rPr>
              <w:t>FULLY DISCHARGED — NO SUBSISTING SECURITY INTEREST</w:t>
            </w:r>
          </w:p>
        </w:tc>
      </w:tr>
    </w:tbl>
    <w:p>
      <w:pPr>
        <w:spacing w:before="100" w:after="40"/>
      </w:pPr>
      <w:r>
        <w:rPr>
          <w:rFonts w:ascii="Arial" w:hAnsi="Arial"/>
          <w:b/>
          <w:sz w:val="19"/>
        </w:rPr>
        <w:t>5.3 HDFC Bank — Residual Facility Charge</w:t>
      </w:r>
    </w:p>
    <w:tbl>
      <w:tblPr>
        <w:tblStyle w:val="TableGrid"/>
        <w:tblW w:type="auto" w:w="0"/>
        <w:jc w:val="center"/>
        <w:tblLook w:firstColumn="1" w:firstRow="1" w:lastColumn="0" w:lastRow="0" w:noHBand="0" w:noVBand="1" w:val="04A0"/>
      </w:tblPr>
      <w:tblGrid>
        <w:gridCol w:w="5328"/>
        <w:gridCol w:w="5328"/>
      </w:tblGrid>
      <w:tr>
        <w:tc>
          <w:tcPr>
            <w:tcW w:type="dxa" w:w="3096"/>
            <w:vAlign w:val="center"/>
            <w:shd w:fill="D9E1F2"/>
          </w:tcPr>
          <w:p>
            <w:pPr>
              <w:spacing w:after="0"/>
            </w:pPr>
            <w:r/>
            <w:r>
              <w:rPr>
                <w:rFonts w:ascii="Arial" w:hAnsi="Arial"/>
                <w:b/>
                <w:sz w:val="16"/>
              </w:rPr>
              <w:t>Instrument</w:t>
            </w:r>
          </w:p>
        </w:tc>
        <w:tc>
          <w:tcPr>
            <w:tcW w:type="dxa" w:w="7128"/>
            <w:vAlign w:val="center"/>
            <w:shd w:fill="D9E1F2"/>
          </w:tcPr>
          <w:p>
            <w:pPr>
              <w:spacing w:after="0"/>
            </w:pPr>
            <w:r/>
            <w:r>
              <w:rPr>
                <w:rFonts w:ascii="Arial" w:hAnsi="Arial"/>
                <w:b/>
                <w:sz w:val="16"/>
              </w:rPr>
              <w:t>Illustrative Details</w:t>
            </w:r>
          </w:p>
        </w:tc>
      </w:tr>
      <w:tr>
        <w:tc>
          <w:tcPr>
            <w:tcW w:type="dxa" w:w="3096"/>
            <w:vAlign w:val="center"/>
          </w:tcPr>
          <w:p>
            <w:pPr>
              <w:spacing w:after="0"/>
            </w:pPr>
            <w:r/>
            <w:r>
              <w:rPr>
                <w:rFonts w:ascii="Arial" w:hAnsi="Arial"/>
                <w:b w:val="0"/>
                <w:sz w:val="16"/>
              </w:rPr>
              <w:t>Lender</w:t>
            </w:r>
          </w:p>
        </w:tc>
        <w:tc>
          <w:tcPr>
            <w:tcW w:type="dxa" w:w="7128"/>
            <w:vAlign w:val="center"/>
          </w:tcPr>
          <w:p>
            <w:pPr>
              <w:spacing w:after="0"/>
            </w:pPr>
            <w:r/>
            <w:r>
              <w:rPr>
                <w:rFonts w:ascii="Arial" w:hAnsi="Arial"/>
                <w:b w:val="0"/>
                <w:sz w:val="16"/>
              </w:rPr>
              <w:t>HDFC Bank Limited</w:t>
            </w:r>
          </w:p>
        </w:tc>
      </w:tr>
      <w:tr>
        <w:tc>
          <w:tcPr>
            <w:tcW w:type="dxa" w:w="3096"/>
            <w:vAlign w:val="center"/>
          </w:tcPr>
          <w:p>
            <w:pPr>
              <w:spacing w:after="0"/>
            </w:pPr>
            <w:r/>
            <w:r>
              <w:rPr>
                <w:rFonts w:ascii="Arial" w:hAnsi="Arial"/>
                <w:b w:val="0"/>
                <w:sz w:val="16"/>
              </w:rPr>
              <w:t>Borrower / Grantor</w:t>
            </w:r>
          </w:p>
        </w:tc>
        <w:tc>
          <w:tcPr>
            <w:tcW w:type="dxa" w:w="7128"/>
            <w:vAlign w:val="center"/>
          </w:tcPr>
          <w:p>
            <w:pPr>
              <w:spacing w:after="0"/>
            </w:pPr>
            <w:r/>
            <w:r>
              <w:rPr>
                <w:rFonts w:ascii="Arial" w:hAnsi="Arial"/>
                <w:b w:val="0"/>
                <w:sz w:val="16"/>
              </w:rPr>
              <w:t>Apex Industrial Assets Private Limited</w:t>
            </w:r>
          </w:p>
        </w:tc>
      </w:tr>
      <w:tr>
        <w:tc>
          <w:tcPr>
            <w:tcW w:type="dxa" w:w="3096"/>
            <w:vAlign w:val="center"/>
          </w:tcPr>
          <w:p>
            <w:pPr>
              <w:spacing w:after="0"/>
            </w:pPr>
            <w:r/>
            <w:r>
              <w:rPr>
                <w:rFonts w:ascii="Arial" w:hAnsi="Arial"/>
                <w:b w:val="0"/>
                <w:sz w:val="16"/>
              </w:rPr>
              <w:t>Facility</w:t>
            </w:r>
          </w:p>
        </w:tc>
        <w:tc>
          <w:tcPr>
            <w:tcW w:type="dxa" w:w="7128"/>
            <w:vAlign w:val="center"/>
          </w:tcPr>
          <w:p>
            <w:pPr>
              <w:spacing w:after="0"/>
            </w:pPr>
            <w:r/>
            <w:r>
              <w:rPr>
                <w:rFonts w:ascii="Arial" w:hAnsi="Arial"/>
                <w:b w:val="0"/>
                <w:sz w:val="16"/>
              </w:rPr>
              <w:t>Supplemental / Residual Secured Facility</w:t>
            </w:r>
          </w:p>
        </w:tc>
      </w:tr>
      <w:tr>
        <w:tc>
          <w:tcPr>
            <w:tcW w:type="dxa" w:w="3096"/>
            <w:vAlign w:val="center"/>
          </w:tcPr>
          <w:p>
            <w:pPr>
              <w:spacing w:after="0"/>
            </w:pPr>
            <w:r/>
            <w:r>
              <w:rPr>
                <w:rFonts w:ascii="Arial" w:hAnsi="Arial"/>
                <w:b w:val="0"/>
                <w:sz w:val="16"/>
              </w:rPr>
              <w:t>Secured Amount</w:t>
            </w:r>
          </w:p>
        </w:tc>
        <w:tc>
          <w:tcPr>
            <w:tcW w:type="dxa" w:w="7128"/>
            <w:vAlign w:val="center"/>
          </w:tcPr>
          <w:p>
            <w:pPr>
              <w:spacing w:after="0"/>
            </w:pPr>
            <w:r/>
            <w:r>
              <w:rPr>
                <w:rFonts w:ascii="Arial" w:hAnsi="Arial"/>
                <w:b w:val="0"/>
                <w:sz w:val="16"/>
              </w:rPr>
              <w:t>$135,000</w:t>
            </w:r>
          </w:p>
        </w:tc>
      </w:tr>
      <w:tr>
        <w:tc>
          <w:tcPr>
            <w:tcW w:type="dxa" w:w="3096"/>
            <w:vAlign w:val="center"/>
          </w:tcPr>
          <w:p>
            <w:pPr>
              <w:spacing w:after="0"/>
            </w:pPr>
            <w:r/>
            <w:r>
              <w:rPr>
                <w:rFonts w:ascii="Arial" w:hAnsi="Arial"/>
                <w:b w:val="0"/>
                <w:sz w:val="16"/>
              </w:rPr>
              <w:t>Illustrative Charge Date</w:t>
            </w:r>
          </w:p>
        </w:tc>
        <w:tc>
          <w:tcPr>
            <w:tcW w:type="dxa" w:w="7128"/>
            <w:vAlign w:val="center"/>
          </w:tcPr>
          <w:p>
            <w:pPr>
              <w:spacing w:after="0"/>
            </w:pPr>
            <w:r/>
            <w:r>
              <w:rPr>
                <w:rFonts w:ascii="Arial" w:hAnsi="Arial"/>
                <w:b w:val="0"/>
                <w:sz w:val="16"/>
              </w:rPr>
              <w:t>5 March 2024</w:t>
            </w:r>
          </w:p>
        </w:tc>
      </w:tr>
      <w:tr>
        <w:tc>
          <w:tcPr>
            <w:tcW w:type="dxa" w:w="3096"/>
            <w:vAlign w:val="center"/>
          </w:tcPr>
          <w:p>
            <w:pPr>
              <w:spacing w:after="0"/>
            </w:pPr>
            <w:r/>
            <w:r>
              <w:rPr>
                <w:rFonts w:ascii="Arial" w:hAnsi="Arial"/>
                <w:b w:val="0"/>
                <w:sz w:val="16"/>
              </w:rPr>
              <w:t>Illustrative Recording Reference</w:t>
            </w:r>
          </w:p>
        </w:tc>
        <w:tc>
          <w:tcPr>
            <w:tcW w:type="dxa" w:w="7128"/>
            <w:vAlign w:val="center"/>
          </w:tcPr>
          <w:p>
            <w:pPr>
              <w:spacing w:after="0"/>
            </w:pPr>
            <w:r/>
            <w:r>
              <w:rPr>
                <w:rFonts w:ascii="Arial" w:hAnsi="Arial"/>
                <w:b w:val="0"/>
                <w:sz w:val="16"/>
              </w:rPr>
              <w:t>Dallas County Instrument No. 2024-023915</w:t>
            </w:r>
          </w:p>
        </w:tc>
      </w:tr>
      <w:tr>
        <w:tc>
          <w:tcPr>
            <w:tcW w:type="dxa" w:w="3096"/>
            <w:vAlign w:val="center"/>
          </w:tcPr>
          <w:p>
            <w:pPr>
              <w:spacing w:after="0"/>
            </w:pPr>
            <w:r/>
            <w:r>
              <w:rPr>
                <w:rFonts w:ascii="Arial" w:hAnsi="Arial"/>
                <w:b w:val="0"/>
                <w:sz w:val="16"/>
              </w:rPr>
              <w:t>Repayment Date</w:t>
            </w:r>
          </w:p>
        </w:tc>
        <w:tc>
          <w:tcPr>
            <w:tcW w:type="dxa" w:w="7128"/>
            <w:vAlign w:val="center"/>
          </w:tcPr>
          <w:p>
            <w:pPr>
              <w:spacing w:after="0"/>
            </w:pPr>
            <w:r/>
            <w:r>
              <w:rPr>
                <w:rFonts w:ascii="Arial" w:hAnsi="Arial"/>
                <w:b w:val="0"/>
                <w:sz w:val="16"/>
              </w:rPr>
              <w:t>18 May 2025</w:t>
            </w:r>
          </w:p>
        </w:tc>
      </w:tr>
      <w:tr>
        <w:tc>
          <w:tcPr>
            <w:tcW w:type="dxa" w:w="3096"/>
            <w:vAlign w:val="center"/>
          </w:tcPr>
          <w:p>
            <w:pPr>
              <w:spacing w:after="0"/>
            </w:pPr>
            <w:r/>
            <w:r>
              <w:rPr>
                <w:rFonts w:ascii="Arial" w:hAnsi="Arial"/>
                <w:b w:val="0"/>
                <w:sz w:val="16"/>
              </w:rPr>
              <w:t>Release Ref.</w:t>
            </w:r>
          </w:p>
        </w:tc>
        <w:tc>
          <w:tcPr>
            <w:tcW w:type="dxa" w:w="7128"/>
            <w:vAlign w:val="center"/>
          </w:tcPr>
          <w:p>
            <w:pPr>
              <w:spacing w:after="0"/>
            </w:pPr>
            <w:r/>
            <w:r>
              <w:rPr>
                <w:rFonts w:ascii="Arial" w:hAnsi="Arial"/>
                <w:b w:val="0"/>
                <w:sz w:val="16"/>
              </w:rPr>
              <w:t>HDFC/REL/USA/2025/44781</w:t>
            </w:r>
          </w:p>
        </w:tc>
      </w:tr>
      <w:tr>
        <w:tc>
          <w:tcPr>
            <w:tcW w:type="dxa" w:w="3096"/>
            <w:vAlign w:val="center"/>
          </w:tcPr>
          <w:p>
            <w:pPr>
              <w:spacing w:after="0"/>
            </w:pPr>
            <w:r/>
            <w:r>
              <w:rPr>
                <w:rFonts w:ascii="Arial" w:hAnsi="Arial"/>
                <w:b w:val="0"/>
                <w:sz w:val="16"/>
              </w:rPr>
              <w:t>Status as at 30 Sep 2026</w:t>
            </w:r>
          </w:p>
        </w:tc>
        <w:tc>
          <w:tcPr>
            <w:tcW w:type="dxa" w:w="7128"/>
            <w:vAlign w:val="center"/>
          </w:tcPr>
          <w:p>
            <w:pPr>
              <w:spacing w:after="0"/>
            </w:pPr>
            <w:r/>
            <w:r>
              <w:rPr>
                <w:rFonts w:ascii="Arial" w:hAnsi="Arial"/>
                <w:b w:val="0"/>
                <w:sz w:val="16"/>
              </w:rPr>
              <w:t>FULLY REPAID AND RELEASED</w:t>
            </w:r>
          </w:p>
        </w:tc>
      </w:tr>
    </w:tbl>
    <w:p>
      <w:r>
        <w:br w:type="page"/>
      </w:r>
    </w:p>
    <w:p>
      <w:pPr>
        <w:spacing w:before="100" w:after="40"/>
      </w:pPr>
      <w:r>
        <w:rPr>
          <w:rFonts w:ascii="Arial" w:hAnsi="Arial"/>
          <w:b/>
          <w:sz w:val="22"/>
        </w:rPr>
        <w:t>6. HISTORICAL DISPUTES AND CLAIMS</w:t>
      </w:r>
    </w:p>
    <w:p>
      <w:pPr>
        <w:spacing w:before="100" w:after="40"/>
      </w:pPr>
      <w:r>
        <w:rPr>
          <w:rFonts w:ascii="Arial" w:hAnsi="Arial"/>
          <w:b/>
          <w:sz w:val="19"/>
        </w:rPr>
        <w:t>6.1 Civil Ownership / Title Dispute</w:t>
      </w:r>
    </w:p>
    <w:tbl>
      <w:tblPr>
        <w:tblStyle w:val="TableGrid"/>
        <w:tblW w:type="auto" w:w="0"/>
        <w:jc w:val="center"/>
        <w:tblLook w:firstColumn="1" w:firstRow="1" w:lastColumn="0" w:lastRow="0" w:noHBand="0" w:noVBand="1" w:val="04A0"/>
      </w:tblPr>
      <w:tblGrid>
        <w:gridCol w:w="5328"/>
        <w:gridCol w:w="5328"/>
      </w:tblGrid>
      <w:tr>
        <w:tc>
          <w:tcPr>
            <w:tcW w:type="dxa" w:w="3096"/>
            <w:vAlign w:val="center"/>
            <w:shd w:fill="D9E1F2"/>
          </w:tcPr>
          <w:p>
            <w:pPr>
              <w:spacing w:after="0"/>
            </w:pPr>
            <w:r/>
            <w:r>
              <w:rPr>
                <w:rFonts w:ascii="Arial" w:hAnsi="Arial"/>
                <w:b/>
                <w:sz w:val="16"/>
              </w:rPr>
              <w:t>Matter</w:t>
            </w:r>
          </w:p>
        </w:tc>
        <w:tc>
          <w:tcPr>
            <w:tcW w:type="dxa" w:w="7128"/>
            <w:vAlign w:val="center"/>
            <w:shd w:fill="D9E1F2"/>
          </w:tcPr>
          <w:p>
            <w:pPr>
              <w:spacing w:after="0"/>
            </w:pPr>
            <w:r/>
            <w:r>
              <w:rPr>
                <w:rFonts w:ascii="Arial" w:hAnsi="Arial"/>
                <w:b/>
                <w:sz w:val="16"/>
              </w:rPr>
              <w:t>Illustrative Details</w:t>
            </w:r>
          </w:p>
        </w:tc>
      </w:tr>
      <w:tr>
        <w:tc>
          <w:tcPr>
            <w:tcW w:type="dxa" w:w="3096"/>
            <w:vAlign w:val="center"/>
          </w:tcPr>
          <w:p>
            <w:pPr>
              <w:spacing w:after="0"/>
            </w:pPr>
            <w:r/>
            <w:r>
              <w:rPr>
                <w:rFonts w:ascii="Arial" w:hAnsi="Arial"/>
                <w:b w:val="0"/>
                <w:sz w:val="16"/>
              </w:rPr>
              <w:t>Claimant</w:t>
            </w:r>
          </w:p>
        </w:tc>
        <w:tc>
          <w:tcPr>
            <w:tcW w:type="dxa" w:w="7128"/>
            <w:vAlign w:val="center"/>
          </w:tcPr>
          <w:p>
            <w:pPr>
              <w:spacing w:after="0"/>
            </w:pPr>
            <w:r/>
            <w:r>
              <w:rPr>
                <w:rFonts w:ascii="Arial" w:hAnsi="Arial"/>
                <w:b w:val="0"/>
                <w:sz w:val="16"/>
              </w:rPr>
              <w:t>Former shareholder / former beneficial-interest claimant</w:t>
            </w:r>
          </w:p>
        </w:tc>
      </w:tr>
      <w:tr>
        <w:tc>
          <w:tcPr>
            <w:tcW w:type="dxa" w:w="3096"/>
            <w:vAlign w:val="center"/>
          </w:tcPr>
          <w:p>
            <w:pPr>
              <w:spacing w:after="0"/>
            </w:pPr>
            <w:r/>
            <w:r>
              <w:rPr>
                <w:rFonts w:ascii="Arial" w:hAnsi="Arial"/>
                <w:b w:val="0"/>
                <w:sz w:val="16"/>
              </w:rPr>
              <w:t>Nature</w:t>
            </w:r>
          </w:p>
        </w:tc>
        <w:tc>
          <w:tcPr>
            <w:tcW w:type="dxa" w:w="7128"/>
            <w:vAlign w:val="center"/>
          </w:tcPr>
          <w:p>
            <w:pPr>
              <w:spacing w:after="0"/>
            </w:pPr>
            <w:r/>
            <w:r>
              <w:rPr>
                <w:rFonts w:ascii="Arial" w:hAnsi="Arial"/>
                <w:b w:val="0"/>
                <w:sz w:val="16"/>
              </w:rPr>
              <w:t>Claim concerning historical ownership interest in the Property</w:t>
            </w:r>
          </w:p>
        </w:tc>
      </w:tr>
      <w:tr>
        <w:tc>
          <w:tcPr>
            <w:tcW w:type="dxa" w:w="3096"/>
            <w:vAlign w:val="center"/>
          </w:tcPr>
          <w:p>
            <w:pPr>
              <w:spacing w:after="0"/>
            </w:pPr>
            <w:r/>
            <w:r>
              <w:rPr>
                <w:rFonts w:ascii="Arial" w:hAnsi="Arial"/>
                <w:b w:val="0"/>
                <w:sz w:val="16"/>
              </w:rPr>
              <w:t>Illustrative Filing</w:t>
            </w:r>
          </w:p>
        </w:tc>
        <w:tc>
          <w:tcPr>
            <w:tcW w:type="dxa" w:w="7128"/>
            <w:vAlign w:val="center"/>
          </w:tcPr>
          <w:p>
            <w:pPr>
              <w:spacing w:after="0"/>
            </w:pPr>
            <w:r/>
            <w:r>
              <w:rPr>
                <w:rFonts w:ascii="Arial" w:hAnsi="Arial"/>
                <w:b w:val="0"/>
                <w:sz w:val="16"/>
              </w:rPr>
              <w:t>Dallas County Civil Court Matter No. 1127 of 2021</w:t>
            </w:r>
          </w:p>
        </w:tc>
      </w:tr>
      <w:tr>
        <w:tc>
          <w:tcPr>
            <w:tcW w:type="dxa" w:w="3096"/>
            <w:vAlign w:val="center"/>
          </w:tcPr>
          <w:p>
            <w:pPr>
              <w:spacing w:after="0"/>
            </w:pPr>
            <w:r/>
            <w:r>
              <w:rPr>
                <w:rFonts w:ascii="Arial" w:hAnsi="Arial"/>
                <w:b w:val="0"/>
                <w:sz w:val="16"/>
              </w:rPr>
              <w:t>Court</w:t>
            </w:r>
          </w:p>
        </w:tc>
        <w:tc>
          <w:tcPr>
            <w:tcW w:type="dxa" w:w="7128"/>
            <w:vAlign w:val="center"/>
          </w:tcPr>
          <w:p>
            <w:pPr>
              <w:spacing w:after="0"/>
            </w:pPr>
            <w:r/>
            <w:r>
              <w:rPr>
                <w:rFonts w:ascii="Arial" w:hAnsi="Arial"/>
                <w:b w:val="0"/>
                <w:sz w:val="16"/>
              </w:rPr>
              <w:t>District Court of Dallas County, Texas (Illustrative)</w:t>
            </w:r>
          </w:p>
        </w:tc>
      </w:tr>
      <w:tr>
        <w:tc>
          <w:tcPr>
            <w:tcW w:type="dxa" w:w="3096"/>
            <w:vAlign w:val="center"/>
          </w:tcPr>
          <w:p>
            <w:pPr>
              <w:spacing w:after="0"/>
            </w:pPr>
            <w:r/>
            <w:r>
              <w:rPr>
                <w:rFonts w:ascii="Arial" w:hAnsi="Arial"/>
                <w:b w:val="0"/>
                <w:sz w:val="16"/>
              </w:rPr>
              <w:t>Claim Status</w:t>
            </w:r>
          </w:p>
        </w:tc>
        <w:tc>
          <w:tcPr>
            <w:tcW w:type="dxa" w:w="7128"/>
            <w:vAlign w:val="center"/>
          </w:tcPr>
          <w:p>
            <w:pPr>
              <w:spacing w:after="0"/>
            </w:pPr>
            <w:r/>
            <w:r>
              <w:rPr>
                <w:rFonts w:ascii="Arial" w:hAnsi="Arial"/>
                <w:b w:val="0"/>
                <w:sz w:val="16"/>
              </w:rPr>
              <w:t>Settled by consent</w:t>
            </w:r>
          </w:p>
        </w:tc>
      </w:tr>
      <w:tr>
        <w:tc>
          <w:tcPr>
            <w:tcW w:type="dxa" w:w="3096"/>
            <w:vAlign w:val="center"/>
          </w:tcPr>
          <w:p>
            <w:pPr>
              <w:spacing w:after="0"/>
            </w:pPr>
            <w:r/>
            <w:r>
              <w:rPr>
                <w:rFonts w:ascii="Arial" w:hAnsi="Arial"/>
                <w:b w:val="0"/>
                <w:sz w:val="16"/>
              </w:rPr>
              <w:t>Settlement Date</w:t>
            </w:r>
          </w:p>
        </w:tc>
        <w:tc>
          <w:tcPr>
            <w:tcW w:type="dxa" w:w="7128"/>
            <w:vAlign w:val="center"/>
          </w:tcPr>
          <w:p>
            <w:pPr>
              <w:spacing w:after="0"/>
            </w:pPr>
            <w:r/>
            <w:r>
              <w:rPr>
                <w:rFonts w:ascii="Arial" w:hAnsi="Arial"/>
                <w:b w:val="0"/>
                <w:sz w:val="16"/>
              </w:rPr>
              <w:t>14 October 2022</w:t>
            </w:r>
          </w:p>
        </w:tc>
      </w:tr>
      <w:tr>
        <w:tc>
          <w:tcPr>
            <w:tcW w:type="dxa" w:w="3096"/>
            <w:vAlign w:val="center"/>
          </w:tcPr>
          <w:p>
            <w:pPr>
              <w:spacing w:after="0"/>
            </w:pPr>
            <w:r/>
            <w:r>
              <w:rPr>
                <w:rFonts w:ascii="Arial" w:hAnsi="Arial"/>
                <w:b w:val="0"/>
                <w:sz w:val="16"/>
              </w:rPr>
              <w:t>Settlement Instrument</w:t>
            </w:r>
          </w:p>
        </w:tc>
        <w:tc>
          <w:tcPr>
            <w:tcW w:type="dxa" w:w="7128"/>
            <w:vAlign w:val="center"/>
          </w:tcPr>
          <w:p>
            <w:pPr>
              <w:spacing w:after="0"/>
            </w:pPr>
            <w:r/>
            <w:r>
              <w:rPr>
                <w:rFonts w:ascii="Arial" w:hAnsi="Arial"/>
                <w:b w:val="0"/>
                <w:sz w:val="16"/>
              </w:rPr>
              <w:t>Consent Terms / Settlement Agreement</w:t>
            </w:r>
          </w:p>
        </w:tc>
      </w:tr>
      <w:tr>
        <w:tc>
          <w:tcPr>
            <w:tcW w:type="dxa" w:w="3096"/>
            <w:vAlign w:val="center"/>
          </w:tcPr>
          <w:p>
            <w:pPr>
              <w:spacing w:after="0"/>
            </w:pPr>
            <w:r/>
            <w:r>
              <w:rPr>
                <w:rFonts w:ascii="Arial" w:hAnsi="Arial"/>
                <w:b w:val="0"/>
                <w:sz w:val="16"/>
              </w:rPr>
              <w:t>Final Outcome</w:t>
            </w:r>
          </w:p>
        </w:tc>
        <w:tc>
          <w:tcPr>
            <w:tcW w:type="dxa" w:w="7128"/>
            <w:vAlign w:val="center"/>
          </w:tcPr>
          <w:p>
            <w:pPr>
              <w:spacing w:after="0"/>
            </w:pPr>
            <w:r/>
            <w:r>
              <w:rPr>
                <w:rFonts w:ascii="Arial" w:hAnsi="Arial"/>
                <w:b w:val="0"/>
                <w:sz w:val="16"/>
              </w:rPr>
              <w:t>Claim withdrawn; no surviving ownership claim</w:t>
            </w:r>
          </w:p>
        </w:tc>
      </w:tr>
      <w:tr>
        <w:tc>
          <w:tcPr>
            <w:tcW w:type="dxa" w:w="3096"/>
            <w:vAlign w:val="center"/>
          </w:tcPr>
          <w:p>
            <w:pPr>
              <w:spacing w:after="0"/>
            </w:pPr>
            <w:r/>
            <w:r>
              <w:rPr>
                <w:rFonts w:ascii="Arial" w:hAnsi="Arial"/>
                <w:b w:val="0"/>
                <w:sz w:val="16"/>
              </w:rPr>
              <w:t>Status as at 30 Sep 2026</w:t>
            </w:r>
          </w:p>
        </w:tc>
        <w:tc>
          <w:tcPr>
            <w:tcW w:type="dxa" w:w="7128"/>
            <w:vAlign w:val="center"/>
          </w:tcPr>
          <w:p>
            <w:pPr>
              <w:spacing w:after="0"/>
            </w:pPr>
            <w:r/>
            <w:r>
              <w:rPr>
                <w:rFonts w:ascii="Arial" w:hAnsi="Arial"/>
                <w:b w:val="0"/>
                <w:sz w:val="16"/>
              </w:rPr>
              <w:t>RESOLVED — NO PENDING CLAIM</w:t>
            </w:r>
          </w:p>
        </w:tc>
      </w:tr>
    </w:tbl>
    <w:p>
      <w:pPr>
        <w:spacing w:before="100" w:after="40"/>
      </w:pPr>
      <w:r>
        <w:rPr>
          <w:rFonts w:ascii="Arial" w:hAnsi="Arial"/>
          <w:b/>
          <w:sz w:val="19"/>
        </w:rPr>
        <w:t>6.2 County Property-Tax Demand</w:t>
      </w:r>
    </w:p>
    <w:tbl>
      <w:tblPr>
        <w:tblStyle w:val="TableGrid"/>
        <w:tblW w:type="auto" w:w="0"/>
        <w:jc w:val="center"/>
        <w:tblLook w:firstColumn="1" w:firstRow="1" w:lastColumn="0" w:lastRow="0" w:noHBand="0" w:noVBand="1" w:val="04A0"/>
      </w:tblPr>
      <w:tblGrid>
        <w:gridCol w:w="5328"/>
        <w:gridCol w:w="5328"/>
      </w:tblGrid>
      <w:tr>
        <w:tc>
          <w:tcPr>
            <w:tcW w:type="dxa" w:w="3096"/>
            <w:vAlign w:val="center"/>
            <w:shd w:fill="D9E1F2"/>
          </w:tcPr>
          <w:p>
            <w:pPr>
              <w:spacing w:after="0"/>
            </w:pPr>
            <w:r/>
            <w:r>
              <w:rPr>
                <w:rFonts w:ascii="Arial" w:hAnsi="Arial"/>
                <w:b/>
                <w:sz w:val="16"/>
              </w:rPr>
              <w:t>Matter</w:t>
            </w:r>
          </w:p>
        </w:tc>
        <w:tc>
          <w:tcPr>
            <w:tcW w:type="dxa" w:w="7128"/>
            <w:vAlign w:val="center"/>
            <w:shd w:fill="D9E1F2"/>
          </w:tcPr>
          <w:p>
            <w:pPr>
              <w:spacing w:after="0"/>
            </w:pPr>
            <w:r/>
            <w:r>
              <w:rPr>
                <w:rFonts w:ascii="Arial" w:hAnsi="Arial"/>
                <w:b/>
                <w:sz w:val="16"/>
              </w:rPr>
              <w:t>Illustrative Details</w:t>
            </w:r>
          </w:p>
        </w:tc>
      </w:tr>
      <w:tr>
        <w:tc>
          <w:tcPr>
            <w:tcW w:type="dxa" w:w="3096"/>
            <w:vAlign w:val="center"/>
          </w:tcPr>
          <w:p>
            <w:pPr>
              <w:spacing w:after="0"/>
            </w:pPr>
            <w:r/>
            <w:r>
              <w:rPr>
                <w:rFonts w:ascii="Arial" w:hAnsi="Arial"/>
                <w:b w:val="0"/>
                <w:sz w:val="16"/>
              </w:rPr>
              <w:t>Authority</w:t>
            </w:r>
          </w:p>
        </w:tc>
        <w:tc>
          <w:tcPr>
            <w:tcW w:type="dxa" w:w="7128"/>
            <w:vAlign w:val="center"/>
          </w:tcPr>
          <w:p>
            <w:pPr>
              <w:spacing w:after="0"/>
            </w:pPr>
            <w:r/>
            <w:r>
              <w:rPr>
                <w:rFonts w:ascii="Arial" w:hAnsi="Arial"/>
                <w:b w:val="0"/>
                <w:sz w:val="16"/>
              </w:rPr>
              <w:t>Dallas County / Dallas Central Appraisal District (illustrative)</w:t>
            </w:r>
          </w:p>
        </w:tc>
      </w:tr>
      <w:tr>
        <w:tc>
          <w:tcPr>
            <w:tcW w:type="dxa" w:w="3096"/>
            <w:vAlign w:val="center"/>
          </w:tcPr>
          <w:p>
            <w:pPr>
              <w:spacing w:after="0"/>
            </w:pPr>
            <w:r/>
            <w:r>
              <w:rPr>
                <w:rFonts w:ascii="Arial" w:hAnsi="Arial"/>
                <w:b w:val="0"/>
                <w:sz w:val="16"/>
              </w:rPr>
              <w:t>Nature</w:t>
            </w:r>
          </w:p>
        </w:tc>
        <w:tc>
          <w:tcPr>
            <w:tcW w:type="dxa" w:w="7128"/>
            <w:vAlign w:val="center"/>
          </w:tcPr>
          <w:p>
            <w:pPr>
              <w:spacing w:after="0"/>
            </w:pPr>
            <w:r/>
            <w:r>
              <w:rPr>
                <w:rFonts w:ascii="Arial" w:hAnsi="Arial"/>
                <w:b w:val="0"/>
                <w:sz w:val="16"/>
              </w:rPr>
              <w:t>Historical property-tax assessment / demand dispute</w:t>
            </w:r>
          </w:p>
        </w:tc>
      </w:tr>
      <w:tr>
        <w:tc>
          <w:tcPr>
            <w:tcW w:type="dxa" w:w="3096"/>
            <w:vAlign w:val="center"/>
          </w:tcPr>
          <w:p>
            <w:pPr>
              <w:spacing w:after="0"/>
            </w:pPr>
            <w:r/>
            <w:r>
              <w:rPr>
                <w:rFonts w:ascii="Arial" w:hAnsi="Arial"/>
                <w:b w:val="0"/>
                <w:sz w:val="16"/>
              </w:rPr>
              <w:t>Amount</w:t>
            </w:r>
          </w:p>
        </w:tc>
        <w:tc>
          <w:tcPr>
            <w:tcW w:type="dxa" w:w="7128"/>
            <w:vAlign w:val="center"/>
          </w:tcPr>
          <w:p>
            <w:pPr>
              <w:spacing w:after="0"/>
            </w:pPr>
            <w:r/>
            <w:r>
              <w:rPr>
                <w:rFonts w:ascii="Arial" w:hAnsi="Arial"/>
                <w:b w:val="0"/>
                <w:sz w:val="16"/>
              </w:rPr>
              <w:t>$23,000</w:t>
            </w:r>
          </w:p>
        </w:tc>
      </w:tr>
      <w:tr>
        <w:tc>
          <w:tcPr>
            <w:tcW w:type="dxa" w:w="3096"/>
            <w:vAlign w:val="center"/>
          </w:tcPr>
          <w:p>
            <w:pPr>
              <w:spacing w:after="0"/>
            </w:pPr>
            <w:r/>
            <w:r>
              <w:rPr>
                <w:rFonts w:ascii="Arial" w:hAnsi="Arial"/>
                <w:b w:val="0"/>
                <w:sz w:val="16"/>
              </w:rPr>
              <w:t>Demand Period</w:t>
            </w:r>
          </w:p>
        </w:tc>
        <w:tc>
          <w:tcPr>
            <w:tcW w:type="dxa" w:w="7128"/>
            <w:vAlign w:val="center"/>
          </w:tcPr>
          <w:p>
            <w:pPr>
              <w:spacing w:after="0"/>
            </w:pPr>
            <w:r/>
            <w:r>
              <w:rPr>
                <w:rFonts w:ascii="Arial" w:hAnsi="Arial"/>
                <w:b w:val="0"/>
                <w:sz w:val="16"/>
              </w:rPr>
              <w:t>Tax Year 2021</w:t>
            </w:r>
          </w:p>
        </w:tc>
      </w:tr>
      <w:tr>
        <w:tc>
          <w:tcPr>
            <w:tcW w:type="dxa" w:w="3096"/>
            <w:vAlign w:val="center"/>
          </w:tcPr>
          <w:p>
            <w:pPr>
              <w:spacing w:after="0"/>
            </w:pPr>
            <w:r/>
            <w:r>
              <w:rPr>
                <w:rFonts w:ascii="Arial" w:hAnsi="Arial"/>
                <w:b w:val="0"/>
                <w:sz w:val="16"/>
              </w:rPr>
              <w:t>Resolution Date</w:t>
            </w:r>
          </w:p>
        </w:tc>
        <w:tc>
          <w:tcPr>
            <w:tcW w:type="dxa" w:w="7128"/>
            <w:vAlign w:val="center"/>
          </w:tcPr>
          <w:p>
            <w:pPr>
              <w:spacing w:after="0"/>
            </w:pPr>
            <w:r/>
            <w:r>
              <w:rPr>
                <w:rFonts w:ascii="Arial" w:hAnsi="Arial"/>
                <w:b w:val="0"/>
                <w:sz w:val="16"/>
              </w:rPr>
              <w:t>9 January 2024</w:t>
            </w:r>
          </w:p>
        </w:tc>
      </w:tr>
      <w:tr>
        <w:tc>
          <w:tcPr>
            <w:tcW w:type="dxa" w:w="3096"/>
            <w:vAlign w:val="center"/>
          </w:tcPr>
          <w:p>
            <w:pPr>
              <w:spacing w:after="0"/>
            </w:pPr>
            <w:r/>
            <w:r>
              <w:rPr>
                <w:rFonts w:ascii="Arial" w:hAnsi="Arial"/>
                <w:b w:val="0"/>
                <w:sz w:val="16"/>
              </w:rPr>
              <w:t>Resolution</w:t>
            </w:r>
          </w:p>
        </w:tc>
        <w:tc>
          <w:tcPr>
            <w:tcW w:type="dxa" w:w="7128"/>
            <w:vAlign w:val="center"/>
          </w:tcPr>
          <w:p>
            <w:pPr>
              <w:spacing w:after="0"/>
            </w:pPr>
            <w:r/>
            <w:r>
              <w:rPr>
                <w:rFonts w:ascii="Arial" w:hAnsi="Arial"/>
                <w:b w:val="0"/>
                <w:sz w:val="16"/>
              </w:rPr>
              <w:t>Demand paid and assessment closed</w:t>
            </w:r>
          </w:p>
        </w:tc>
      </w:tr>
      <w:tr>
        <w:tc>
          <w:tcPr>
            <w:tcW w:type="dxa" w:w="3096"/>
            <w:vAlign w:val="center"/>
          </w:tcPr>
          <w:p>
            <w:pPr>
              <w:spacing w:after="0"/>
            </w:pPr>
            <w:r/>
            <w:r>
              <w:rPr>
                <w:rFonts w:ascii="Arial" w:hAnsi="Arial"/>
                <w:b w:val="0"/>
                <w:sz w:val="16"/>
              </w:rPr>
              <w:t>Supporting Record</w:t>
            </w:r>
          </w:p>
        </w:tc>
        <w:tc>
          <w:tcPr>
            <w:tcW w:type="dxa" w:w="7128"/>
            <w:vAlign w:val="center"/>
          </w:tcPr>
          <w:p>
            <w:pPr>
              <w:spacing w:after="0"/>
            </w:pPr>
            <w:r/>
            <w:r>
              <w:rPr>
                <w:rFonts w:ascii="Arial" w:hAnsi="Arial"/>
                <w:b w:val="0"/>
                <w:sz w:val="16"/>
              </w:rPr>
              <w:t>Illustrative paid receipt / closure acknowledgement</w:t>
            </w:r>
          </w:p>
        </w:tc>
      </w:tr>
      <w:tr>
        <w:tc>
          <w:tcPr>
            <w:tcW w:type="dxa" w:w="3096"/>
            <w:vAlign w:val="center"/>
          </w:tcPr>
          <w:p>
            <w:pPr>
              <w:spacing w:after="0"/>
            </w:pPr>
            <w:r/>
            <w:r>
              <w:rPr>
                <w:rFonts w:ascii="Arial" w:hAnsi="Arial"/>
                <w:b w:val="0"/>
                <w:sz w:val="16"/>
              </w:rPr>
              <w:t>Status as at 30 Sep 2026</w:t>
            </w:r>
          </w:p>
        </w:tc>
        <w:tc>
          <w:tcPr>
            <w:tcW w:type="dxa" w:w="7128"/>
            <w:vAlign w:val="center"/>
          </w:tcPr>
          <w:p>
            <w:pPr>
              <w:spacing w:after="0"/>
            </w:pPr>
            <w:r/>
            <w:r>
              <w:rPr>
                <w:rFonts w:ascii="Arial" w:hAnsi="Arial"/>
                <w:b w:val="0"/>
                <w:sz w:val="16"/>
              </w:rPr>
              <w:t>PAID — NO OUTSTANDING DEMAND</w:t>
            </w:r>
          </w:p>
        </w:tc>
      </w:tr>
    </w:tbl>
    <w:p>
      <w:pPr>
        <w:spacing w:before="100" w:after="40"/>
      </w:pPr>
      <w:r>
        <w:rPr>
          <w:rFonts w:ascii="Arial" w:hAnsi="Arial"/>
          <w:b/>
          <w:sz w:val="19"/>
        </w:rPr>
        <w:t>6.3 Contractor Payment Claim / Lien</w:t>
      </w:r>
    </w:p>
    <w:tbl>
      <w:tblPr>
        <w:tblStyle w:val="TableGrid"/>
        <w:tblW w:type="auto" w:w="0"/>
        <w:jc w:val="center"/>
        <w:tblLook w:firstColumn="1" w:firstRow="1" w:lastColumn="0" w:lastRow="0" w:noHBand="0" w:noVBand="1" w:val="04A0"/>
      </w:tblPr>
      <w:tblGrid>
        <w:gridCol w:w="5328"/>
        <w:gridCol w:w="5328"/>
      </w:tblGrid>
      <w:tr>
        <w:tc>
          <w:tcPr>
            <w:tcW w:type="dxa" w:w="3096"/>
            <w:vAlign w:val="center"/>
            <w:shd w:fill="D9E1F2"/>
          </w:tcPr>
          <w:p>
            <w:pPr>
              <w:spacing w:after="0"/>
            </w:pPr>
            <w:r/>
            <w:r>
              <w:rPr>
                <w:rFonts w:ascii="Arial" w:hAnsi="Arial"/>
                <w:b/>
                <w:sz w:val="16"/>
              </w:rPr>
              <w:t>Matter</w:t>
            </w:r>
          </w:p>
        </w:tc>
        <w:tc>
          <w:tcPr>
            <w:tcW w:type="dxa" w:w="7128"/>
            <w:vAlign w:val="center"/>
            <w:shd w:fill="D9E1F2"/>
          </w:tcPr>
          <w:p>
            <w:pPr>
              <w:spacing w:after="0"/>
            </w:pPr>
            <w:r/>
            <w:r>
              <w:rPr>
                <w:rFonts w:ascii="Arial" w:hAnsi="Arial"/>
                <w:b/>
                <w:sz w:val="16"/>
              </w:rPr>
              <w:t>Illustrative Details</w:t>
            </w:r>
          </w:p>
        </w:tc>
      </w:tr>
      <w:tr>
        <w:tc>
          <w:tcPr>
            <w:tcW w:type="dxa" w:w="3096"/>
            <w:vAlign w:val="center"/>
          </w:tcPr>
          <w:p>
            <w:pPr>
              <w:spacing w:after="0"/>
            </w:pPr>
            <w:r/>
            <w:r>
              <w:rPr>
                <w:rFonts w:ascii="Arial" w:hAnsi="Arial"/>
                <w:b w:val="0"/>
                <w:sz w:val="16"/>
              </w:rPr>
              <w:t>Claimant</w:t>
            </w:r>
          </w:p>
        </w:tc>
        <w:tc>
          <w:tcPr>
            <w:tcW w:type="dxa" w:w="7128"/>
            <w:vAlign w:val="center"/>
          </w:tcPr>
          <w:p>
            <w:pPr>
              <w:spacing w:after="0"/>
            </w:pPr>
            <w:r/>
            <w:r>
              <w:rPr>
                <w:rFonts w:ascii="Arial" w:hAnsi="Arial"/>
                <w:b w:val="0"/>
                <w:sz w:val="16"/>
              </w:rPr>
              <w:t>XYZ Infrastructure Private Limited</w:t>
            </w:r>
          </w:p>
        </w:tc>
      </w:tr>
      <w:tr>
        <w:tc>
          <w:tcPr>
            <w:tcW w:type="dxa" w:w="3096"/>
            <w:vAlign w:val="center"/>
          </w:tcPr>
          <w:p>
            <w:pPr>
              <w:spacing w:after="0"/>
            </w:pPr>
            <w:r/>
            <w:r>
              <w:rPr>
                <w:rFonts w:ascii="Arial" w:hAnsi="Arial"/>
                <w:b w:val="0"/>
                <w:sz w:val="16"/>
              </w:rPr>
              <w:t>Nature</w:t>
            </w:r>
          </w:p>
        </w:tc>
        <w:tc>
          <w:tcPr>
            <w:tcW w:type="dxa" w:w="7128"/>
            <w:vAlign w:val="center"/>
          </w:tcPr>
          <w:p>
            <w:pPr>
              <w:spacing w:after="0"/>
            </w:pPr>
            <w:r/>
            <w:r>
              <w:rPr>
                <w:rFonts w:ascii="Arial" w:hAnsi="Arial"/>
                <w:b w:val="0"/>
                <w:sz w:val="16"/>
              </w:rPr>
              <w:t>Payment claim relating to fit-out / improvement works</w:t>
            </w:r>
          </w:p>
        </w:tc>
      </w:tr>
      <w:tr>
        <w:tc>
          <w:tcPr>
            <w:tcW w:type="dxa" w:w="3096"/>
            <w:vAlign w:val="center"/>
          </w:tcPr>
          <w:p>
            <w:pPr>
              <w:spacing w:after="0"/>
            </w:pPr>
            <w:r/>
            <w:r>
              <w:rPr>
                <w:rFonts w:ascii="Arial" w:hAnsi="Arial"/>
                <w:b w:val="0"/>
                <w:sz w:val="16"/>
              </w:rPr>
              <w:t>Claim Amount</w:t>
            </w:r>
          </w:p>
        </w:tc>
        <w:tc>
          <w:tcPr>
            <w:tcW w:type="dxa" w:w="7128"/>
            <w:vAlign w:val="center"/>
          </w:tcPr>
          <w:p>
            <w:pPr>
              <w:spacing w:after="0"/>
            </w:pPr>
            <w:r/>
            <w:r>
              <w:rPr>
                <w:rFonts w:ascii="Arial" w:hAnsi="Arial"/>
                <w:b w:val="0"/>
                <w:sz w:val="16"/>
              </w:rPr>
              <w:t>$52,000</w:t>
            </w:r>
          </w:p>
        </w:tc>
      </w:tr>
      <w:tr>
        <w:tc>
          <w:tcPr>
            <w:tcW w:type="dxa" w:w="3096"/>
            <w:vAlign w:val="center"/>
          </w:tcPr>
          <w:p>
            <w:pPr>
              <w:spacing w:after="0"/>
            </w:pPr>
            <w:r/>
            <w:r>
              <w:rPr>
                <w:rFonts w:ascii="Arial" w:hAnsi="Arial"/>
                <w:b w:val="0"/>
                <w:sz w:val="16"/>
              </w:rPr>
              <w:t>Illustrative Notice</w:t>
            </w:r>
          </w:p>
        </w:tc>
        <w:tc>
          <w:tcPr>
            <w:tcW w:type="dxa" w:w="7128"/>
            <w:vAlign w:val="center"/>
          </w:tcPr>
          <w:p>
            <w:pPr>
              <w:spacing w:after="0"/>
            </w:pPr>
            <w:r/>
            <w:r>
              <w:rPr>
                <w:rFonts w:ascii="Arial" w:hAnsi="Arial"/>
                <w:b w:val="0"/>
                <w:sz w:val="16"/>
              </w:rPr>
              <w:t>Legal Notice dated 7 July 2023</w:t>
            </w:r>
          </w:p>
        </w:tc>
      </w:tr>
      <w:tr>
        <w:tc>
          <w:tcPr>
            <w:tcW w:type="dxa" w:w="3096"/>
            <w:vAlign w:val="center"/>
          </w:tcPr>
          <w:p>
            <w:pPr>
              <w:spacing w:after="0"/>
            </w:pPr>
            <w:r/>
            <w:r>
              <w:rPr>
                <w:rFonts w:ascii="Arial" w:hAnsi="Arial"/>
                <w:b w:val="0"/>
                <w:sz w:val="16"/>
              </w:rPr>
              <w:t>Settlement Date</w:t>
            </w:r>
          </w:p>
        </w:tc>
        <w:tc>
          <w:tcPr>
            <w:tcW w:type="dxa" w:w="7128"/>
            <w:vAlign w:val="center"/>
          </w:tcPr>
          <w:p>
            <w:pPr>
              <w:spacing w:after="0"/>
            </w:pPr>
            <w:r/>
            <w:r>
              <w:rPr>
                <w:rFonts w:ascii="Arial" w:hAnsi="Arial"/>
                <w:b w:val="0"/>
                <w:sz w:val="16"/>
              </w:rPr>
              <w:t>22 February 2025</w:t>
            </w:r>
          </w:p>
        </w:tc>
      </w:tr>
      <w:tr>
        <w:tc>
          <w:tcPr>
            <w:tcW w:type="dxa" w:w="3096"/>
            <w:vAlign w:val="center"/>
          </w:tcPr>
          <w:p>
            <w:pPr>
              <w:spacing w:after="0"/>
            </w:pPr>
            <w:r/>
            <w:r>
              <w:rPr>
                <w:rFonts w:ascii="Arial" w:hAnsi="Arial"/>
                <w:b w:val="0"/>
                <w:sz w:val="16"/>
              </w:rPr>
              <w:t>Settlement Amount</w:t>
            </w:r>
          </w:p>
        </w:tc>
        <w:tc>
          <w:tcPr>
            <w:tcW w:type="dxa" w:w="7128"/>
            <w:vAlign w:val="center"/>
          </w:tcPr>
          <w:p>
            <w:pPr>
              <w:spacing w:after="0"/>
            </w:pPr>
            <w:r/>
            <w:r>
              <w:rPr>
                <w:rFonts w:ascii="Arial" w:hAnsi="Arial"/>
                <w:b w:val="0"/>
                <w:sz w:val="16"/>
              </w:rPr>
              <w:t>$43,000</w:t>
            </w:r>
          </w:p>
        </w:tc>
      </w:tr>
      <w:tr>
        <w:tc>
          <w:tcPr>
            <w:tcW w:type="dxa" w:w="3096"/>
            <w:vAlign w:val="center"/>
          </w:tcPr>
          <w:p>
            <w:pPr>
              <w:spacing w:after="0"/>
            </w:pPr>
            <w:r/>
            <w:r>
              <w:rPr>
                <w:rFonts w:ascii="Arial" w:hAnsi="Arial"/>
                <w:b w:val="0"/>
                <w:sz w:val="16"/>
              </w:rPr>
              <w:t>Release Document</w:t>
            </w:r>
          </w:p>
        </w:tc>
        <w:tc>
          <w:tcPr>
            <w:tcW w:type="dxa" w:w="7128"/>
            <w:vAlign w:val="center"/>
          </w:tcPr>
          <w:p>
            <w:pPr>
              <w:spacing w:after="0"/>
            </w:pPr>
            <w:r/>
            <w:r>
              <w:rPr>
                <w:rFonts w:ascii="Arial" w:hAnsi="Arial"/>
                <w:b w:val="0"/>
                <w:sz w:val="16"/>
              </w:rPr>
              <w:t>Full and Final Settlement &amp; Release dated 25 February 2025</w:t>
            </w:r>
          </w:p>
        </w:tc>
      </w:tr>
      <w:tr>
        <w:tc>
          <w:tcPr>
            <w:tcW w:type="dxa" w:w="3096"/>
            <w:vAlign w:val="center"/>
          </w:tcPr>
          <w:p>
            <w:pPr>
              <w:spacing w:after="0"/>
            </w:pPr>
            <w:r/>
            <w:r>
              <w:rPr>
                <w:rFonts w:ascii="Arial" w:hAnsi="Arial"/>
                <w:b w:val="0"/>
                <w:sz w:val="16"/>
              </w:rPr>
              <w:t>Final Outcome</w:t>
            </w:r>
          </w:p>
        </w:tc>
        <w:tc>
          <w:tcPr>
            <w:tcW w:type="dxa" w:w="7128"/>
            <w:vAlign w:val="center"/>
          </w:tcPr>
          <w:p>
            <w:pPr>
              <w:spacing w:after="0"/>
            </w:pPr>
            <w:r/>
            <w:r>
              <w:rPr>
                <w:rFonts w:ascii="Arial" w:hAnsi="Arial"/>
                <w:b w:val="0"/>
                <w:sz w:val="16"/>
              </w:rPr>
              <w:t>Claim settled; claimant released all rights and claims</w:t>
            </w:r>
          </w:p>
        </w:tc>
      </w:tr>
      <w:tr>
        <w:tc>
          <w:tcPr>
            <w:tcW w:type="dxa" w:w="3096"/>
            <w:vAlign w:val="center"/>
          </w:tcPr>
          <w:p>
            <w:pPr>
              <w:spacing w:after="0"/>
            </w:pPr>
            <w:r/>
            <w:r>
              <w:rPr>
                <w:rFonts w:ascii="Arial" w:hAnsi="Arial"/>
                <w:b w:val="0"/>
                <w:sz w:val="16"/>
              </w:rPr>
              <w:t>Status as at 30 Sep 2026</w:t>
            </w:r>
          </w:p>
        </w:tc>
        <w:tc>
          <w:tcPr>
            <w:tcW w:type="dxa" w:w="7128"/>
            <w:vAlign w:val="center"/>
          </w:tcPr>
          <w:p>
            <w:pPr>
              <w:spacing w:after="0"/>
            </w:pPr>
            <w:r/>
            <w:r>
              <w:rPr>
                <w:rFonts w:ascii="Arial" w:hAnsi="Arial"/>
                <w:b w:val="0"/>
                <w:sz w:val="16"/>
              </w:rPr>
              <w:t>RESOLVED — NO SURVIVING LIEN / CLAIM</w:t>
            </w:r>
          </w:p>
        </w:tc>
      </w:tr>
    </w:tbl>
    <w:p>
      <w:pPr>
        <w:spacing w:before="100" w:after="40"/>
      </w:pPr>
      <w:r>
        <w:rPr>
          <w:rFonts w:ascii="Arial" w:hAnsi="Arial"/>
          <w:b/>
          <w:sz w:val="22"/>
        </w:rPr>
        <w:t>7. RELEASE AND CLEARANCE MATRIX</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3024"/>
            <w:vAlign w:val="center"/>
            <w:shd w:fill="D9E1F2"/>
          </w:tcPr>
          <w:p>
            <w:pPr>
              <w:spacing w:after="0"/>
            </w:pPr>
            <w:r/>
            <w:r>
              <w:rPr>
                <w:rFonts w:ascii="Arial" w:hAnsi="Arial"/>
                <w:b/>
                <w:sz w:val="16"/>
              </w:rPr>
              <w:t>Encumbrance</w:t>
            </w:r>
          </w:p>
        </w:tc>
        <w:tc>
          <w:tcPr>
            <w:tcW w:type="dxa" w:w="1944"/>
            <w:vAlign w:val="center"/>
            <w:shd w:fill="D9E1F2"/>
          </w:tcPr>
          <w:p>
            <w:pPr>
              <w:spacing w:after="0"/>
            </w:pPr>
            <w:r/>
            <w:r>
              <w:rPr>
                <w:rFonts w:ascii="Arial" w:hAnsi="Arial"/>
                <w:b/>
                <w:sz w:val="16"/>
              </w:rPr>
              <w:t>Original Exposure</w:t>
            </w:r>
          </w:p>
        </w:tc>
        <w:tc>
          <w:tcPr>
            <w:tcW w:type="dxa" w:w="3384"/>
            <w:vAlign w:val="center"/>
            <w:shd w:fill="D9E1F2"/>
          </w:tcPr>
          <w:p>
            <w:pPr>
              <w:spacing w:after="0"/>
            </w:pPr>
            <w:r/>
            <w:r>
              <w:rPr>
                <w:rFonts w:ascii="Arial" w:hAnsi="Arial"/>
                <w:b/>
                <w:sz w:val="16"/>
              </w:rPr>
              <w:t>Release / Resolution</w:t>
            </w:r>
          </w:p>
        </w:tc>
        <w:tc>
          <w:tcPr>
            <w:tcW w:type="dxa" w:w="1872"/>
            <w:vAlign w:val="center"/>
            <w:shd w:fill="D9E1F2"/>
          </w:tcPr>
          <w:p>
            <w:pPr>
              <w:spacing w:after="0"/>
            </w:pPr>
            <w:r/>
            <w:r>
              <w:rPr>
                <w:rFonts w:ascii="Arial" w:hAnsi="Arial"/>
                <w:b/>
                <w:sz w:val="16"/>
              </w:rPr>
              <w:t>Current Status</w:t>
            </w:r>
          </w:p>
        </w:tc>
      </w:tr>
      <w:tr>
        <w:tc>
          <w:tcPr>
            <w:tcW w:type="dxa" w:w="3024"/>
            <w:vAlign w:val="center"/>
          </w:tcPr>
          <w:p>
            <w:pPr>
              <w:spacing w:after="0"/>
            </w:pPr>
            <w:r/>
            <w:r>
              <w:rPr>
                <w:rFonts w:ascii="Arial" w:hAnsi="Arial"/>
                <w:b w:val="0"/>
                <w:sz w:val="16"/>
              </w:rPr>
              <w:t>HDFC deed of trust</w:t>
            </w:r>
          </w:p>
        </w:tc>
        <w:tc>
          <w:tcPr>
            <w:tcW w:type="dxa" w:w="1944"/>
            <w:vAlign w:val="center"/>
          </w:tcPr>
          <w:p>
            <w:pPr>
              <w:spacing w:after="0"/>
            </w:pPr>
            <w:r/>
            <w:r>
              <w:rPr>
                <w:rFonts w:ascii="Arial" w:hAnsi="Arial"/>
                <w:b w:val="0"/>
                <w:sz w:val="16"/>
              </w:rPr>
              <w:t>$550,000</w:t>
            </w:r>
          </w:p>
        </w:tc>
        <w:tc>
          <w:tcPr>
            <w:tcW w:type="dxa" w:w="3384"/>
            <w:vAlign w:val="center"/>
          </w:tcPr>
          <w:p>
            <w:pPr>
              <w:spacing w:after="0"/>
            </w:pPr>
            <w:r/>
            <w:r>
              <w:rPr>
                <w:rFonts w:ascii="Arial" w:hAnsi="Arial"/>
                <w:b w:val="0"/>
                <w:sz w:val="16"/>
              </w:rPr>
              <w:t>Release recorded 2022</w:t>
            </w:r>
          </w:p>
        </w:tc>
        <w:tc>
          <w:tcPr>
            <w:tcW w:type="dxa" w:w="1872"/>
            <w:vAlign w:val="center"/>
          </w:tcPr>
          <w:p>
            <w:pPr>
              <w:spacing w:after="0"/>
            </w:pPr>
            <w:r/>
            <w:r>
              <w:rPr>
                <w:rFonts w:ascii="Arial" w:hAnsi="Arial"/>
                <w:b w:val="0"/>
                <w:sz w:val="16"/>
              </w:rPr>
              <w:t>Clear</w:t>
            </w:r>
          </w:p>
        </w:tc>
      </w:tr>
      <w:tr>
        <w:tc>
          <w:tcPr>
            <w:tcW w:type="dxa" w:w="3024"/>
            <w:vAlign w:val="center"/>
          </w:tcPr>
          <w:p>
            <w:pPr>
              <w:spacing w:after="0"/>
            </w:pPr>
            <w:r/>
            <w:r>
              <w:rPr>
                <w:rFonts w:ascii="Arial" w:hAnsi="Arial"/>
                <w:b w:val="0"/>
                <w:sz w:val="16"/>
              </w:rPr>
              <w:t>ICICI working capital security interest</w:t>
            </w:r>
          </w:p>
        </w:tc>
        <w:tc>
          <w:tcPr>
            <w:tcW w:type="dxa" w:w="1944"/>
            <w:vAlign w:val="center"/>
          </w:tcPr>
          <w:p>
            <w:pPr>
              <w:spacing w:after="0"/>
            </w:pPr>
            <w:r/>
            <w:r>
              <w:rPr>
                <w:rFonts w:ascii="Arial" w:hAnsi="Arial"/>
                <w:b w:val="0"/>
                <w:sz w:val="16"/>
              </w:rPr>
              <w:t>$275,000</w:t>
            </w:r>
          </w:p>
        </w:tc>
        <w:tc>
          <w:tcPr>
            <w:tcW w:type="dxa" w:w="3384"/>
            <w:vAlign w:val="center"/>
          </w:tcPr>
          <w:p>
            <w:pPr>
              <w:spacing w:after="0"/>
            </w:pPr>
            <w:r/>
            <w:r>
              <w:rPr>
                <w:rFonts w:ascii="Arial" w:hAnsi="Arial"/>
                <w:b w:val="0"/>
                <w:sz w:val="16"/>
              </w:rPr>
              <w:t>Discharge in 2023</w:t>
            </w:r>
          </w:p>
        </w:tc>
        <w:tc>
          <w:tcPr>
            <w:tcW w:type="dxa" w:w="1872"/>
            <w:vAlign w:val="center"/>
          </w:tcPr>
          <w:p>
            <w:pPr>
              <w:spacing w:after="0"/>
            </w:pPr>
            <w:r/>
            <w:r>
              <w:rPr>
                <w:rFonts w:ascii="Arial" w:hAnsi="Arial"/>
                <w:b w:val="0"/>
                <w:sz w:val="16"/>
              </w:rPr>
              <w:t>Clear</w:t>
            </w:r>
          </w:p>
        </w:tc>
      </w:tr>
      <w:tr>
        <w:tc>
          <w:tcPr>
            <w:tcW w:type="dxa" w:w="3024"/>
            <w:vAlign w:val="center"/>
          </w:tcPr>
          <w:p>
            <w:pPr>
              <w:spacing w:after="0"/>
            </w:pPr>
            <w:r/>
            <w:r>
              <w:rPr>
                <w:rFonts w:ascii="Arial" w:hAnsi="Arial"/>
                <w:b w:val="0"/>
                <w:sz w:val="16"/>
              </w:rPr>
              <w:t>Civil title dispute</w:t>
            </w:r>
          </w:p>
        </w:tc>
        <w:tc>
          <w:tcPr>
            <w:tcW w:type="dxa" w:w="1944"/>
            <w:vAlign w:val="center"/>
          </w:tcPr>
          <w:p>
            <w:pPr>
              <w:spacing w:after="0"/>
            </w:pPr>
            <w:r/>
            <w:r>
              <w:rPr>
                <w:rFonts w:ascii="Arial" w:hAnsi="Arial"/>
                <w:b w:val="0"/>
                <w:sz w:val="16"/>
              </w:rPr>
              <w:t>—</w:t>
            </w:r>
          </w:p>
        </w:tc>
        <w:tc>
          <w:tcPr>
            <w:tcW w:type="dxa" w:w="3384"/>
            <w:vAlign w:val="center"/>
          </w:tcPr>
          <w:p>
            <w:pPr>
              <w:spacing w:after="0"/>
            </w:pPr>
            <w:r/>
            <w:r>
              <w:rPr>
                <w:rFonts w:ascii="Arial" w:hAnsi="Arial"/>
                <w:b w:val="0"/>
                <w:sz w:val="16"/>
              </w:rPr>
              <w:t>Settlement in 2022</w:t>
            </w:r>
          </w:p>
        </w:tc>
        <w:tc>
          <w:tcPr>
            <w:tcW w:type="dxa" w:w="1872"/>
            <w:vAlign w:val="center"/>
          </w:tcPr>
          <w:p>
            <w:pPr>
              <w:spacing w:after="0"/>
            </w:pPr>
            <w:r/>
            <w:r>
              <w:rPr>
                <w:rFonts w:ascii="Arial" w:hAnsi="Arial"/>
                <w:b w:val="0"/>
                <w:sz w:val="16"/>
              </w:rPr>
              <w:t>Clear</w:t>
            </w:r>
          </w:p>
        </w:tc>
      </w:tr>
      <w:tr>
        <w:tc>
          <w:tcPr>
            <w:tcW w:type="dxa" w:w="3024"/>
            <w:vAlign w:val="center"/>
          </w:tcPr>
          <w:p>
            <w:pPr>
              <w:spacing w:after="0"/>
            </w:pPr>
            <w:r/>
            <w:r>
              <w:rPr>
                <w:rFonts w:ascii="Arial" w:hAnsi="Arial"/>
                <w:b w:val="0"/>
                <w:sz w:val="16"/>
              </w:rPr>
              <w:t>County property-tax demand</w:t>
            </w:r>
          </w:p>
        </w:tc>
        <w:tc>
          <w:tcPr>
            <w:tcW w:type="dxa" w:w="1944"/>
            <w:vAlign w:val="center"/>
          </w:tcPr>
          <w:p>
            <w:pPr>
              <w:spacing w:after="0"/>
            </w:pPr>
            <w:r/>
            <w:r>
              <w:rPr>
                <w:rFonts w:ascii="Arial" w:hAnsi="Arial"/>
                <w:b w:val="0"/>
                <w:sz w:val="16"/>
              </w:rPr>
              <w:t>$23,000</w:t>
            </w:r>
          </w:p>
        </w:tc>
        <w:tc>
          <w:tcPr>
            <w:tcW w:type="dxa" w:w="3384"/>
            <w:vAlign w:val="center"/>
          </w:tcPr>
          <w:p>
            <w:pPr>
              <w:spacing w:after="0"/>
            </w:pPr>
            <w:r/>
            <w:r>
              <w:rPr>
                <w:rFonts w:ascii="Arial" w:hAnsi="Arial"/>
                <w:b w:val="0"/>
                <w:sz w:val="16"/>
              </w:rPr>
              <w:t>Paid/closed 2024</w:t>
            </w:r>
          </w:p>
        </w:tc>
        <w:tc>
          <w:tcPr>
            <w:tcW w:type="dxa" w:w="1872"/>
            <w:vAlign w:val="center"/>
          </w:tcPr>
          <w:p>
            <w:pPr>
              <w:spacing w:after="0"/>
            </w:pPr>
            <w:r/>
            <w:r>
              <w:rPr>
                <w:rFonts w:ascii="Arial" w:hAnsi="Arial"/>
                <w:b w:val="0"/>
                <w:sz w:val="16"/>
              </w:rPr>
              <w:t>Clear</w:t>
            </w:r>
          </w:p>
        </w:tc>
      </w:tr>
      <w:tr>
        <w:tc>
          <w:tcPr>
            <w:tcW w:type="dxa" w:w="3024"/>
            <w:vAlign w:val="center"/>
          </w:tcPr>
          <w:p>
            <w:pPr>
              <w:spacing w:after="0"/>
            </w:pPr>
            <w:r/>
            <w:r>
              <w:rPr>
                <w:rFonts w:ascii="Arial" w:hAnsi="Arial"/>
                <w:b w:val="0"/>
                <w:sz w:val="16"/>
              </w:rPr>
              <w:t>Contractor claim / lien</w:t>
            </w:r>
          </w:p>
        </w:tc>
        <w:tc>
          <w:tcPr>
            <w:tcW w:type="dxa" w:w="1944"/>
            <w:vAlign w:val="center"/>
          </w:tcPr>
          <w:p>
            <w:pPr>
              <w:spacing w:after="0"/>
            </w:pPr>
            <w:r/>
            <w:r>
              <w:rPr>
                <w:rFonts w:ascii="Arial" w:hAnsi="Arial"/>
                <w:b w:val="0"/>
                <w:sz w:val="16"/>
              </w:rPr>
              <w:t>$52,000</w:t>
            </w:r>
          </w:p>
        </w:tc>
        <w:tc>
          <w:tcPr>
            <w:tcW w:type="dxa" w:w="3384"/>
            <w:vAlign w:val="center"/>
          </w:tcPr>
          <w:p>
            <w:pPr>
              <w:spacing w:after="0"/>
            </w:pPr>
            <w:r/>
            <w:r>
              <w:rPr>
                <w:rFonts w:ascii="Arial" w:hAnsi="Arial"/>
                <w:b w:val="0"/>
                <w:sz w:val="16"/>
              </w:rPr>
              <w:t>Settlement/release 2025</w:t>
            </w:r>
          </w:p>
        </w:tc>
        <w:tc>
          <w:tcPr>
            <w:tcW w:type="dxa" w:w="1872"/>
            <w:vAlign w:val="center"/>
          </w:tcPr>
          <w:p>
            <w:pPr>
              <w:spacing w:after="0"/>
            </w:pPr>
            <w:r/>
            <w:r>
              <w:rPr>
                <w:rFonts w:ascii="Arial" w:hAnsi="Arial"/>
                <w:b w:val="0"/>
                <w:sz w:val="16"/>
              </w:rPr>
              <w:t>Clear</w:t>
            </w:r>
          </w:p>
        </w:tc>
      </w:tr>
      <w:tr>
        <w:tc>
          <w:tcPr>
            <w:tcW w:type="dxa" w:w="3024"/>
            <w:vAlign w:val="center"/>
          </w:tcPr>
          <w:p>
            <w:pPr>
              <w:spacing w:after="0"/>
            </w:pPr>
            <w:r/>
            <w:r>
              <w:rPr>
                <w:rFonts w:ascii="Arial" w:hAnsi="Arial"/>
                <w:b w:val="0"/>
                <w:sz w:val="16"/>
              </w:rPr>
              <w:t>HDFC residual charge</w:t>
            </w:r>
          </w:p>
        </w:tc>
        <w:tc>
          <w:tcPr>
            <w:tcW w:type="dxa" w:w="1944"/>
            <w:vAlign w:val="center"/>
          </w:tcPr>
          <w:p>
            <w:pPr>
              <w:spacing w:after="0"/>
            </w:pPr>
            <w:r/>
            <w:r>
              <w:rPr>
                <w:rFonts w:ascii="Arial" w:hAnsi="Arial"/>
                <w:b w:val="0"/>
                <w:sz w:val="16"/>
              </w:rPr>
              <w:t>$135,000</w:t>
            </w:r>
          </w:p>
        </w:tc>
        <w:tc>
          <w:tcPr>
            <w:tcW w:type="dxa" w:w="3384"/>
            <w:vAlign w:val="center"/>
          </w:tcPr>
          <w:p>
            <w:pPr>
              <w:spacing w:after="0"/>
            </w:pPr>
            <w:r/>
            <w:r>
              <w:rPr>
                <w:rFonts w:ascii="Arial" w:hAnsi="Arial"/>
                <w:b w:val="0"/>
                <w:sz w:val="16"/>
              </w:rPr>
              <w:t>Release in 2025</w:t>
            </w:r>
          </w:p>
        </w:tc>
        <w:tc>
          <w:tcPr>
            <w:tcW w:type="dxa" w:w="1872"/>
            <w:vAlign w:val="center"/>
          </w:tcPr>
          <w:p>
            <w:pPr>
              <w:spacing w:after="0"/>
            </w:pPr>
            <w:r/>
            <w:r>
              <w:rPr>
                <w:rFonts w:ascii="Arial" w:hAnsi="Arial"/>
                <w:b w:val="0"/>
                <w:sz w:val="16"/>
              </w:rPr>
              <w:t>Clear</w:t>
            </w:r>
          </w:p>
        </w:tc>
      </w:tr>
    </w:tbl>
    <w:p>
      <w:pPr>
        <w:spacing w:before="100" w:after="40"/>
      </w:pPr>
      <w:r>
        <w:rPr>
          <w:rFonts w:ascii="Arial" w:hAnsi="Arial"/>
          <w:b/>
          <w:sz w:val="22"/>
        </w:rPr>
        <w:t>8. CURRENT ENCUMBRANCE STATUS — 30 SEPTEMBER 2026</w:t>
      </w:r>
    </w:p>
    <w:p>
      <w:pPr>
        <w:spacing w:after="60"/>
      </w:pPr>
      <w:r>
        <w:rPr>
          <w:b/>
          <w:sz w:val="20"/>
        </w:rPr>
        <w:t>ILLUSTRATIVE CONCLUSION: NIL SUBSISTING ENCUMBRANCE</w:t>
      </w:r>
    </w:p>
    <w:p>
      <w:pPr>
        <w:spacing w:after="40"/>
      </w:pPr>
      <w:r>
        <w:rPr>
          <w:sz w:val="17"/>
        </w:rPr>
        <w:t>Based solely on the hypothetical records and assumptions set out in this Report, all historical mortgages, deeds of trust, bank security interests, civil claims, property-tax demands and contractor claims affecting the Property have been fully repaid, discharged, settled, withdrawn or otherwise resolved before the search cut-off date.</w:t>
      </w:r>
    </w:p>
    <w:p>
      <w:pPr>
        <w:spacing w:after="30"/>
        <w:ind w:left="230" w:hanging="230"/>
      </w:pPr>
      <w:r>
        <w:rPr>
          <w:b/>
        </w:rPr>
        <w:t xml:space="preserve">• </w:t>
      </w:r>
      <w:r>
        <w:rPr>
          <w:sz w:val="17"/>
        </w:rPr>
        <w:t>No subsisting mortgage, deed of trust or lender charge is assumed to remain recorded against the Property.</w:t>
      </w:r>
    </w:p>
    <w:p>
      <w:pPr>
        <w:spacing w:after="30"/>
        <w:ind w:left="230" w:hanging="230"/>
      </w:pPr>
      <w:r>
        <w:rPr>
          <w:b/>
        </w:rPr>
        <w:t xml:space="preserve">• </w:t>
      </w:r>
      <w:r>
        <w:rPr>
          <w:sz w:val="17"/>
        </w:rPr>
        <w:t>No pending ownership/title dispute is assumed to remain.</w:t>
      </w:r>
    </w:p>
    <w:p>
      <w:pPr>
        <w:spacing w:after="30"/>
        <w:ind w:left="230" w:hanging="230"/>
      </w:pPr>
      <w:r>
        <w:rPr>
          <w:b/>
        </w:rPr>
        <w:t xml:space="preserve">• </w:t>
      </w:r>
      <w:r>
        <w:rPr>
          <w:sz w:val="17"/>
        </w:rPr>
        <w:t>No outstanding property-tax demand is assumed to remain.</w:t>
      </w:r>
    </w:p>
    <w:p>
      <w:pPr>
        <w:spacing w:after="30"/>
        <w:ind w:left="230" w:hanging="230"/>
      </w:pPr>
      <w:r>
        <w:rPr>
          <w:b/>
        </w:rPr>
        <w:t xml:space="preserve">• </w:t>
      </w:r>
      <w:r>
        <w:rPr>
          <w:sz w:val="17"/>
        </w:rPr>
        <w:t>No contractor lien, payment claim or third-party charge is assumed to remain.</w:t>
      </w:r>
    </w:p>
    <w:p>
      <w:pPr>
        <w:spacing w:after="30"/>
        <w:ind w:left="230" w:hanging="230"/>
      </w:pPr>
      <w:r>
        <w:rPr>
          <w:b/>
        </w:rPr>
        <w:t xml:space="preserve">• </w:t>
      </w:r>
      <w:r>
        <w:rPr>
          <w:sz w:val="17"/>
        </w:rPr>
        <w:t>The Seller is assumed to be in a position to transfer the Property free and clear of historical encumbrances.</w:t>
      </w:r>
    </w:p>
    <w:p>
      <w:pPr>
        <w:spacing w:after="30"/>
        <w:ind w:left="230" w:hanging="230"/>
      </w:pPr>
      <w:r>
        <w:rPr>
          <w:b/>
        </w:rPr>
        <w:t xml:space="preserve">• </w:t>
      </w:r>
      <w:r>
        <w:rPr>
          <w:sz w:val="17"/>
        </w:rPr>
        <w:t>The Property is therefore classified as “CLEAN / NIL SUBSISTING ENCUMBRANCE” for the purposes of this illustrative transaction record.</w:t>
      </w:r>
    </w:p>
    <w:p>
      <w:pPr>
        <w:spacing w:before="100" w:after="40"/>
      </w:pPr>
      <w:r>
        <w:rPr>
          <w:rFonts w:ascii="Arial" w:hAnsi="Arial"/>
          <w:b/>
          <w:sz w:val="22"/>
        </w:rPr>
        <w:t>9. DOCUMENTS TO BE OBTAINED FOR ACTUAL DUE DILIGENCE</w:t>
      </w:r>
    </w:p>
    <w:p>
      <w:pPr>
        <w:spacing w:after="30"/>
        <w:ind w:left="230" w:hanging="230"/>
      </w:pPr>
      <w:r>
        <w:rPr>
          <w:b/>
        </w:rPr>
        <w:t xml:space="preserve">• </w:t>
      </w:r>
      <w:r>
        <w:rPr>
          <w:sz w:val="17"/>
        </w:rPr>
        <w:t>Official/current title commitment or title search from a qualified Texas title company.</w:t>
      </w:r>
    </w:p>
    <w:p>
      <w:pPr>
        <w:spacing w:after="30"/>
        <w:ind w:left="230" w:hanging="230"/>
      </w:pPr>
      <w:r>
        <w:rPr>
          <w:b/>
        </w:rPr>
        <w:t xml:space="preserve">• </w:t>
      </w:r>
      <w:r>
        <w:rPr>
          <w:sz w:val="17"/>
        </w:rPr>
        <w:t>Certified copies of all historical deeds, deeds of trust, mortgage/security instruments and releases.</w:t>
      </w:r>
    </w:p>
    <w:p>
      <w:pPr>
        <w:spacing w:after="30"/>
        <w:ind w:left="230" w:hanging="230"/>
      </w:pPr>
      <w:r>
        <w:rPr>
          <w:b/>
        </w:rPr>
        <w:t xml:space="preserve">• </w:t>
      </w:r>
      <w:r>
        <w:rPr>
          <w:sz w:val="17"/>
        </w:rPr>
        <w:t>Original lender payoff letters, no-dues certificates and recorded releases/reconveyances.</w:t>
      </w:r>
    </w:p>
    <w:p>
      <w:pPr>
        <w:spacing w:after="30"/>
        <w:ind w:left="230" w:hanging="230"/>
      </w:pPr>
      <w:r>
        <w:rPr>
          <w:b/>
        </w:rPr>
        <w:t xml:space="preserve">• </w:t>
      </w:r>
      <w:r>
        <w:rPr>
          <w:sz w:val="17"/>
        </w:rPr>
        <w:t>Applicable UCC search results and termination statements, where relevant to the transaction.</w:t>
      </w:r>
    </w:p>
    <w:p>
      <w:pPr>
        <w:spacing w:after="30"/>
        <w:ind w:left="230" w:hanging="230"/>
      </w:pPr>
      <w:r>
        <w:rPr>
          <w:b/>
        </w:rPr>
        <w:t xml:space="preserve">• </w:t>
      </w:r>
      <w:r>
        <w:rPr>
          <w:sz w:val="17"/>
        </w:rPr>
        <w:t>Certified court records, consent terms and withdrawal/disposal records for historical disputes.</w:t>
      </w:r>
    </w:p>
    <w:p>
      <w:pPr>
        <w:spacing w:after="30"/>
        <w:ind w:left="230" w:hanging="230"/>
      </w:pPr>
      <w:r>
        <w:rPr>
          <w:b/>
        </w:rPr>
        <w:t xml:space="preserve">• </w:t>
      </w:r>
      <w:r>
        <w:rPr>
          <w:sz w:val="17"/>
        </w:rPr>
        <w:t>Current Dallas County / applicable taxing-authority property-tax paid receipts and no-dues/closure evidence.</w:t>
      </w:r>
    </w:p>
    <w:p>
      <w:pPr>
        <w:spacing w:after="30"/>
        <w:ind w:left="230" w:hanging="230"/>
      </w:pPr>
      <w:r>
        <w:rPr>
          <w:b/>
        </w:rPr>
        <w:t xml:space="preserve">• </w:t>
      </w:r>
      <w:r>
        <w:rPr>
          <w:sz w:val="17"/>
        </w:rPr>
        <w:t>Contractor settlement deed and release / no-claim certificate.</w:t>
      </w:r>
    </w:p>
    <w:p>
      <w:pPr>
        <w:spacing w:after="30"/>
        <w:ind w:left="230" w:hanging="230"/>
      </w:pPr>
      <w:r>
        <w:rPr>
          <w:b/>
        </w:rPr>
        <w:t xml:space="preserve">• </w:t>
      </w:r>
      <w:r>
        <w:rPr>
          <w:sz w:val="17"/>
        </w:rPr>
        <w:t>Current title search, certified legal description and survey, as applicable.</w:t>
      </w:r>
    </w:p>
    <w:p>
      <w:pPr>
        <w:spacing w:after="30"/>
        <w:ind w:left="230" w:hanging="230"/>
      </w:pPr>
      <w:r>
        <w:rPr>
          <w:b/>
        </w:rPr>
        <w:t xml:space="preserve">• </w:t>
      </w:r>
      <w:r>
        <w:rPr>
          <w:sz w:val="17"/>
        </w:rPr>
        <w:t>Current property tax, association/management and utility no-dues certificates, as applicable.</w:t>
      </w:r>
    </w:p>
    <w:p>
      <w:pPr>
        <w:spacing w:after="30"/>
        <w:ind w:left="230" w:hanging="230"/>
      </w:pPr>
      <w:r>
        <w:rPr>
          <w:b/>
        </w:rPr>
        <w:t xml:space="preserve">• </w:t>
      </w:r>
      <w:r>
        <w:rPr>
          <w:sz w:val="17"/>
        </w:rPr>
        <w:t>Final deed and county recording records confirming transfer to the Purchaser.</w:t>
      </w:r>
    </w:p>
    <w:p>
      <w:pPr>
        <w:spacing w:before="100" w:after="40"/>
      </w:pPr>
      <w:r>
        <w:rPr>
          <w:rFonts w:ascii="Arial" w:hAnsi="Arial"/>
          <w:b/>
          <w:sz w:val="22"/>
        </w:rPr>
        <w:t>10. SELLER'S DECLARATION — ILLUSTRATIVE</w:t>
      </w:r>
    </w:p>
    <w:p>
      <w:r>
        <w:rPr>
          <w:sz w:val="17"/>
        </w:rPr>
        <w:t>The Seller, Apex Industrial Assets Private Limited, is assumed for purposes of this illustrative Report to declare that all loans, mortgages, deeds of trust, security interests, liens, claims and disputes historically affecting the Property have been fully discharged or resolved, that no undisclosed third-party rights remain, and that the Property is capable of being transferred to LMN Asset Pvt. Ltd. free from historical encumbrances, subject to official verification.</w:t>
      </w:r>
    </w:p>
    <w:p>
      <w:pPr>
        <w:spacing w:before="100" w:after="40"/>
      </w:pPr>
      <w:r>
        <w:rPr>
          <w:rFonts w:ascii="Arial" w:hAnsi="Arial"/>
          <w:b/>
          <w:sz w:val="22"/>
        </w:rPr>
        <w:t>11. CERTIFICATION STATUS AND LIMITATION</w:t>
      </w:r>
    </w:p>
    <w:p>
      <w:r>
        <w:rPr>
          <w:sz w:val="17"/>
        </w:rPr>
        <w:t>This Report is an illustrative / dummy-data document prepared to demonstrate how a clean-property encumbrance history may be documented for a U.S. real-estate transaction. It is not issued by a county recorder, title company, court, bank, taxing authority or any other government/statutory body. The recording numbers, case numbers, dates, lender details, amounts and other particulars in this Report are fictional and must not be represented as official records.</w:t>
      </w:r>
    </w:p>
    <w:p>
      <w:r>
        <w:rPr>
          <w:sz w:val="17"/>
        </w:rPr>
        <w:t>For a real transaction, the historical entries and final nil-encumbrance conclusion must be established through official title searches, county records, UCC searches where applicable, court records and original/certified supporting documents. Qualified U.S. real-estate counsel and/or a title company should independently verify title, recording, mortgage/deed-of-trust release, litigation, tax and other applicable records before closing.</w:t>
      </w:r>
    </w:p>
    <w:p>
      <w:pPr>
        <w:spacing w:before="100" w:after="40"/>
      </w:pPr>
      <w:r>
        <w:rPr>
          <w:rFonts w:ascii="Arial" w:hAnsi="Arial"/>
          <w:b/>
          <w:sz w:val="22"/>
        </w:rPr>
        <w:t>12. SIGN-OFF / TRANSACTION FILE COPY</w:t>
      </w:r>
    </w:p>
    <w:tbl>
      <w:tblPr>
        <w:tblStyle w:val="TableGrid"/>
        <w:tblW w:type="auto" w:w="0"/>
        <w:jc w:val="center"/>
        <w:tblLook w:firstColumn="1" w:firstRow="1" w:lastColumn="0" w:lastRow="0" w:noHBand="0" w:noVBand="1" w:val="04A0"/>
      </w:tblPr>
      <w:tblGrid>
        <w:gridCol w:w="5328"/>
        <w:gridCol w:w="5328"/>
      </w:tblGrid>
      <w:tr>
        <w:tc>
          <w:tcPr>
            <w:tcW w:type="dxa" w:w="3096"/>
            <w:vAlign w:val="center"/>
          </w:tcPr>
          <w:p>
            <w:pPr>
              <w:spacing w:after="0"/>
            </w:pPr>
            <w:r/>
            <w:r>
              <w:rPr>
                <w:rFonts w:ascii="Arial" w:hAnsi="Arial"/>
                <w:b w:val="0"/>
                <w:sz w:val="16"/>
              </w:rPr>
              <w:t>Document</w:t>
            </w:r>
          </w:p>
        </w:tc>
        <w:tc>
          <w:tcPr>
            <w:tcW w:type="dxa" w:w="7128"/>
            <w:vAlign w:val="center"/>
          </w:tcPr>
          <w:p>
            <w:pPr>
              <w:spacing w:after="0"/>
            </w:pPr>
            <w:r/>
            <w:r>
              <w:rPr>
                <w:rFonts w:ascii="Arial" w:hAnsi="Arial"/>
                <w:b w:val="0"/>
                <w:sz w:val="16"/>
              </w:rPr>
              <w:t>Illustrative Encumbrance Search Report</w:t>
            </w:r>
          </w:p>
        </w:tc>
      </w:tr>
      <w:tr>
        <w:tc>
          <w:tcPr>
            <w:tcW w:type="dxa" w:w="3096"/>
            <w:vAlign w:val="center"/>
          </w:tcPr>
          <w:p>
            <w:pPr>
              <w:spacing w:after="0"/>
            </w:pPr>
            <w:r/>
            <w:r>
              <w:rPr>
                <w:rFonts w:ascii="Arial" w:hAnsi="Arial"/>
                <w:b w:val="0"/>
                <w:sz w:val="16"/>
              </w:rPr>
              <w:t>Property</w:t>
            </w:r>
          </w:p>
        </w:tc>
        <w:tc>
          <w:tcPr>
            <w:tcW w:type="dxa" w:w="7128"/>
            <w:vAlign w:val="center"/>
          </w:tcPr>
          <w:p>
            <w:pPr>
              <w:spacing w:after="0"/>
            </w:pPr>
            <w:r/>
            <w:r>
              <w:rPr>
                <w:rFonts w:ascii="Arial" w:hAnsi="Arial"/>
                <w:b w:val="0"/>
                <w:sz w:val="16"/>
              </w:rPr>
              <w:t>Office Unit 7B, Commerce Business Center, Dallas, Texas, USA</w:t>
            </w:r>
          </w:p>
        </w:tc>
      </w:tr>
      <w:tr>
        <w:tc>
          <w:tcPr>
            <w:tcW w:type="dxa" w:w="3096"/>
            <w:vAlign w:val="center"/>
          </w:tcPr>
          <w:p>
            <w:pPr>
              <w:spacing w:after="0"/>
            </w:pPr>
            <w:r/>
            <w:r>
              <w:rPr>
                <w:rFonts w:ascii="Arial" w:hAnsi="Arial"/>
                <w:b w:val="0"/>
                <w:sz w:val="16"/>
              </w:rPr>
              <w:t>Search Cut-off</w:t>
            </w:r>
          </w:p>
        </w:tc>
        <w:tc>
          <w:tcPr>
            <w:tcW w:type="dxa" w:w="7128"/>
            <w:vAlign w:val="center"/>
          </w:tcPr>
          <w:p>
            <w:pPr>
              <w:spacing w:after="0"/>
            </w:pPr>
            <w:r/>
            <w:r>
              <w:rPr>
                <w:rFonts w:ascii="Arial" w:hAnsi="Arial"/>
                <w:b w:val="0"/>
                <w:sz w:val="16"/>
              </w:rPr>
              <w:t>30 September 2026</w:t>
            </w:r>
          </w:p>
        </w:tc>
      </w:tr>
      <w:tr>
        <w:tc>
          <w:tcPr>
            <w:tcW w:type="dxa" w:w="3096"/>
            <w:vAlign w:val="center"/>
          </w:tcPr>
          <w:p>
            <w:pPr>
              <w:spacing w:after="0"/>
            </w:pPr>
            <w:r/>
            <w:r>
              <w:rPr>
                <w:rFonts w:ascii="Arial" w:hAnsi="Arial"/>
                <w:b w:val="0"/>
                <w:sz w:val="16"/>
              </w:rPr>
              <w:t>Currency</w:t>
            </w:r>
          </w:p>
        </w:tc>
        <w:tc>
          <w:tcPr>
            <w:tcW w:type="dxa" w:w="7128"/>
            <w:vAlign w:val="center"/>
          </w:tcPr>
          <w:p>
            <w:pPr>
              <w:spacing w:after="0"/>
            </w:pPr>
            <w:r/>
            <w:r>
              <w:rPr>
                <w:rFonts w:ascii="Arial" w:hAnsi="Arial"/>
                <w:b w:val="0"/>
                <w:sz w:val="16"/>
              </w:rPr>
              <w:t>USD</w:t>
            </w:r>
          </w:p>
        </w:tc>
      </w:tr>
      <w:tr>
        <w:tc>
          <w:tcPr>
            <w:tcW w:type="dxa" w:w="3096"/>
            <w:vAlign w:val="center"/>
          </w:tcPr>
          <w:p>
            <w:pPr>
              <w:spacing w:after="0"/>
            </w:pPr>
            <w:r/>
            <w:r>
              <w:rPr>
                <w:rFonts w:ascii="Arial" w:hAnsi="Arial"/>
                <w:b w:val="0"/>
                <w:sz w:val="16"/>
              </w:rPr>
              <w:t>Prepared For</w:t>
            </w:r>
          </w:p>
        </w:tc>
        <w:tc>
          <w:tcPr>
            <w:tcW w:type="dxa" w:w="7128"/>
            <w:vAlign w:val="center"/>
          </w:tcPr>
          <w:p>
            <w:pPr>
              <w:spacing w:after="0"/>
            </w:pPr>
            <w:r/>
            <w:r>
              <w:rPr>
                <w:rFonts w:ascii="Arial" w:hAnsi="Arial"/>
                <w:b w:val="0"/>
                <w:sz w:val="16"/>
              </w:rPr>
              <w:t>LMN Asset Pvt. Ltd.</w:t>
            </w:r>
          </w:p>
        </w:tc>
      </w:tr>
      <w:tr>
        <w:tc>
          <w:tcPr>
            <w:tcW w:type="dxa" w:w="3096"/>
            <w:vAlign w:val="center"/>
          </w:tcPr>
          <w:p>
            <w:pPr>
              <w:spacing w:after="0"/>
            </w:pPr>
            <w:r/>
            <w:r>
              <w:rPr>
                <w:rFonts w:ascii="Arial" w:hAnsi="Arial"/>
                <w:b w:val="0"/>
                <w:sz w:val="16"/>
              </w:rPr>
              <w:t>Prepared By</w:t>
            </w:r>
          </w:p>
        </w:tc>
        <w:tc>
          <w:tcPr>
            <w:tcW w:type="dxa" w:w="7128"/>
            <w:vAlign w:val="center"/>
          </w:tcPr>
          <w:p>
            <w:pPr>
              <w:spacing w:after="0"/>
            </w:pPr>
            <w:r/>
            <w:r>
              <w:rPr>
                <w:rFonts w:ascii="Arial" w:hAnsi="Arial"/>
                <w:b w:val="0"/>
                <w:sz w:val="16"/>
              </w:rPr>
              <w:t>Transaction / Asset Due-Diligence Team</w:t>
            </w:r>
          </w:p>
        </w:tc>
      </w:tr>
      <w:tr>
        <w:tc>
          <w:tcPr>
            <w:tcW w:type="dxa" w:w="3096"/>
            <w:vAlign w:val="center"/>
          </w:tcPr>
          <w:p>
            <w:pPr>
              <w:spacing w:after="0"/>
            </w:pPr>
            <w:r/>
            <w:r>
              <w:rPr>
                <w:rFonts w:ascii="Arial" w:hAnsi="Arial"/>
                <w:b w:val="0"/>
                <w:sz w:val="16"/>
              </w:rPr>
              <w:t>Review Status</w:t>
            </w:r>
          </w:p>
        </w:tc>
        <w:tc>
          <w:tcPr>
            <w:tcW w:type="dxa" w:w="7128"/>
            <w:vAlign w:val="center"/>
          </w:tcPr>
          <w:p>
            <w:pPr>
              <w:spacing w:after="0"/>
            </w:pPr>
            <w:r/>
            <w:r>
              <w:rPr>
                <w:rFonts w:ascii="Arial" w:hAnsi="Arial"/>
                <w:b w:val="0"/>
                <w:sz w:val="16"/>
              </w:rPr>
              <w:t>Illustrative — Subject to independent verification</w:t>
            </w:r>
          </w:p>
        </w:tc>
      </w:tr>
      <w:tr>
        <w:tc>
          <w:tcPr>
            <w:tcW w:type="dxa" w:w="3096"/>
            <w:vAlign w:val="center"/>
          </w:tcPr>
          <w:p>
            <w:pPr>
              <w:spacing w:after="0"/>
            </w:pPr>
            <w:r/>
            <w:r>
              <w:rPr>
                <w:rFonts w:ascii="Arial" w:hAnsi="Arial"/>
                <w:b w:val="0"/>
                <w:sz w:val="16"/>
              </w:rPr>
              <w:t>FINAL ILLUSTRATIVE STATUS</w:t>
            </w:r>
          </w:p>
        </w:tc>
        <w:tc>
          <w:tcPr>
            <w:tcW w:type="dxa" w:w="7128"/>
            <w:vAlign w:val="center"/>
          </w:tcPr>
          <w:p>
            <w:pPr>
              <w:spacing w:after="0"/>
            </w:pPr>
            <w:r/>
            <w:r>
              <w:rPr>
                <w:rFonts w:ascii="Arial" w:hAnsi="Arial"/>
                <w:b w:val="0"/>
                <w:sz w:val="16"/>
              </w:rPr>
              <w:t>NIL SUBSISTING ENCUMBRANCE / PROPERTY CLEAN</w:t>
            </w:r>
          </w:p>
        </w:tc>
      </w:tr>
    </w:tbl>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4"/>
      </w:rPr>
      <w:t>PROPERTY DUE DILIGENCE | ENCUMBRANCE SEARCH REPORT | ILLUSTRATIVE USA / USD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