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b/>
          <w:sz w:val="20"/>
        </w:rPr>
        <w:t>LMN ASSET PVT. LTD.</w:t>
      </w:r>
    </w:p>
    <w:p>
      <w:pPr>
        <w:spacing w:after="20"/>
        <w:jc w:val="center"/>
      </w:pPr>
      <w:r>
        <w:rPr>
          <w:b/>
          <w:sz w:val="16"/>
        </w:rPr>
        <w:t>Purchase Agreement | Confidential</w:t>
      </w:r>
    </w:p>
    <w:p>
      <w:pPr>
        <w:spacing w:after="40"/>
        <w:jc w:val="center"/>
      </w:pPr>
      <w:r>
        <w:rPr>
          <w:b/>
          <w:sz w:val="34"/>
        </w:rPr>
        <w:t>PURCHASE AGREEMENT</w:t>
      </w:r>
    </w:p>
    <w:p>
      <w:pPr>
        <w:spacing w:after="60"/>
        <w:jc w:val="center"/>
      </w:pPr>
      <w:r>
        <w:rPr>
          <w:b/>
          <w:sz w:val="21"/>
        </w:rPr>
        <w:t>Commercial Office Property — Dallas, Texas, USA</w:t>
      </w:r>
    </w:p>
    <w:tbl>
      <w:tblPr>
        <w:tblStyle w:val="TableGrid"/>
        <w:tblW w:type="auto" w:w="0"/>
        <w:jc w:val="center"/>
        <w:tblLook w:firstColumn="1" w:firstRow="1" w:lastColumn="0" w:lastRow="0" w:noHBand="0" w:noVBand="1" w:val="04A0"/>
      </w:tblPr>
      <w:tblGrid>
        <w:gridCol w:w="5328"/>
        <w:gridCol w:w="5328"/>
      </w:tblGrid>
      <w:tr>
        <w:tc>
          <w:tcPr>
            <w:tcW w:type="dxa" w:w="2880"/>
            <w:vAlign w:val="center"/>
          </w:tcPr>
          <w:p>
            <w:pPr>
              <w:spacing w:after="0"/>
            </w:pPr>
            <w:r/>
            <w:r>
              <w:rPr>
                <w:rFonts w:ascii="Arial" w:hAnsi="Arial"/>
                <w:b w:val="0"/>
                <w:sz w:val="16"/>
              </w:rPr>
              <w:t>Purchaser</w:t>
            </w:r>
          </w:p>
        </w:tc>
        <w:tc>
          <w:tcPr>
            <w:tcW w:type="dxa" w:w="7344"/>
            <w:vAlign w:val="center"/>
          </w:tcPr>
          <w:p>
            <w:pPr>
              <w:spacing w:after="0"/>
            </w:pPr>
            <w:r/>
            <w:r>
              <w:rPr>
                <w:rFonts w:ascii="Arial" w:hAnsi="Arial"/>
                <w:b w:val="0"/>
                <w:sz w:val="16"/>
              </w:rPr>
              <w:t>LMN Asset Pvt. Ltd.</w:t>
            </w:r>
          </w:p>
        </w:tc>
      </w:tr>
      <w:tr>
        <w:tc>
          <w:tcPr>
            <w:tcW w:type="dxa" w:w="2880"/>
            <w:vAlign w:val="center"/>
          </w:tcPr>
          <w:p>
            <w:pPr>
              <w:spacing w:after="0"/>
            </w:pPr>
            <w:r/>
            <w:r>
              <w:rPr>
                <w:rFonts w:ascii="Arial" w:hAnsi="Arial"/>
                <w:b w:val="0"/>
                <w:sz w:val="16"/>
              </w:rPr>
              <w:t>Seller</w:t>
            </w:r>
          </w:p>
        </w:tc>
        <w:tc>
          <w:tcPr>
            <w:tcW w:type="dxa" w:w="7344"/>
            <w:vAlign w:val="center"/>
          </w:tcPr>
          <w:p>
            <w:pPr>
              <w:spacing w:after="0"/>
            </w:pPr>
            <w:r/>
            <w:r>
              <w:rPr>
                <w:rFonts w:ascii="Arial" w:hAnsi="Arial"/>
                <w:b w:val="0"/>
                <w:sz w:val="16"/>
              </w:rPr>
              <w:t>Apex Industrial Assets Private Limited</w:t>
            </w:r>
          </w:p>
        </w:tc>
      </w:tr>
      <w:tr>
        <w:tc>
          <w:tcPr>
            <w:tcW w:type="dxa" w:w="2880"/>
            <w:vAlign w:val="center"/>
          </w:tcPr>
          <w:p>
            <w:pPr>
              <w:spacing w:after="0"/>
            </w:pPr>
            <w:r/>
            <w:r>
              <w:rPr>
                <w:rFonts w:ascii="Arial" w:hAnsi="Arial"/>
                <w:b w:val="0"/>
                <w:sz w:val="16"/>
              </w:rPr>
              <w:t>Purchase / Transaction</w:t>
            </w:r>
          </w:p>
        </w:tc>
        <w:tc>
          <w:tcPr>
            <w:tcW w:type="dxa" w:w="7344"/>
            <w:vAlign w:val="center"/>
          </w:tcPr>
          <w:p>
            <w:pPr>
              <w:spacing w:after="0"/>
            </w:pPr>
            <w:r/>
            <w:r>
              <w:rPr>
                <w:rFonts w:ascii="Arial" w:hAnsi="Arial"/>
                <w:b w:val="0"/>
                <w:sz w:val="16"/>
              </w:rPr>
              <w:t>Commercial office property, Unit 804, 8th Floor, Commerce Business Center, Dallas, Texas 75201, USA</w:t>
            </w:r>
          </w:p>
        </w:tc>
      </w:tr>
      <w:tr>
        <w:tc>
          <w:tcPr>
            <w:tcW w:type="dxa" w:w="2880"/>
            <w:vAlign w:val="center"/>
          </w:tcPr>
          <w:p>
            <w:pPr>
              <w:spacing w:after="0"/>
            </w:pPr>
            <w:r/>
            <w:r>
              <w:rPr>
                <w:rFonts w:ascii="Arial" w:hAnsi="Arial"/>
                <w:b w:val="0"/>
                <w:sz w:val="16"/>
              </w:rPr>
              <w:t>Agreement Date</w:t>
            </w:r>
          </w:p>
        </w:tc>
        <w:tc>
          <w:tcPr>
            <w:tcW w:type="dxa" w:w="7344"/>
            <w:vAlign w:val="center"/>
          </w:tcPr>
          <w:p>
            <w:pPr>
              <w:spacing w:after="0"/>
            </w:pPr>
            <w:r/>
            <w:r>
              <w:rPr>
                <w:rFonts w:ascii="Arial" w:hAnsi="Arial"/>
                <w:b w:val="0"/>
                <w:sz w:val="16"/>
              </w:rPr>
              <w:t>01 September 2026</w:t>
            </w:r>
          </w:p>
        </w:tc>
      </w:tr>
      <w:tr>
        <w:tc>
          <w:tcPr>
            <w:tcW w:type="dxa" w:w="2880"/>
            <w:vAlign w:val="center"/>
          </w:tcPr>
          <w:p>
            <w:pPr>
              <w:spacing w:after="0"/>
            </w:pPr>
            <w:r/>
            <w:r>
              <w:rPr>
                <w:rFonts w:ascii="Arial" w:hAnsi="Arial"/>
                <w:b w:val="0"/>
                <w:sz w:val="16"/>
              </w:rPr>
              <w:t>Effective Date</w:t>
            </w:r>
          </w:p>
        </w:tc>
        <w:tc>
          <w:tcPr>
            <w:tcW w:type="dxa" w:w="7344"/>
            <w:vAlign w:val="center"/>
          </w:tcPr>
          <w:p>
            <w:pPr>
              <w:spacing w:after="0"/>
            </w:pPr>
            <w:r/>
            <w:r>
              <w:rPr>
                <w:rFonts w:ascii="Arial" w:hAnsi="Arial"/>
                <w:b w:val="0"/>
                <w:sz w:val="16"/>
              </w:rPr>
              <w:t>01 September 2026</w:t>
            </w:r>
          </w:p>
        </w:tc>
      </w:tr>
      <w:tr>
        <w:tc>
          <w:tcPr>
            <w:tcW w:type="dxa" w:w="2880"/>
            <w:vAlign w:val="center"/>
          </w:tcPr>
          <w:p>
            <w:pPr>
              <w:spacing w:after="0"/>
            </w:pPr>
            <w:r/>
            <w:r>
              <w:rPr>
                <w:rFonts w:ascii="Arial" w:hAnsi="Arial"/>
                <w:b w:val="0"/>
                <w:sz w:val="16"/>
              </w:rPr>
              <w:t>Purchase Price</w:t>
            </w:r>
          </w:p>
        </w:tc>
        <w:tc>
          <w:tcPr>
            <w:tcW w:type="dxa" w:w="7344"/>
            <w:vAlign w:val="center"/>
          </w:tcPr>
          <w:p>
            <w:pPr>
              <w:spacing w:after="0"/>
            </w:pPr>
            <w:r/>
            <w:r>
              <w:rPr>
                <w:rFonts w:ascii="Arial" w:hAnsi="Arial"/>
                <w:b w:val="0"/>
                <w:sz w:val="16"/>
              </w:rPr>
              <w:t>$2,200,000 USD</w:t>
            </w:r>
          </w:p>
        </w:tc>
      </w:tr>
      <w:tr>
        <w:tc>
          <w:tcPr>
            <w:tcW w:type="dxa" w:w="2880"/>
            <w:vAlign w:val="center"/>
          </w:tcPr>
          <w:p>
            <w:pPr>
              <w:spacing w:after="0"/>
            </w:pPr>
            <w:r/>
            <w:r>
              <w:rPr>
                <w:rFonts w:ascii="Arial" w:hAnsi="Arial"/>
                <w:b w:val="0"/>
                <w:sz w:val="16"/>
              </w:rPr>
              <w:t>Approximate Area</w:t>
            </w:r>
          </w:p>
        </w:tc>
        <w:tc>
          <w:tcPr>
            <w:tcW w:type="dxa" w:w="7344"/>
            <w:vAlign w:val="center"/>
          </w:tcPr>
          <w:p>
            <w:pPr>
              <w:spacing w:after="0"/>
            </w:pPr>
            <w:r/>
            <w:r>
              <w:rPr>
                <w:rFonts w:ascii="Arial" w:hAnsi="Arial"/>
                <w:b w:val="0"/>
                <w:sz w:val="16"/>
              </w:rPr>
              <w:t>3,250 sq. ft.</w:t>
            </w:r>
          </w:p>
        </w:tc>
      </w:tr>
      <w:tr>
        <w:tc>
          <w:tcPr>
            <w:tcW w:type="dxa" w:w="2880"/>
            <w:vAlign w:val="center"/>
          </w:tcPr>
          <w:p>
            <w:pPr>
              <w:spacing w:after="0"/>
            </w:pPr>
            <w:r/>
            <w:r>
              <w:rPr>
                <w:rFonts w:ascii="Arial" w:hAnsi="Arial"/>
                <w:b w:val="0"/>
                <w:sz w:val="16"/>
              </w:rPr>
              <w:t>Completion Date</w:t>
            </w:r>
          </w:p>
        </w:tc>
        <w:tc>
          <w:tcPr>
            <w:tcW w:type="dxa" w:w="7344"/>
            <w:vAlign w:val="center"/>
          </w:tcPr>
          <w:p>
            <w:pPr>
              <w:spacing w:after="0"/>
            </w:pPr>
            <w:r/>
            <w:r>
              <w:rPr>
                <w:rFonts w:ascii="Arial" w:hAnsi="Arial"/>
                <w:b w:val="0"/>
                <w:sz w:val="16"/>
              </w:rPr>
              <w:t>30 September 2026</w:t>
            </w:r>
          </w:p>
        </w:tc>
      </w:tr>
    </w:tbl>
    <w:p>
      <w:pPr>
        <w:spacing w:before="100" w:after="40"/>
      </w:pPr>
      <w:r>
        <w:rPr>
          <w:rFonts w:ascii="Arial" w:hAnsi="Arial"/>
          <w:b/>
          <w:sz w:val="22"/>
        </w:rPr>
        <w:t>PURCHASE AGREEMENT</w:t>
      </w:r>
    </w:p>
    <w:p>
      <w:pPr>
        <w:spacing w:after="60"/>
      </w:pPr>
      <w:r>
        <w:rPr>
          <w:sz w:val="17"/>
        </w:rPr>
        <w:t>This Purchase Agreement (the “Agreement”) is made and entered into on 01 September 2026 (the “Effective Date”) by and between:</w:t>
      </w:r>
    </w:p>
    <w:p>
      <w:pPr>
        <w:spacing w:after="60"/>
      </w:pPr>
      <w:r>
        <w:rPr>
          <w:sz w:val="17"/>
        </w:rPr>
        <w:t>1. LMN Asset Pvt. Ltd., a company incorporated under applicable corporate law, having its registered office at 501, Business Tower, Dallas, Texas 75201, USA, hereinafter referred to as the “Purchaser”;</w:t>
      </w:r>
    </w:p>
    <w:p>
      <w:pPr>
        <w:spacing w:after="60"/>
      </w:pPr>
      <w:r>
        <w:rPr>
          <w:sz w:val="17"/>
        </w:rPr>
        <w:t>2. Apex Industrial Assets Private Limited, a company incorporated under applicable corporate law, having its registered office at 201, Commerce Business Center, Dallas, Texas 75201, USA, hereinafter referred to as the “Seller”.</w:t>
      </w:r>
    </w:p>
    <w:p>
      <w:pPr>
        <w:spacing w:after="60"/>
      </w:pPr>
      <w:r>
        <w:rPr>
          <w:sz w:val="17"/>
        </w:rPr>
        <w:t>The Purchaser and the Seller are individually a “Party” and collectively the “Parties”.</w:t>
      </w:r>
    </w:p>
    <w:p>
      <w:pPr>
        <w:spacing w:before="100" w:after="40"/>
      </w:pPr>
      <w:r>
        <w:rPr>
          <w:rFonts w:ascii="Arial" w:hAnsi="Arial"/>
          <w:b/>
          <w:sz w:val="22"/>
        </w:rPr>
        <w:t>1. RECITALS</w:t>
      </w:r>
    </w:p>
    <w:p>
      <w:pPr>
        <w:spacing w:after="30"/>
        <w:ind w:left="230" w:hanging="230"/>
      </w:pPr>
      <w:r>
        <w:rPr>
          <w:b/>
        </w:rPr>
        <w:t xml:space="preserve">• </w:t>
      </w:r>
      <w:r>
        <w:rPr>
          <w:sz w:val="17"/>
        </w:rPr>
        <w:t>The Seller represents that it is the lawful owner of, or is otherwise duly authorised to sell and transfer, the asset described in Schedule 1 (the “Purchased Asset”).</w:t>
      </w:r>
    </w:p>
    <w:p>
      <w:pPr>
        <w:spacing w:after="30"/>
        <w:ind w:left="230" w:hanging="230"/>
      </w:pPr>
      <w:r>
        <w:rPr>
          <w:b/>
        </w:rPr>
        <w:t xml:space="preserve">• </w:t>
      </w:r>
      <w:r>
        <w:rPr>
          <w:sz w:val="17"/>
        </w:rPr>
        <w:t>The Purchaser wishes to purchase the Purchased Asset from the Seller, and the Seller wishes to sell and transfer the Purchased Asset to the Purchaser, on the terms and conditions set out in this Agreement.</w:t>
      </w:r>
    </w:p>
    <w:p>
      <w:pPr>
        <w:spacing w:after="30"/>
        <w:ind w:left="230" w:hanging="230"/>
      </w:pPr>
      <w:r>
        <w:rPr>
          <w:b/>
        </w:rPr>
        <w:t xml:space="preserve">• </w:t>
      </w:r>
      <w:r>
        <w:rPr>
          <w:sz w:val="17"/>
        </w:rPr>
        <w:t>The Parties intend this Agreement to record the complete understanding governing the purchase, sale, transfer, delivery, payment and related obligations concerning the Purchased Asset.</w:t>
      </w:r>
    </w:p>
    <w:p>
      <w:pPr>
        <w:spacing w:before="100" w:after="40"/>
      </w:pPr>
      <w:r>
        <w:rPr>
          <w:rFonts w:ascii="Arial" w:hAnsi="Arial"/>
          <w:b/>
          <w:sz w:val="22"/>
        </w:rPr>
        <w:t>2. DEFINITIONS AND INTERPRETATION</w:t>
      </w:r>
    </w:p>
    <w:tbl>
      <w:tblPr>
        <w:tblStyle w:val="TableGrid"/>
        <w:tblW w:type="auto" w:w="0"/>
        <w:jc w:val="center"/>
        <w:tblLook w:firstColumn="1" w:firstRow="1" w:lastColumn="0" w:lastRow="0" w:noHBand="0" w:noVBand="1" w:val="04A0"/>
      </w:tblPr>
      <w:tblGrid>
        <w:gridCol w:w="5328"/>
        <w:gridCol w:w="5328"/>
      </w:tblGrid>
      <w:tr>
        <w:tc>
          <w:tcPr>
            <w:tcW w:type="dxa" w:w="2376"/>
            <w:vAlign w:val="center"/>
            <w:shd w:fill="D9E1F2"/>
          </w:tcPr>
          <w:p>
            <w:pPr>
              <w:spacing w:after="0"/>
            </w:pPr>
            <w:r/>
            <w:r>
              <w:rPr>
                <w:rFonts w:ascii="Arial" w:hAnsi="Arial"/>
                <w:b/>
                <w:sz w:val="16"/>
              </w:rPr>
              <w:t>Term</w:t>
            </w:r>
          </w:p>
        </w:tc>
        <w:tc>
          <w:tcPr>
            <w:tcW w:type="dxa" w:w="7848"/>
            <w:vAlign w:val="center"/>
            <w:shd w:fill="D9E1F2"/>
          </w:tcPr>
          <w:p>
            <w:pPr>
              <w:spacing w:after="0"/>
            </w:pPr>
            <w:r/>
            <w:r>
              <w:rPr>
                <w:rFonts w:ascii="Arial" w:hAnsi="Arial"/>
                <w:b/>
                <w:sz w:val="16"/>
              </w:rPr>
              <w:t>Meaning</w:t>
            </w:r>
          </w:p>
        </w:tc>
      </w:tr>
      <w:tr>
        <w:tc>
          <w:tcPr>
            <w:tcW w:type="dxa" w:w="2376"/>
            <w:vAlign w:val="center"/>
          </w:tcPr>
          <w:p>
            <w:pPr>
              <w:spacing w:after="0"/>
            </w:pPr>
            <w:r/>
            <w:r>
              <w:rPr>
                <w:rFonts w:ascii="Arial" w:hAnsi="Arial"/>
                <w:b w:val="0"/>
                <w:sz w:val="16"/>
              </w:rPr>
              <w:t>“Business Day”</w:t>
            </w:r>
          </w:p>
        </w:tc>
        <w:tc>
          <w:tcPr>
            <w:tcW w:type="dxa" w:w="7848"/>
            <w:vAlign w:val="center"/>
          </w:tcPr>
          <w:p>
            <w:pPr>
              <w:spacing w:after="0"/>
            </w:pPr>
            <w:r/>
            <w:r>
              <w:rPr>
                <w:rFonts w:ascii="Arial" w:hAnsi="Arial"/>
                <w:b w:val="0"/>
                <w:sz w:val="16"/>
              </w:rPr>
              <w:t>A day other than a Saturday, Sunday or federal/state holiday in Texas or Dallas County on which the relevant obligation is to be performed.</w:t>
            </w:r>
          </w:p>
        </w:tc>
      </w:tr>
      <w:tr>
        <w:tc>
          <w:tcPr>
            <w:tcW w:type="dxa" w:w="2376"/>
            <w:vAlign w:val="center"/>
          </w:tcPr>
          <w:p>
            <w:pPr>
              <w:spacing w:after="0"/>
            </w:pPr>
            <w:r/>
            <w:r>
              <w:rPr>
                <w:rFonts w:ascii="Arial" w:hAnsi="Arial"/>
                <w:b w:val="0"/>
                <w:sz w:val="16"/>
              </w:rPr>
              <w:t>“Completion Date”</w:t>
            </w:r>
          </w:p>
        </w:tc>
        <w:tc>
          <w:tcPr>
            <w:tcW w:type="dxa" w:w="7848"/>
            <w:vAlign w:val="center"/>
          </w:tcPr>
          <w:p>
            <w:pPr>
              <w:spacing w:after="0"/>
            </w:pPr>
            <w:r/>
            <w:r>
              <w:rPr>
                <w:rFonts w:ascii="Arial" w:hAnsi="Arial"/>
                <w:b w:val="0"/>
                <w:sz w:val="16"/>
              </w:rPr>
              <w:t>The date on which the conditions to completion are satisfied or waived and the Purchased Asset is transferred to the Purchaser in accordance with this Agreement.</w:t>
            </w:r>
          </w:p>
        </w:tc>
      </w:tr>
      <w:tr>
        <w:tc>
          <w:tcPr>
            <w:tcW w:type="dxa" w:w="2376"/>
            <w:vAlign w:val="center"/>
          </w:tcPr>
          <w:p>
            <w:pPr>
              <w:spacing w:after="0"/>
            </w:pPr>
            <w:r/>
            <w:r>
              <w:rPr>
                <w:rFonts w:ascii="Arial" w:hAnsi="Arial"/>
                <w:b w:val="0"/>
                <w:sz w:val="16"/>
              </w:rPr>
              <w:t>“Purchase Price”</w:t>
            </w:r>
          </w:p>
        </w:tc>
        <w:tc>
          <w:tcPr>
            <w:tcW w:type="dxa" w:w="7848"/>
            <w:vAlign w:val="center"/>
          </w:tcPr>
          <w:p>
            <w:pPr>
              <w:spacing w:after="0"/>
            </w:pPr>
            <w:r/>
            <w:r>
              <w:rPr>
                <w:rFonts w:ascii="Arial" w:hAnsi="Arial"/>
                <w:b w:val="0"/>
                <w:sz w:val="16"/>
              </w:rPr>
              <w:t>The aggregate consideration payable by the Purchaser for the Purchased Asset, as specified in Schedule 2.</w:t>
            </w:r>
          </w:p>
        </w:tc>
      </w:tr>
      <w:tr>
        <w:tc>
          <w:tcPr>
            <w:tcW w:type="dxa" w:w="2376"/>
            <w:vAlign w:val="center"/>
          </w:tcPr>
          <w:p>
            <w:pPr>
              <w:spacing w:after="0"/>
            </w:pPr>
            <w:r/>
            <w:r>
              <w:rPr>
                <w:rFonts w:ascii="Arial" w:hAnsi="Arial"/>
                <w:b w:val="0"/>
                <w:sz w:val="16"/>
              </w:rPr>
              <w:t>“Encumbrance”</w:t>
            </w:r>
          </w:p>
        </w:tc>
        <w:tc>
          <w:tcPr>
            <w:tcW w:type="dxa" w:w="7848"/>
            <w:vAlign w:val="center"/>
          </w:tcPr>
          <w:p>
            <w:pPr>
              <w:spacing w:after="0"/>
            </w:pPr>
            <w:r/>
            <w:r>
              <w:rPr>
                <w:rFonts w:ascii="Arial" w:hAnsi="Arial"/>
                <w:b w:val="0"/>
                <w:sz w:val="16"/>
              </w:rPr>
              <w:t>Any mortgage, deed of trust, lien, judgment lien, tax lien, UCC security interest, attachment, claim, option, restriction, third-party right or other encumbrance of any nature.</w:t>
            </w:r>
          </w:p>
        </w:tc>
      </w:tr>
      <w:tr>
        <w:tc>
          <w:tcPr>
            <w:tcW w:type="dxa" w:w="2376"/>
            <w:vAlign w:val="center"/>
          </w:tcPr>
          <w:p>
            <w:pPr>
              <w:spacing w:after="0"/>
            </w:pPr>
            <w:r/>
            <w:r>
              <w:rPr>
                <w:rFonts w:ascii="Arial" w:hAnsi="Arial"/>
                <w:b w:val="0"/>
                <w:sz w:val="16"/>
              </w:rPr>
              <w:t>“Losses”</w:t>
            </w:r>
          </w:p>
        </w:tc>
        <w:tc>
          <w:tcPr>
            <w:tcW w:type="dxa" w:w="7848"/>
            <w:vAlign w:val="center"/>
          </w:tcPr>
          <w:p>
            <w:pPr>
              <w:spacing w:after="0"/>
            </w:pPr>
            <w:r/>
            <w:r>
              <w:rPr>
                <w:rFonts w:ascii="Arial" w:hAnsi="Arial"/>
                <w:b w:val="0"/>
                <w:sz w:val="16"/>
              </w:rPr>
              <w:t>All losses, liabilities, damages, costs, claims, penalties, interest and reasonable professional expenses.</w:t>
            </w:r>
          </w:p>
        </w:tc>
      </w:tr>
    </w:tbl>
    <w:p>
      <w:pPr>
        <w:spacing w:before="100" w:after="40"/>
      </w:pPr>
      <w:r>
        <w:rPr>
          <w:rFonts w:ascii="Arial" w:hAnsi="Arial"/>
          <w:b/>
          <w:sz w:val="22"/>
        </w:rPr>
        <w:t>3. SALE AND PURCHASE</w:t>
      </w:r>
    </w:p>
    <w:p>
      <w:pPr>
        <w:spacing w:after="60"/>
      </w:pPr>
      <w:r>
        <w:rPr>
          <w:sz w:val="17"/>
        </w:rPr>
        <w:t>3.1 Subject to the terms of this Agreement, the Seller agrees to sell, assign, transfer and deliver the Purchased Asset, being the commercial office property described in Schedule 1, to the Purchaser, and the Purchaser agrees to purchase and accept the Purchased Asset.</w:t>
      </w:r>
    </w:p>
    <w:p>
      <w:pPr>
        <w:spacing w:after="60"/>
      </w:pPr>
      <w:r>
        <w:rPr>
          <w:sz w:val="17"/>
        </w:rPr>
        <w:t>3.2 The Purchased Asset shall be transferred together with all documents, records, certificates, title documents, licences, approvals, fixtures, access credentials and other items expressly identified in Schedule 1.</w:t>
      </w:r>
    </w:p>
    <w:p>
      <w:pPr>
        <w:spacing w:after="60"/>
      </w:pPr>
      <w:r>
        <w:rPr>
          <w:sz w:val="17"/>
        </w:rPr>
        <w:t>3.3 Unless expressly stated otherwise, the Seller shall deliver the Purchased Asset free and clear of all Encumbrances and third-party claims.</w:t>
      </w:r>
    </w:p>
    <w:p>
      <w:pPr>
        <w:spacing w:before="100" w:after="40"/>
      </w:pPr>
      <w:r>
        <w:rPr>
          <w:rFonts w:ascii="Arial" w:hAnsi="Arial"/>
          <w:b/>
          <w:sz w:val="22"/>
        </w:rPr>
        <w:t>4. PURCHASE PRICE AND PAYMENT</w:t>
      </w:r>
    </w:p>
    <w:p>
      <w:pPr>
        <w:spacing w:after="60"/>
      </w:pPr>
      <w:r>
        <w:rPr>
          <w:sz w:val="17"/>
        </w:rPr>
        <w:t>4.1 The total Purchase Price shall be $2,200,000 (Two Million Two Hundred Thousand U.S. Dollars only), exclusive/inclusive of applicable taxes and closing costs as specified in Schedule 2.</w:t>
      </w:r>
    </w:p>
    <w:p>
      <w:pPr>
        <w:spacing w:after="60"/>
      </w:pPr>
      <w:r>
        <w:rPr>
          <w:sz w:val="17"/>
        </w:rPr>
        <w:t>4.2 The Purchase Price shall be paid as follows: $220,000 (10%) as earnest deposit within 3 Business Days of execution; $660,000 (30%) upon satisfaction of the Conditions Precedent; and $1,320,000 (60%) on Completion against delivery of the completion documents and possession.</w:t>
      </w:r>
    </w:p>
    <w:p>
      <w:pPr>
        <w:spacing w:after="60"/>
      </w:pPr>
      <w:r>
        <w:rPr>
          <w:sz w:val="17"/>
        </w:rPr>
        <w:t>4.3 The Seller shall issue all legally required invoices, receipts and supporting documents. The Parties acknowledge that the tax treatment of the transfer shall be determined under applicable U.S. federal, Texas and local law based on the nature of the Purchased Asset.</w:t>
      </w:r>
    </w:p>
    <w:p>
      <w:pPr>
        <w:spacing w:after="60"/>
      </w:pPr>
      <w:r>
        <w:rPr>
          <w:sz w:val="17"/>
        </w:rPr>
        <w:t>4.4 The Purchaser may withhold or deduct any amount required to be withheld under applicable law and shall provide appropriate evidence of such withholding.</w:t>
      </w:r>
    </w:p>
    <w:p>
      <w:pPr>
        <w:spacing w:before="100" w:after="40"/>
      </w:pPr>
      <w:r>
        <w:rPr>
          <w:rFonts w:ascii="Arial" w:hAnsi="Arial"/>
          <w:b/>
          <w:sz w:val="22"/>
        </w:rPr>
        <w:t>5. CONDITIONS PRECEDENT</w:t>
      </w:r>
    </w:p>
    <w:p>
      <w:pPr>
        <w:spacing w:after="60"/>
      </w:pPr>
      <w:r>
        <w:rPr>
          <w:sz w:val="17"/>
        </w:rPr>
        <w:t>Completion shall be subject to satisfaction or written waiver by the Purchaser of the following conditions: (a) satisfactory verification of the Seller’s title and authority to sell; (b) completion of agreed due diligence and title search; (c) receipt of required governmental, regulatory, lender, title-company or third-party approvals; (d) execution and delivery of all ancillary documents; and (e) absence of any material adverse change affecting the Purchased Asset.</w:t>
      </w:r>
    </w:p>
    <w:p>
      <w:pPr>
        <w:spacing w:before="100" w:after="40"/>
      </w:pPr>
      <w:r>
        <w:rPr>
          <w:rFonts w:ascii="Arial" w:hAnsi="Arial"/>
          <w:b/>
          <w:sz w:val="22"/>
        </w:rPr>
        <w:t>6. COMPLETION AND TRANSFER OF TITLE</w:t>
      </w:r>
    </w:p>
    <w:p>
      <w:pPr>
        <w:spacing w:after="60"/>
      </w:pPr>
      <w:r>
        <w:rPr>
          <w:sz w:val="17"/>
        </w:rPr>
        <w:t>6.1 Completion shall occur on 30 September 2026, or such later date as the Parties may agree in writing.</w:t>
      </w:r>
    </w:p>
    <w:p>
      <w:pPr>
        <w:spacing w:after="60"/>
      </w:pPr>
      <w:r>
        <w:rPr>
          <w:sz w:val="17"/>
        </w:rPr>
        <w:t>6.2 At Completion, the Seller shall deliver possession/control of the Purchased Asset and all agreed transfer documents to the Purchaser.</w:t>
      </w:r>
    </w:p>
    <w:p>
      <w:pPr>
        <w:spacing w:after="60"/>
      </w:pPr>
      <w:r>
        <w:rPr>
          <w:sz w:val="17"/>
        </w:rPr>
        <w:t>6.3 Legal title and beneficial ownership shall pass in accordance with applicable Texas law upon execution and delivery/recording of the definitive deed or conveyance instrument and receipt of the full Purchase Price, as applicable to the Purchased Asset.</w:t>
      </w:r>
    </w:p>
    <w:p>
      <w:pPr>
        <w:spacing w:after="60"/>
      </w:pPr>
      <w:r>
        <w:rPr>
          <w:sz w:val="17"/>
        </w:rPr>
        <w:t>6.4 The Seller shall execute all further documents and take all reasonable actions required to perfect the Purchaser’s title, including cooperation with the title/escrow company and Dallas County recording process.</w:t>
      </w:r>
    </w:p>
    <w:p>
      <w:pPr>
        <w:spacing w:before="100" w:after="40"/>
      </w:pPr>
      <w:r>
        <w:rPr>
          <w:rFonts w:ascii="Arial" w:hAnsi="Arial"/>
          <w:b/>
          <w:sz w:val="22"/>
        </w:rPr>
        <w:t>7. DELIVERY, INSPECTION AND ACCEPTANCE</w:t>
      </w:r>
    </w:p>
    <w:p>
      <w:pPr>
        <w:spacing w:after="60"/>
      </w:pPr>
      <w:r>
        <w:rPr>
          <w:sz w:val="17"/>
        </w:rPr>
        <w:t>7.1 Physical possession, access cards, keys and control of the Purchased Asset shall be delivered at the property located at Unit 804, 8th Floor, Commerce Business Center, Dallas, Texas 75201, USA.</w:t>
      </w:r>
    </w:p>
    <w:p>
      <w:pPr>
        <w:spacing w:after="60"/>
      </w:pPr>
      <w:r>
        <w:rPr>
          <w:sz w:val="17"/>
        </w:rPr>
        <w:t>7.2 The Purchaser may inspect the Purchased Asset before or after delivery. Any inspection or acceptance shall not waive latent defects, misrepresentation, breach of warranty or fraud.</w:t>
      </w:r>
    </w:p>
    <w:p>
      <w:pPr>
        <w:spacing w:after="60"/>
      </w:pPr>
      <w:r>
        <w:rPr>
          <w:sz w:val="17"/>
        </w:rPr>
        <w:t>7.3 Risk of loss or damage shall pass to the Purchaser upon delivery of vacant possession at Completion, except to the extent caused by the Seller’s breach or wilful misconduct.</w:t>
      </w:r>
    </w:p>
    <w:p>
      <w:pPr>
        <w:spacing w:before="100" w:after="40"/>
      </w:pPr>
      <w:r>
        <w:rPr>
          <w:rFonts w:ascii="Arial" w:hAnsi="Arial"/>
          <w:b/>
          <w:sz w:val="22"/>
        </w:rPr>
        <w:t>8. SELLER REPRESENTATIONS AND WARRANTIES</w:t>
      </w:r>
    </w:p>
    <w:p>
      <w:pPr>
        <w:spacing w:after="60"/>
      </w:pPr>
      <w:r>
        <w:rPr>
          <w:sz w:val="17"/>
        </w:rPr>
        <w:t>The Seller represents and warrants that, as of the Effective Date and Completion:</w:t>
      </w:r>
    </w:p>
    <w:p>
      <w:pPr>
        <w:spacing w:after="30"/>
        <w:ind w:left="230" w:hanging="230"/>
      </w:pPr>
      <w:r>
        <w:rPr>
          <w:b/>
        </w:rPr>
        <w:t xml:space="preserve">• </w:t>
      </w:r>
      <w:r>
        <w:rPr>
          <w:sz w:val="17"/>
        </w:rPr>
        <w:t>it is duly organised and authorised to execute this Agreement;</w:t>
      </w:r>
    </w:p>
    <w:p>
      <w:pPr>
        <w:spacing w:after="30"/>
        <w:ind w:left="230" w:hanging="230"/>
      </w:pPr>
      <w:r>
        <w:rPr>
          <w:b/>
        </w:rPr>
        <w:t xml:space="preserve">• </w:t>
      </w:r>
      <w:r>
        <w:rPr>
          <w:sz w:val="17"/>
        </w:rPr>
        <w:t>it has good and marketable fee-simple title to the Purchased Asset and the legal right and authority to transfer it;</w:t>
      </w:r>
    </w:p>
    <w:p>
      <w:pPr>
        <w:spacing w:after="30"/>
        <w:ind w:left="230" w:hanging="230"/>
      </w:pPr>
      <w:r>
        <w:rPr>
          <w:b/>
        </w:rPr>
        <w:t xml:space="preserve">• </w:t>
      </w:r>
      <w:r>
        <w:rPr>
          <w:sz w:val="17"/>
        </w:rPr>
        <w:t>except as disclosed in writing and accepted by the Purchaser, the Purchased Asset is free of Encumbrances;</w:t>
      </w:r>
    </w:p>
    <w:p>
      <w:pPr>
        <w:spacing w:after="30"/>
        <w:ind w:left="230" w:hanging="230"/>
      </w:pPr>
      <w:r>
        <w:rPr>
          <w:b/>
        </w:rPr>
        <w:t xml:space="preserve">• </w:t>
      </w:r>
      <w:r>
        <w:rPr>
          <w:sz w:val="17"/>
        </w:rPr>
        <w:t>there is no undisclosed agreement to sell, lease, license or otherwise transfer the Purchased Asset;</w:t>
      </w:r>
    </w:p>
    <w:p>
      <w:pPr>
        <w:spacing w:after="30"/>
        <w:ind w:left="230" w:hanging="230"/>
      </w:pPr>
      <w:r>
        <w:rPr>
          <w:b/>
        </w:rPr>
        <w:t xml:space="preserve">• </w:t>
      </w:r>
      <w:r>
        <w:rPr>
          <w:sz w:val="17"/>
        </w:rPr>
        <w:t>no material litigation, judgment, governmental proceeding or claim affecting title or possession has been concealed;</w:t>
      </w:r>
    </w:p>
    <w:p>
      <w:pPr>
        <w:spacing w:after="30"/>
        <w:ind w:left="230" w:hanging="230"/>
      </w:pPr>
      <w:r>
        <w:rPr>
          <w:b/>
        </w:rPr>
        <w:t xml:space="preserve">• </w:t>
      </w:r>
      <w:r>
        <w:rPr>
          <w:sz w:val="17"/>
        </w:rPr>
        <w:t>all material property taxes, assessments, dues and liabilities attributable to the Seller through Completion will be paid or appropriately provided for.</w:t>
      </w:r>
    </w:p>
    <w:p>
      <w:pPr>
        <w:spacing w:before="100" w:after="40"/>
      </w:pPr>
      <w:r>
        <w:rPr>
          <w:rFonts w:ascii="Arial" w:hAnsi="Arial"/>
          <w:b/>
          <w:sz w:val="22"/>
        </w:rPr>
        <w:t>9. PURCHASER REPRESENTATIONS</w:t>
      </w:r>
    </w:p>
    <w:p>
      <w:pPr>
        <w:spacing w:after="60"/>
      </w:pPr>
      <w:r>
        <w:rPr>
          <w:sz w:val="17"/>
        </w:rPr>
        <w:t>The Purchaser represents that it has the corporate authority to enter into this Agreement and, subject to the terms hereof, has or will have the funds necessary to satisfy its payment obligations.</w:t>
      </w:r>
    </w:p>
    <w:p>
      <w:pPr>
        <w:spacing w:before="100" w:after="40"/>
      </w:pPr>
      <w:r>
        <w:rPr>
          <w:rFonts w:ascii="Arial" w:hAnsi="Arial"/>
          <w:b/>
          <w:sz w:val="22"/>
        </w:rPr>
        <w:t>10. COVENANTS</w:t>
      </w:r>
    </w:p>
    <w:p>
      <w:pPr>
        <w:spacing w:after="60"/>
      </w:pPr>
      <w:r>
        <w:rPr>
          <w:sz w:val="17"/>
        </w:rPr>
        <w:t>10.1 Until Completion, the Seller shall preserve the Purchased Asset in substantially its existing condition and shall not create any new Encumbrance or dispose of any material part of it without the Purchaser’s prior written consent.</w:t>
      </w:r>
    </w:p>
    <w:p>
      <w:pPr>
        <w:spacing w:after="60"/>
      </w:pPr>
      <w:r>
        <w:rPr>
          <w:sz w:val="17"/>
        </w:rPr>
        <w:t>10.2 Each Party shall promptly provide information and execute documents reasonably required to give effect to the transaction.</w:t>
      </w:r>
    </w:p>
    <w:p>
      <w:pPr>
        <w:spacing w:after="60"/>
      </w:pPr>
      <w:r>
        <w:rPr>
          <w:sz w:val="17"/>
        </w:rPr>
        <w:t>10.3 Neither Party shall make any public announcement concerning the transaction except as required by law or agreed in writing.</w:t>
      </w:r>
    </w:p>
    <w:p>
      <w:pPr>
        <w:spacing w:before="100" w:after="40"/>
      </w:pPr>
      <w:r>
        <w:rPr>
          <w:rFonts w:ascii="Arial" w:hAnsi="Arial"/>
          <w:b/>
          <w:sz w:val="22"/>
        </w:rPr>
        <w:t>11. INDEMNIFICATION</w:t>
      </w:r>
    </w:p>
    <w:p>
      <w:pPr>
        <w:spacing w:after="60"/>
      </w:pPr>
      <w:r>
        <w:rPr>
          <w:sz w:val="17"/>
        </w:rPr>
        <w:t>11.1 The Seller shall indemnify and hold harmless the Purchaser and its directors, officers and authorised representatives against Losses arising from: (a) breach of the Seller’s representations, warranties or covenants; (b) defective or disputed title; (c) undisclosed Encumbrances; (d) fraud, wilful misconduct or gross negligence of the Seller; and (e) third-party claims relating to events occurring before Completion.</w:t>
      </w:r>
    </w:p>
    <w:p>
      <w:pPr>
        <w:spacing w:after="60"/>
      </w:pPr>
      <w:r>
        <w:rPr>
          <w:sz w:val="17"/>
        </w:rPr>
        <w:t>11.2 The Purchaser shall indemnify the Seller against Losses arising from the Purchaser’s material breach of this Agreement, fraud or wilful misconduct.</w:t>
      </w:r>
    </w:p>
    <w:p>
      <w:pPr>
        <w:spacing w:after="60"/>
      </w:pPr>
      <w:r>
        <w:rPr>
          <w:sz w:val="17"/>
        </w:rPr>
        <w:t>11.3 Any agreed liability cap, exclusions and claim periods shall be as specified in Schedule 3.</w:t>
      </w:r>
    </w:p>
    <w:p>
      <w:pPr>
        <w:spacing w:before="100" w:after="40"/>
      </w:pPr>
      <w:r>
        <w:rPr>
          <w:rFonts w:ascii="Arial" w:hAnsi="Arial"/>
          <w:b/>
          <w:sz w:val="22"/>
        </w:rPr>
        <w:t>12. CONFIDENTIALITY AND DATA</w:t>
      </w:r>
    </w:p>
    <w:p>
      <w:pPr>
        <w:spacing w:after="60"/>
      </w:pPr>
      <w:r>
        <w:rPr>
          <w:sz w:val="17"/>
        </w:rPr>
        <w:t>Each Party shall keep confidential all non-public commercial, technical, financial and transaction information received from the other Party and shall use it only for purposes of this Agreement, except where disclosure is required by law, regulation, court order or to professional advisers bound by confidentiality obligations. Where personal data is processed, each Party shall comply with applicable data-protection and privacy laws.</w:t>
      </w:r>
    </w:p>
    <w:p>
      <w:pPr>
        <w:spacing w:before="100" w:after="40"/>
      </w:pPr>
      <w:r>
        <w:rPr>
          <w:rFonts w:ascii="Arial" w:hAnsi="Arial"/>
          <w:b/>
          <w:sz w:val="22"/>
        </w:rPr>
        <w:t>13. TAXES, DUTIES AND COSTS</w:t>
      </w:r>
    </w:p>
    <w:p>
      <w:pPr>
        <w:spacing w:after="60"/>
      </w:pPr>
      <w:r>
        <w:rPr>
          <w:sz w:val="17"/>
        </w:rPr>
        <w:t>Each Party shall bear its own professional and internal costs unless otherwise agreed. Applicable federal, Texas and local taxes, recording charges, title/escrow fees, transfer fees and other transaction taxes or statutory charges shall be borne as specified in Schedule 2 and otherwise allocated in accordance with applicable law.</w:t>
      </w:r>
    </w:p>
    <w:p>
      <w:pPr>
        <w:spacing w:before="100" w:after="40"/>
      </w:pPr>
      <w:r>
        <w:rPr>
          <w:rFonts w:ascii="Arial" w:hAnsi="Arial"/>
          <w:b/>
          <w:sz w:val="22"/>
        </w:rPr>
        <w:t>14. DEFAULT AND TERMINATION</w:t>
      </w:r>
    </w:p>
    <w:p>
      <w:pPr>
        <w:spacing w:after="60"/>
      </w:pPr>
      <w:r>
        <w:rPr>
          <w:sz w:val="17"/>
        </w:rPr>
        <w:t>14.1 Either Party may terminate this Agreement by written notice if the other Party commits a material breach and fails to cure it within 15 days after receiving written notice.</w:t>
      </w:r>
    </w:p>
    <w:p>
      <w:pPr>
        <w:spacing w:after="60"/>
      </w:pPr>
      <w:r>
        <w:rPr>
          <w:sz w:val="17"/>
        </w:rPr>
        <w:t>14.2 The Purchaser may terminate immediately upon discovery of a material title defect, fraud, insolvency of the Seller, or a material misrepresentation that cannot reasonably be cured.</w:t>
      </w:r>
    </w:p>
    <w:p>
      <w:pPr>
        <w:spacing w:after="60"/>
      </w:pPr>
      <w:r>
        <w:rPr>
          <w:sz w:val="17"/>
        </w:rPr>
        <w:t>14.3 Termination shall not affect accrued rights, confidentiality obligations, indemnities or provisions intended to survive termination.</w:t>
      </w:r>
    </w:p>
    <w:p>
      <w:pPr>
        <w:spacing w:before="100" w:after="40"/>
      </w:pPr>
      <w:r>
        <w:rPr>
          <w:rFonts w:ascii="Arial" w:hAnsi="Arial"/>
          <w:b/>
          <w:sz w:val="22"/>
        </w:rPr>
        <w:t>15. LIMITATION OF LIABILITY</w:t>
      </w:r>
    </w:p>
    <w:p>
      <w:pPr>
        <w:spacing w:after="60"/>
      </w:pPr>
      <w:r>
        <w:rPr>
          <w:sz w:val="17"/>
        </w:rPr>
        <w:t>Except for fraud, wilful misconduct, breach of confidentiality, title-related claims, indemnification obligations or liabilities that cannot lawfully be limited, neither Party shall be liable for indirect, consequential, special or punitive damages. The aggregate liability cap shall be 20% of the Purchase Price, subject to the agreed carve-outs and applicable law.</w:t>
      </w:r>
    </w:p>
    <w:p>
      <w:pPr>
        <w:spacing w:before="100" w:after="40"/>
      </w:pPr>
      <w:r>
        <w:rPr>
          <w:rFonts w:ascii="Arial" w:hAnsi="Arial"/>
          <w:b/>
          <w:sz w:val="22"/>
        </w:rPr>
        <w:t>16. FORCE MAJEURE</w:t>
      </w:r>
    </w:p>
    <w:p>
      <w:pPr>
        <w:spacing w:after="60"/>
      </w:pPr>
      <w:r>
        <w:rPr>
          <w:sz w:val="17"/>
        </w:rPr>
        <w:t>Neither Party shall be liable for delay caused by events beyond its reasonable control, provided that the affected Party promptly notifies the other Party and takes reasonable steps to mitigate the effects. Payment obligations for amounts already due shall not be excused by force majeure.</w:t>
      </w:r>
    </w:p>
    <w:p>
      <w:pPr>
        <w:spacing w:before="100" w:after="40"/>
      </w:pPr>
      <w:r>
        <w:rPr>
          <w:rFonts w:ascii="Arial" w:hAnsi="Arial"/>
          <w:b/>
          <w:sz w:val="22"/>
        </w:rPr>
        <w:t>17. NOTICES</w:t>
      </w:r>
    </w:p>
    <w:p>
      <w:pPr>
        <w:spacing w:after="60"/>
      </w:pPr>
      <w:r>
        <w:rPr>
          <w:sz w:val="17"/>
        </w:rPr>
        <w:t>All notices under this Agreement shall be in writing and delivered by hand, recognised courier or email to the addresses set out below, or to such replacement address notified in writing.</w:t>
      </w:r>
    </w:p>
    <w:p>
      <w:pPr>
        <w:spacing w:after="60"/>
      </w:pPr>
      <w:r>
        <w:rPr>
          <w:sz w:val="17"/>
        </w:rPr>
        <w:t>Purchaser: LMN Asset Pvt. Ltd. — 501, Business Tower, Dallas, Texas 75201, USA — Email: legal@lmnaasset.example</w:t>
      </w:r>
    </w:p>
    <w:p>
      <w:pPr>
        <w:spacing w:after="60"/>
      </w:pPr>
      <w:r>
        <w:rPr>
          <w:sz w:val="17"/>
        </w:rPr>
        <w:t>Seller: Apex Industrial Assets Private Limited — 201, Commerce Business Center, Dallas, Texas 75201, USA — Email: legal@apexindustrialassets.example</w:t>
      </w:r>
    </w:p>
    <w:p>
      <w:pPr>
        <w:spacing w:before="100" w:after="40"/>
      </w:pPr>
      <w:r>
        <w:rPr>
          <w:rFonts w:ascii="Arial" w:hAnsi="Arial"/>
          <w:b/>
          <w:sz w:val="22"/>
        </w:rPr>
        <w:t>18. ASSIGNMENT</w:t>
      </w:r>
    </w:p>
    <w:p>
      <w:pPr>
        <w:spacing w:after="60"/>
      </w:pPr>
      <w:r>
        <w:rPr>
          <w:sz w:val="17"/>
        </w:rPr>
        <w:t>Neither Party may assign or transfer this Agreement or any material right or obligation without the prior written consent of the other Party, except that the Purchaser may assign this Agreement to an affiliate or financing entity, subject to applicable law and reasonable notice.</w:t>
      </w:r>
    </w:p>
    <w:p>
      <w:pPr>
        <w:spacing w:before="100" w:after="40"/>
      </w:pPr>
      <w:r>
        <w:rPr>
          <w:rFonts w:ascii="Arial" w:hAnsi="Arial"/>
          <w:b/>
          <w:sz w:val="22"/>
        </w:rPr>
        <w:t>19. GOVERNING LAW AND DISPUTE RESOLUTION</w:t>
      </w:r>
    </w:p>
    <w:p>
      <w:pPr>
        <w:spacing w:after="60"/>
      </w:pPr>
      <w:r>
        <w:rPr>
          <w:sz w:val="17"/>
        </w:rPr>
        <w:t>19.1 This Agreement shall be governed by and construed in accordance with the laws of the State of Texas, without regard to conflict-of-law principles to the extent permitted by law.</w:t>
      </w:r>
    </w:p>
    <w:p>
      <w:pPr>
        <w:spacing w:after="60"/>
      </w:pPr>
      <w:r>
        <w:rPr>
          <w:sz w:val="17"/>
        </w:rPr>
        <w:t>19.2 The Parties shall first attempt in good faith to resolve any dispute through senior-management discussions.</w:t>
      </w:r>
    </w:p>
    <w:p>
      <w:pPr>
        <w:spacing w:after="60"/>
      </w:pPr>
      <w:r>
        <w:rPr>
          <w:sz w:val="17"/>
        </w:rPr>
        <w:t>19.3 If a dispute is not resolved within 30 days, the Parties may refer the matter to mediation and, if necessary, to a court of competent jurisdiction in Dallas County, Texas, unless the Parties separately agree in writing to arbitration.</w:t>
      </w:r>
    </w:p>
    <w:p>
      <w:pPr>
        <w:spacing w:after="60"/>
      </w:pPr>
      <w:r>
        <w:rPr>
          <w:sz w:val="17"/>
        </w:rPr>
        <w:t>19.4 Subject to the foregoing, state and federal courts located in Dallas County, Texas shall have jurisdiction for disputes arising from this Agreement, subject to applicable law.</w:t>
      </w:r>
    </w:p>
    <w:p>
      <w:pPr>
        <w:spacing w:after="60"/>
      </w:pPr>
      <w:r>
        <w:rPr>
          <w:sz w:val="17"/>
        </w:rPr>
        <w:t>19.5 Nothing in this clause prevents either Party from seeking urgent equitable or injunctive relief where legally available.</w:t>
      </w:r>
    </w:p>
    <w:p>
      <w:pPr>
        <w:spacing w:before="100" w:after="40"/>
      </w:pPr>
      <w:r>
        <w:rPr>
          <w:rFonts w:ascii="Arial" w:hAnsi="Arial"/>
          <w:b/>
          <w:sz w:val="22"/>
        </w:rPr>
        <w:t>20. GENERAL</w:t>
      </w:r>
    </w:p>
    <w:p>
      <w:pPr>
        <w:spacing w:after="30"/>
        <w:ind w:left="230" w:hanging="230"/>
      </w:pPr>
      <w:r>
        <w:rPr>
          <w:b/>
        </w:rPr>
        <w:t xml:space="preserve">• </w:t>
      </w:r>
      <w:r>
        <w:rPr>
          <w:sz w:val="17"/>
        </w:rPr>
        <w:t>This Agreement, together with its Schedules and expressly incorporated documents, constitutes the entire agreement between the Parties concerning its subject matter.</w:t>
      </w:r>
    </w:p>
    <w:p>
      <w:pPr>
        <w:spacing w:after="30"/>
        <w:ind w:left="230" w:hanging="230"/>
      </w:pPr>
      <w:r>
        <w:rPr>
          <w:b/>
        </w:rPr>
        <w:t xml:space="preserve">• </w:t>
      </w:r>
      <w:r>
        <w:rPr>
          <w:sz w:val="17"/>
        </w:rPr>
        <w:t>Any amendment must be in writing and signed by authorised representatives of both Parties.</w:t>
      </w:r>
    </w:p>
    <w:p>
      <w:pPr>
        <w:spacing w:after="30"/>
        <w:ind w:left="230" w:hanging="230"/>
      </w:pPr>
      <w:r>
        <w:rPr>
          <w:b/>
        </w:rPr>
        <w:t xml:space="preserve">• </w:t>
      </w:r>
      <w:r>
        <w:rPr>
          <w:sz w:val="17"/>
        </w:rPr>
        <w:t>If any provision is held invalid or unenforceable, the remaining provisions shall continue in effect.</w:t>
      </w:r>
    </w:p>
    <w:p>
      <w:pPr>
        <w:spacing w:after="30"/>
        <w:ind w:left="230" w:hanging="230"/>
      </w:pPr>
      <w:r>
        <w:rPr>
          <w:b/>
        </w:rPr>
        <w:t xml:space="preserve">• </w:t>
      </w:r>
      <w:r>
        <w:rPr>
          <w:sz w:val="17"/>
        </w:rPr>
        <w:t>No waiver shall be effective unless made in writing.</w:t>
      </w:r>
    </w:p>
    <w:p>
      <w:pPr>
        <w:spacing w:after="30"/>
        <w:ind w:left="230" w:hanging="230"/>
      </w:pPr>
      <w:r>
        <w:rPr>
          <w:b/>
        </w:rPr>
        <w:t xml:space="preserve">• </w:t>
      </w:r>
      <w:r>
        <w:rPr>
          <w:sz w:val="17"/>
        </w:rPr>
        <w:t>This Agreement may be executed in counterparts and by electronic signature to the extent permitted by applicable law.</w:t>
      </w:r>
    </w:p>
    <w:p>
      <w:pPr>
        <w:spacing w:after="30"/>
        <w:ind w:left="230" w:hanging="230"/>
      </w:pPr>
      <w:r>
        <w:rPr>
          <w:b/>
        </w:rPr>
        <w:t xml:space="preserve">• </w:t>
      </w:r>
      <w:r>
        <w:rPr>
          <w:sz w:val="17"/>
        </w:rPr>
        <w:t>Headings are for convenience only and do not affect interpretation.</w:t>
      </w:r>
    </w:p>
    <w:p>
      <w:r>
        <w:br w:type="page"/>
      </w:r>
    </w:p>
    <w:p>
      <w:pPr>
        <w:spacing w:before="100" w:after="40"/>
      </w:pPr>
      <w:r>
        <w:rPr>
          <w:rFonts w:ascii="Arial" w:hAnsi="Arial"/>
          <w:b/>
          <w:sz w:val="22"/>
        </w:rPr>
        <w:t>SCHEDULE 1 — PURCHASED ASSET / GOODS / RIGHTS</w:t>
      </w:r>
    </w:p>
    <w:tbl>
      <w:tblPr>
        <w:tblStyle w:val="TableGrid"/>
        <w:tblW w:type="auto" w:w="0"/>
        <w:jc w:val="center"/>
        <w:tblLook w:firstColumn="1" w:firstRow="1" w:lastColumn="0" w:lastRow="0" w:noHBand="0" w:noVBand="1" w:val="04A0"/>
      </w:tblPr>
      <w:tblGrid>
        <w:gridCol w:w="5328"/>
        <w:gridCol w:w="5328"/>
      </w:tblGrid>
      <w:tr>
        <w:tc>
          <w:tcPr>
            <w:tcW w:type="dxa" w:w="2880"/>
            <w:vAlign w:val="center"/>
            <w:shd w:fill="D9E1F2"/>
          </w:tcPr>
          <w:p>
            <w:pPr>
              <w:spacing w:after="0"/>
            </w:pPr>
            <w:r/>
            <w:r>
              <w:rPr>
                <w:rFonts w:ascii="Arial" w:hAnsi="Arial"/>
                <w:b/>
                <w:sz w:val="16"/>
              </w:rPr>
              <w:t>Particular</w:t>
            </w:r>
          </w:p>
        </w:tc>
        <w:tc>
          <w:tcPr>
            <w:tcW w:type="dxa" w:w="7344"/>
            <w:vAlign w:val="center"/>
            <w:shd w:fill="D9E1F2"/>
          </w:tcPr>
          <w:p>
            <w:pPr>
              <w:spacing w:after="0"/>
            </w:pPr>
            <w:r/>
            <w:r>
              <w:rPr>
                <w:rFonts w:ascii="Arial" w:hAnsi="Arial"/>
                <w:b/>
                <w:sz w:val="16"/>
              </w:rPr>
              <w:t>Details</w:t>
            </w:r>
          </w:p>
        </w:tc>
      </w:tr>
      <w:tr>
        <w:tc>
          <w:tcPr>
            <w:tcW w:type="dxa" w:w="2880"/>
            <w:vAlign w:val="center"/>
          </w:tcPr>
          <w:p>
            <w:pPr>
              <w:spacing w:after="0"/>
            </w:pPr>
            <w:r/>
            <w:r>
              <w:rPr>
                <w:rFonts w:ascii="Arial" w:hAnsi="Arial"/>
                <w:b w:val="0"/>
                <w:sz w:val="16"/>
              </w:rPr>
              <w:t>Asset / Item Description</w:t>
            </w:r>
          </w:p>
        </w:tc>
        <w:tc>
          <w:tcPr>
            <w:tcW w:type="dxa" w:w="7344"/>
            <w:vAlign w:val="center"/>
          </w:tcPr>
          <w:p>
            <w:pPr>
              <w:spacing w:after="0"/>
            </w:pPr>
            <w:r/>
            <w:r>
              <w:rPr>
                <w:rFonts w:ascii="Arial" w:hAnsi="Arial"/>
                <w:b w:val="0"/>
                <w:sz w:val="16"/>
              </w:rPr>
              <w:t>Commercial office property, Unit 804, 8th Floor, Commerce Business Center, Dallas, Texas 75201, USA, with approximately 3,250 sq. ft. of area, together with proportionate common-area rights, appurtenant easements and two designated parking spaces.</w:t>
            </w:r>
          </w:p>
        </w:tc>
      </w:tr>
      <w:tr>
        <w:tc>
          <w:tcPr>
            <w:tcW w:type="dxa" w:w="2880"/>
            <w:vAlign w:val="center"/>
          </w:tcPr>
          <w:p>
            <w:pPr>
              <w:spacing w:after="0"/>
            </w:pPr>
            <w:r/>
            <w:r>
              <w:rPr>
                <w:rFonts w:ascii="Arial" w:hAnsi="Arial"/>
                <w:b w:val="0"/>
                <w:sz w:val="16"/>
              </w:rPr>
              <w:t>Asset ID / Property Reference</w:t>
            </w:r>
          </w:p>
        </w:tc>
        <w:tc>
          <w:tcPr>
            <w:tcW w:type="dxa" w:w="7344"/>
            <w:vAlign w:val="center"/>
          </w:tcPr>
          <w:p>
            <w:pPr>
              <w:spacing w:after="0"/>
            </w:pPr>
            <w:r/>
            <w:r>
              <w:rPr>
                <w:rFonts w:ascii="Arial" w:hAnsi="Arial"/>
                <w:b w:val="0"/>
                <w:sz w:val="16"/>
              </w:rPr>
              <w:t>Property Unit 804 / Dallas County Property Reference: DCC-UNIT-08-804 (Illustrative)</w:t>
            </w:r>
          </w:p>
        </w:tc>
      </w:tr>
      <w:tr>
        <w:tc>
          <w:tcPr>
            <w:tcW w:type="dxa" w:w="2880"/>
            <w:vAlign w:val="center"/>
          </w:tcPr>
          <w:p>
            <w:pPr>
              <w:spacing w:after="0"/>
            </w:pPr>
            <w:r/>
            <w:r>
              <w:rPr>
                <w:rFonts w:ascii="Arial" w:hAnsi="Arial"/>
                <w:b w:val="0"/>
                <w:sz w:val="16"/>
              </w:rPr>
              <w:t>Quantity</w:t>
            </w:r>
          </w:p>
        </w:tc>
        <w:tc>
          <w:tcPr>
            <w:tcW w:type="dxa" w:w="7344"/>
            <w:vAlign w:val="center"/>
          </w:tcPr>
          <w:p>
            <w:pPr>
              <w:spacing w:after="0"/>
            </w:pPr>
            <w:r/>
            <w:r>
              <w:rPr>
                <w:rFonts w:ascii="Arial" w:hAnsi="Arial"/>
                <w:b w:val="0"/>
                <w:sz w:val="16"/>
              </w:rPr>
              <w:t>1 commercial office unit + 2 designated parking spaces</w:t>
            </w:r>
          </w:p>
        </w:tc>
      </w:tr>
      <w:tr>
        <w:tc>
          <w:tcPr>
            <w:tcW w:type="dxa" w:w="2880"/>
            <w:vAlign w:val="center"/>
          </w:tcPr>
          <w:p>
            <w:pPr>
              <w:spacing w:after="0"/>
            </w:pPr>
            <w:r/>
            <w:r>
              <w:rPr>
                <w:rFonts w:ascii="Arial" w:hAnsi="Arial"/>
                <w:b w:val="0"/>
                <w:sz w:val="16"/>
              </w:rPr>
              <w:t>Location</w:t>
            </w:r>
          </w:p>
        </w:tc>
        <w:tc>
          <w:tcPr>
            <w:tcW w:type="dxa" w:w="7344"/>
            <w:vAlign w:val="center"/>
          </w:tcPr>
          <w:p>
            <w:pPr>
              <w:spacing w:after="0"/>
            </w:pPr>
            <w:r/>
            <w:r>
              <w:rPr>
                <w:rFonts w:ascii="Arial" w:hAnsi="Arial"/>
                <w:b w:val="0"/>
                <w:sz w:val="16"/>
              </w:rPr>
              <w:t>Commerce Business Center, Dallas, Texas 75201, USA</w:t>
            </w:r>
          </w:p>
        </w:tc>
      </w:tr>
      <w:tr>
        <w:tc>
          <w:tcPr>
            <w:tcW w:type="dxa" w:w="2880"/>
            <w:vAlign w:val="center"/>
          </w:tcPr>
          <w:p>
            <w:pPr>
              <w:spacing w:after="0"/>
            </w:pPr>
            <w:r/>
            <w:r>
              <w:rPr>
                <w:rFonts w:ascii="Arial" w:hAnsi="Arial"/>
                <w:b w:val="0"/>
                <w:sz w:val="16"/>
              </w:rPr>
              <w:t>Condition</w:t>
            </w:r>
          </w:p>
        </w:tc>
        <w:tc>
          <w:tcPr>
            <w:tcW w:type="dxa" w:w="7344"/>
            <w:vAlign w:val="center"/>
          </w:tcPr>
          <w:p>
            <w:pPr>
              <w:spacing w:after="0"/>
            </w:pPr>
            <w:r/>
            <w:r>
              <w:rPr>
                <w:rFonts w:ascii="Arial" w:hAnsi="Arial"/>
                <w:b w:val="0"/>
                <w:sz w:val="16"/>
              </w:rPr>
              <w:t>Vacant, completed commercial premises; accepted subject to the representations, warranties and due-diligence conditions of this Agreement.</w:t>
            </w:r>
          </w:p>
        </w:tc>
      </w:tr>
      <w:tr>
        <w:tc>
          <w:tcPr>
            <w:tcW w:type="dxa" w:w="2880"/>
            <w:vAlign w:val="center"/>
          </w:tcPr>
          <w:p>
            <w:pPr>
              <w:spacing w:after="0"/>
            </w:pPr>
            <w:r/>
            <w:r>
              <w:rPr>
                <w:rFonts w:ascii="Arial" w:hAnsi="Arial"/>
                <w:b w:val="0"/>
                <w:sz w:val="16"/>
              </w:rPr>
              <w:t>Title / Recording Details</w:t>
            </w:r>
          </w:p>
        </w:tc>
        <w:tc>
          <w:tcPr>
            <w:tcW w:type="dxa" w:w="7344"/>
            <w:vAlign w:val="center"/>
          </w:tcPr>
          <w:p>
            <w:pPr>
              <w:spacing w:after="0"/>
            </w:pPr>
            <w:r/>
            <w:r>
              <w:rPr>
                <w:rFonts w:ascii="Arial" w:hAnsi="Arial"/>
                <w:b w:val="0"/>
                <w:sz w:val="16"/>
              </w:rPr>
              <w:t>Seller to provide recorded deed, current title commitment/search, legal description, survey, applicable zoning/use documentation, property-tax records and encumbrance/lien search.</w:t>
            </w:r>
          </w:p>
        </w:tc>
      </w:tr>
      <w:tr>
        <w:tc>
          <w:tcPr>
            <w:tcW w:type="dxa" w:w="2880"/>
            <w:vAlign w:val="center"/>
          </w:tcPr>
          <w:p>
            <w:pPr>
              <w:spacing w:after="0"/>
            </w:pPr>
            <w:r/>
            <w:r>
              <w:rPr>
                <w:rFonts w:ascii="Arial" w:hAnsi="Arial"/>
                <w:b w:val="0"/>
                <w:sz w:val="16"/>
              </w:rPr>
              <w:t>Documents to be Delivered</w:t>
            </w:r>
          </w:p>
        </w:tc>
        <w:tc>
          <w:tcPr>
            <w:tcW w:type="dxa" w:w="7344"/>
            <w:vAlign w:val="center"/>
          </w:tcPr>
          <w:p>
            <w:pPr>
              <w:spacing w:after="0"/>
            </w:pPr>
            <w:r/>
            <w:r>
              <w:rPr>
                <w:rFonts w:ascii="Arial" w:hAnsi="Arial"/>
                <w:b w:val="0"/>
                <w:sz w:val="16"/>
              </w:rPr>
              <w:t>Recorded title documents; prior title chain; survey/legal description; zoning/use documentation; property-tax records; association/property-management records; title commitment/search; lender releases/NOCs; possession letter; parking allocation documents.</w:t>
            </w:r>
          </w:p>
        </w:tc>
      </w:tr>
      <w:tr>
        <w:tc>
          <w:tcPr>
            <w:tcW w:type="dxa" w:w="2880"/>
            <w:vAlign w:val="center"/>
          </w:tcPr>
          <w:p>
            <w:pPr>
              <w:spacing w:after="0"/>
            </w:pPr>
            <w:r/>
            <w:r>
              <w:rPr>
                <w:rFonts w:ascii="Arial" w:hAnsi="Arial"/>
                <w:b w:val="0"/>
                <w:sz w:val="16"/>
              </w:rPr>
              <w:t>Delivery Date / Milestone</w:t>
            </w:r>
          </w:p>
        </w:tc>
        <w:tc>
          <w:tcPr>
            <w:tcW w:type="dxa" w:w="7344"/>
            <w:vAlign w:val="center"/>
          </w:tcPr>
          <w:p>
            <w:pPr>
              <w:spacing w:after="0"/>
            </w:pPr>
            <w:r/>
            <w:r>
              <w:rPr>
                <w:rFonts w:ascii="Arial" w:hAnsi="Arial"/>
                <w:b w:val="0"/>
                <w:sz w:val="16"/>
              </w:rPr>
              <w:t>30 September 2026, subject to Completion conditions.</w:t>
            </w:r>
          </w:p>
        </w:tc>
      </w:tr>
      <w:tr>
        <w:tc>
          <w:tcPr>
            <w:tcW w:type="dxa" w:w="2880"/>
            <w:vAlign w:val="center"/>
          </w:tcPr>
          <w:p>
            <w:pPr>
              <w:spacing w:after="0"/>
            </w:pPr>
            <w:r/>
            <w:r>
              <w:rPr>
                <w:rFonts w:ascii="Arial" w:hAnsi="Arial"/>
                <w:b w:val="0"/>
                <w:sz w:val="16"/>
              </w:rPr>
              <w:t>Special Conditions</w:t>
            </w:r>
          </w:p>
        </w:tc>
        <w:tc>
          <w:tcPr>
            <w:tcW w:type="dxa" w:w="7344"/>
            <w:vAlign w:val="center"/>
          </w:tcPr>
          <w:p>
            <w:pPr>
              <w:spacing w:after="0"/>
            </w:pPr>
            <w:r/>
            <w:r>
              <w:rPr>
                <w:rFonts w:ascii="Arial" w:hAnsi="Arial"/>
                <w:b w:val="0"/>
                <w:sz w:val="16"/>
              </w:rPr>
              <w:t>Seller shall deliver vacant possession and title free from Encumbrances. Any existing lender/security interest must be discharged and released before or at Completion.</w:t>
            </w:r>
          </w:p>
        </w:tc>
      </w:tr>
    </w:tbl>
    <w:p>
      <w:pPr>
        <w:spacing w:before="100" w:after="40"/>
      </w:pPr>
      <w:r>
        <w:rPr>
          <w:rFonts w:ascii="Arial" w:hAnsi="Arial"/>
          <w:b/>
          <w:sz w:val="22"/>
        </w:rPr>
        <w:t>SCHEDULE 2 — COMMERCIAL TERMS</w:t>
      </w:r>
    </w:p>
    <w:tbl>
      <w:tblPr>
        <w:tblStyle w:val="TableGrid"/>
        <w:tblW w:type="auto" w:w="0"/>
        <w:jc w:val="center"/>
        <w:tblLook w:firstColumn="1" w:firstRow="1" w:lastColumn="0" w:lastRow="0" w:noHBand="0" w:noVBand="1" w:val="04A0"/>
      </w:tblPr>
      <w:tblGrid>
        <w:gridCol w:w="5328"/>
        <w:gridCol w:w="5328"/>
      </w:tblGrid>
      <w:tr>
        <w:tc>
          <w:tcPr>
            <w:tcW w:type="dxa" w:w="2880"/>
            <w:vAlign w:val="center"/>
            <w:shd w:fill="D9E1F2"/>
          </w:tcPr>
          <w:p>
            <w:pPr>
              <w:spacing w:after="0"/>
            </w:pPr>
            <w:r/>
            <w:r>
              <w:rPr>
                <w:rFonts w:ascii="Arial" w:hAnsi="Arial"/>
                <w:b/>
                <w:sz w:val="16"/>
              </w:rPr>
              <w:t>Commercial Term</w:t>
            </w:r>
          </w:p>
        </w:tc>
        <w:tc>
          <w:tcPr>
            <w:tcW w:type="dxa" w:w="7344"/>
            <w:vAlign w:val="center"/>
            <w:shd w:fill="D9E1F2"/>
          </w:tcPr>
          <w:p>
            <w:pPr>
              <w:spacing w:after="0"/>
            </w:pPr>
            <w:r/>
            <w:r>
              <w:rPr>
                <w:rFonts w:ascii="Arial" w:hAnsi="Arial"/>
                <w:b/>
                <w:sz w:val="16"/>
              </w:rPr>
              <w:t>Agreed Position</w:t>
            </w:r>
          </w:p>
        </w:tc>
      </w:tr>
      <w:tr>
        <w:tc>
          <w:tcPr>
            <w:tcW w:type="dxa" w:w="2880"/>
            <w:vAlign w:val="center"/>
          </w:tcPr>
          <w:p>
            <w:pPr>
              <w:spacing w:after="0"/>
            </w:pPr>
            <w:r/>
            <w:r>
              <w:rPr>
                <w:rFonts w:ascii="Arial" w:hAnsi="Arial"/>
                <w:b w:val="0"/>
                <w:sz w:val="16"/>
              </w:rPr>
              <w:t>Purchase Price</w:t>
            </w:r>
          </w:p>
        </w:tc>
        <w:tc>
          <w:tcPr>
            <w:tcW w:type="dxa" w:w="7344"/>
            <w:vAlign w:val="center"/>
          </w:tcPr>
          <w:p>
            <w:pPr>
              <w:spacing w:after="0"/>
            </w:pPr>
            <w:r/>
            <w:r>
              <w:rPr>
                <w:rFonts w:ascii="Arial" w:hAnsi="Arial"/>
                <w:b w:val="0"/>
                <w:sz w:val="16"/>
              </w:rPr>
              <w:t>$2,200,000 (Two Million Two Hundred Thousand U.S. Dollars)</w:t>
            </w:r>
          </w:p>
        </w:tc>
      </w:tr>
      <w:tr>
        <w:tc>
          <w:tcPr>
            <w:tcW w:type="dxa" w:w="2880"/>
            <w:vAlign w:val="center"/>
          </w:tcPr>
          <w:p>
            <w:pPr>
              <w:spacing w:after="0"/>
            </w:pPr>
            <w:r/>
            <w:r>
              <w:rPr>
                <w:rFonts w:ascii="Arial" w:hAnsi="Arial"/>
                <w:b w:val="0"/>
                <w:sz w:val="16"/>
              </w:rPr>
              <w:t>Applicable Taxes</w:t>
            </w:r>
          </w:p>
        </w:tc>
        <w:tc>
          <w:tcPr>
            <w:tcW w:type="dxa" w:w="7344"/>
            <w:vAlign w:val="center"/>
          </w:tcPr>
          <w:p>
            <w:pPr>
              <w:spacing w:after="0"/>
            </w:pPr>
            <w:r/>
            <w:r>
              <w:rPr>
                <w:rFonts w:ascii="Arial" w:hAnsi="Arial"/>
                <w:b w:val="0"/>
                <w:sz w:val="16"/>
              </w:rPr>
              <w:t>Federal, Texas state and local taxes, recording charges and other statutory costs to be determined by counsel/title company based on the final transaction structure and applicable law.</w:t>
            </w:r>
          </w:p>
        </w:tc>
      </w:tr>
      <w:tr>
        <w:tc>
          <w:tcPr>
            <w:tcW w:type="dxa" w:w="2880"/>
            <w:vAlign w:val="center"/>
          </w:tcPr>
          <w:p>
            <w:pPr>
              <w:spacing w:after="0"/>
            </w:pPr>
            <w:r/>
            <w:r>
              <w:rPr>
                <w:rFonts w:ascii="Arial" w:hAnsi="Arial"/>
                <w:b w:val="0"/>
                <w:sz w:val="16"/>
              </w:rPr>
              <w:t>Advance / Deposit</w:t>
            </w:r>
          </w:p>
        </w:tc>
        <w:tc>
          <w:tcPr>
            <w:tcW w:type="dxa" w:w="7344"/>
            <w:vAlign w:val="center"/>
          </w:tcPr>
          <w:p>
            <w:pPr>
              <w:spacing w:after="0"/>
            </w:pPr>
            <w:r/>
            <w:r>
              <w:rPr>
                <w:rFonts w:ascii="Arial" w:hAnsi="Arial"/>
                <w:b w:val="0"/>
                <w:sz w:val="16"/>
              </w:rPr>
              <w:t>$220,000 (10%) within 3 Business Days of execution</w:t>
            </w:r>
          </w:p>
        </w:tc>
      </w:tr>
      <w:tr>
        <w:tc>
          <w:tcPr>
            <w:tcW w:type="dxa" w:w="2880"/>
            <w:vAlign w:val="center"/>
          </w:tcPr>
          <w:p>
            <w:pPr>
              <w:spacing w:after="0"/>
            </w:pPr>
            <w:r/>
            <w:r>
              <w:rPr>
                <w:rFonts w:ascii="Arial" w:hAnsi="Arial"/>
                <w:b w:val="0"/>
                <w:sz w:val="16"/>
              </w:rPr>
              <w:t>Milestone Payment</w:t>
            </w:r>
          </w:p>
        </w:tc>
        <w:tc>
          <w:tcPr>
            <w:tcW w:type="dxa" w:w="7344"/>
            <w:vAlign w:val="center"/>
          </w:tcPr>
          <w:p>
            <w:pPr>
              <w:spacing w:after="0"/>
            </w:pPr>
            <w:r/>
            <w:r>
              <w:rPr>
                <w:rFonts w:ascii="Arial" w:hAnsi="Arial"/>
                <w:b w:val="0"/>
                <w:sz w:val="16"/>
              </w:rPr>
              <w:t>$660,000 (30%) upon satisfaction of Conditions Precedent</w:t>
            </w:r>
          </w:p>
        </w:tc>
      </w:tr>
      <w:tr>
        <w:tc>
          <w:tcPr>
            <w:tcW w:type="dxa" w:w="2880"/>
            <w:vAlign w:val="center"/>
          </w:tcPr>
          <w:p>
            <w:pPr>
              <w:spacing w:after="0"/>
            </w:pPr>
            <w:r/>
            <w:r>
              <w:rPr>
                <w:rFonts w:ascii="Arial" w:hAnsi="Arial"/>
                <w:b w:val="0"/>
                <w:sz w:val="16"/>
              </w:rPr>
              <w:t>Balance Payment</w:t>
            </w:r>
          </w:p>
        </w:tc>
        <w:tc>
          <w:tcPr>
            <w:tcW w:type="dxa" w:w="7344"/>
            <w:vAlign w:val="center"/>
          </w:tcPr>
          <w:p>
            <w:pPr>
              <w:spacing w:after="0"/>
            </w:pPr>
            <w:r/>
            <w:r>
              <w:rPr>
                <w:rFonts w:ascii="Arial" w:hAnsi="Arial"/>
                <w:b w:val="0"/>
                <w:sz w:val="16"/>
              </w:rPr>
              <w:t>$1,320,000 (60%) on Completion</w:t>
            </w:r>
          </w:p>
        </w:tc>
      </w:tr>
      <w:tr>
        <w:tc>
          <w:tcPr>
            <w:tcW w:type="dxa" w:w="2880"/>
            <w:vAlign w:val="center"/>
          </w:tcPr>
          <w:p>
            <w:pPr>
              <w:spacing w:after="0"/>
            </w:pPr>
            <w:r/>
            <w:r>
              <w:rPr>
                <w:rFonts w:ascii="Arial" w:hAnsi="Arial"/>
                <w:b w:val="0"/>
                <w:sz w:val="16"/>
              </w:rPr>
              <w:t>Payment Method / Bank Details</w:t>
            </w:r>
          </w:p>
        </w:tc>
        <w:tc>
          <w:tcPr>
            <w:tcW w:type="dxa" w:w="7344"/>
            <w:vAlign w:val="center"/>
          </w:tcPr>
          <w:p>
            <w:pPr>
              <w:spacing w:after="0"/>
            </w:pPr>
            <w:r/>
            <w:r>
              <w:rPr>
                <w:rFonts w:ascii="Arial" w:hAnsi="Arial"/>
                <w:b w:val="0"/>
                <w:sz w:val="16"/>
              </w:rPr>
              <w:t>U.S. dollar wire transfer through regulated banking channels or title/escrow company against valid payment instructions and completion documents.</w:t>
            </w:r>
          </w:p>
        </w:tc>
      </w:tr>
      <w:tr>
        <w:tc>
          <w:tcPr>
            <w:tcW w:type="dxa" w:w="2880"/>
            <w:vAlign w:val="center"/>
          </w:tcPr>
          <w:p>
            <w:pPr>
              <w:spacing w:after="0"/>
            </w:pPr>
            <w:r/>
            <w:r>
              <w:rPr>
                <w:rFonts w:ascii="Arial" w:hAnsi="Arial"/>
                <w:b w:val="0"/>
                <w:sz w:val="16"/>
              </w:rPr>
              <w:t>Delivery / Transfer Charges</w:t>
            </w:r>
          </w:p>
        </w:tc>
        <w:tc>
          <w:tcPr>
            <w:tcW w:type="dxa" w:w="7344"/>
            <w:vAlign w:val="center"/>
          </w:tcPr>
          <w:p>
            <w:pPr>
              <w:spacing w:after="0"/>
            </w:pPr>
            <w:r/>
            <w:r>
              <w:rPr>
                <w:rFonts w:ascii="Arial" w:hAnsi="Arial"/>
                <w:b w:val="0"/>
                <w:sz w:val="16"/>
              </w:rPr>
              <w:t>Seller up to Completion; Purchaser thereafter, except as otherwise required by law or closing statement.</w:t>
            </w:r>
          </w:p>
        </w:tc>
      </w:tr>
      <w:tr>
        <w:tc>
          <w:tcPr>
            <w:tcW w:type="dxa" w:w="2880"/>
            <w:vAlign w:val="center"/>
          </w:tcPr>
          <w:p>
            <w:pPr>
              <w:spacing w:after="0"/>
            </w:pPr>
            <w:r/>
            <w:r>
              <w:rPr>
                <w:rFonts w:ascii="Arial" w:hAnsi="Arial"/>
                <w:b w:val="0"/>
                <w:sz w:val="16"/>
              </w:rPr>
              <w:t>Recording / Title / Escrow Costs</w:t>
            </w:r>
          </w:p>
        </w:tc>
        <w:tc>
          <w:tcPr>
            <w:tcW w:type="dxa" w:w="7344"/>
            <w:vAlign w:val="center"/>
          </w:tcPr>
          <w:p>
            <w:pPr>
              <w:spacing w:after="0"/>
            </w:pPr>
            <w:r/>
            <w:r>
              <w:rPr>
                <w:rFonts w:ascii="Arial" w:hAnsi="Arial"/>
                <w:b w:val="0"/>
                <w:sz w:val="16"/>
              </w:rPr>
              <w:t>Allocated in the final closing statement and as otherwise required by applicable Texas law or agreed by the Parties.</w:t>
            </w:r>
          </w:p>
        </w:tc>
      </w:tr>
      <w:tr>
        <w:tc>
          <w:tcPr>
            <w:tcW w:type="dxa" w:w="2880"/>
            <w:vAlign w:val="center"/>
          </w:tcPr>
          <w:p>
            <w:pPr>
              <w:spacing w:after="0"/>
            </w:pPr>
            <w:r/>
            <w:r>
              <w:rPr>
                <w:rFonts w:ascii="Arial" w:hAnsi="Arial"/>
                <w:b w:val="0"/>
                <w:sz w:val="16"/>
              </w:rPr>
              <w:t>Pre-Completion Property Taxes / Dues</w:t>
            </w:r>
          </w:p>
        </w:tc>
        <w:tc>
          <w:tcPr>
            <w:tcW w:type="dxa" w:w="7344"/>
            <w:vAlign w:val="center"/>
          </w:tcPr>
          <w:p>
            <w:pPr>
              <w:spacing w:after="0"/>
            </w:pPr>
            <w:r/>
            <w:r>
              <w:rPr>
                <w:rFonts w:ascii="Arial" w:hAnsi="Arial"/>
                <w:b w:val="0"/>
                <w:sz w:val="16"/>
              </w:rPr>
              <w:t>Seller</w:t>
            </w:r>
          </w:p>
        </w:tc>
      </w:tr>
      <w:tr>
        <w:tc>
          <w:tcPr>
            <w:tcW w:type="dxa" w:w="2880"/>
            <w:vAlign w:val="center"/>
          </w:tcPr>
          <w:p>
            <w:pPr>
              <w:spacing w:after="0"/>
            </w:pPr>
            <w:r/>
            <w:r>
              <w:rPr>
                <w:rFonts w:ascii="Arial" w:hAnsi="Arial"/>
                <w:b w:val="0"/>
                <w:sz w:val="16"/>
              </w:rPr>
              <w:t>Post-Completion Property Taxes / Dues</w:t>
            </w:r>
          </w:p>
        </w:tc>
        <w:tc>
          <w:tcPr>
            <w:tcW w:type="dxa" w:w="7344"/>
            <w:vAlign w:val="center"/>
          </w:tcPr>
          <w:p>
            <w:pPr>
              <w:spacing w:after="0"/>
            </w:pPr>
            <w:r/>
            <w:r>
              <w:rPr>
                <w:rFonts w:ascii="Arial" w:hAnsi="Arial"/>
                <w:b w:val="0"/>
                <w:sz w:val="16"/>
              </w:rPr>
              <w:t>Purchaser, subject to prorations at closing.</w:t>
            </w:r>
          </w:p>
        </w:tc>
      </w:tr>
    </w:tbl>
    <w:p>
      <w:pPr>
        <w:spacing w:before="100" w:after="40"/>
      </w:pPr>
      <w:r>
        <w:rPr>
          <w:rFonts w:ascii="Arial" w:hAnsi="Arial"/>
          <w:b/>
          <w:sz w:val="22"/>
        </w:rPr>
        <w:t>SCHEDULE 3 — LIABILITY / WARRANTY TERMS</w:t>
      </w:r>
    </w:p>
    <w:p>
      <w:pPr>
        <w:spacing w:after="30"/>
        <w:ind w:left="230" w:hanging="230"/>
      </w:pPr>
      <w:r>
        <w:rPr>
          <w:b/>
        </w:rPr>
        <w:t xml:space="preserve">• </w:t>
      </w:r>
      <w:r>
        <w:rPr>
          <w:sz w:val="17"/>
        </w:rPr>
        <w:t>Warranty Period: 12 months from Completion for undisclosed material defects in title-related documentation and Seller warranties.</w:t>
      </w:r>
    </w:p>
    <w:p>
      <w:pPr>
        <w:spacing w:after="30"/>
        <w:ind w:left="230" w:hanging="230"/>
      </w:pPr>
      <w:r>
        <w:rPr>
          <w:b/>
        </w:rPr>
        <w:t xml:space="preserve">• </w:t>
      </w:r>
      <w:r>
        <w:rPr>
          <w:sz w:val="17"/>
        </w:rPr>
        <w:t>Claim Notification Period: 30 days after the Purchaser becomes aware of the relevant claim, subject to the specific survival periods in this Agreement.</w:t>
      </w:r>
    </w:p>
    <w:p>
      <w:pPr>
        <w:spacing w:after="30"/>
        <w:ind w:left="230" w:hanging="230"/>
      </w:pPr>
      <w:r>
        <w:rPr>
          <w:b/>
        </w:rPr>
        <w:t xml:space="preserve">• </w:t>
      </w:r>
      <w:r>
        <w:rPr>
          <w:sz w:val="17"/>
        </w:rPr>
        <w:t>Aggregate Liability Cap: 20% of the Purchase Price, except for fraud, wilful misconduct, title, confidentiality and liabilities that cannot lawfully be limited.</w:t>
      </w:r>
    </w:p>
    <w:p>
      <w:pPr>
        <w:spacing w:after="30"/>
        <w:ind w:left="230" w:hanging="230"/>
      </w:pPr>
      <w:r>
        <w:rPr>
          <w:b/>
        </w:rPr>
        <w:t xml:space="preserve">• </w:t>
      </w:r>
      <w:r>
        <w:rPr>
          <w:sz w:val="17"/>
        </w:rPr>
        <w:t>Title / Fraud / Confidentiality Carve-outs: No contractual cap for fraud, wilful misconduct, title defects, breach of confidentiality or statutory liabilities that cannot be limited.</w:t>
      </w:r>
    </w:p>
    <w:p>
      <w:pPr>
        <w:spacing w:after="30"/>
        <w:ind w:left="230" w:hanging="230"/>
      </w:pPr>
      <w:r>
        <w:rPr>
          <w:b/>
        </w:rPr>
        <w:t xml:space="preserve">• </w:t>
      </w:r>
      <w:r>
        <w:rPr>
          <w:sz w:val="17"/>
        </w:rPr>
        <w:t>Other Agreed Remedies: Specific performance and other equitable remedies shall remain available where permitted by law.</w:t>
      </w:r>
    </w:p>
    <w:p>
      <w:pPr>
        <w:spacing w:before="100" w:after="40"/>
      </w:pPr>
      <w:r>
        <w:rPr>
          <w:rFonts w:ascii="Arial" w:hAnsi="Arial"/>
          <w:b/>
          <w:sz w:val="22"/>
        </w:rPr>
        <w:t>SCHEDULE 4 — COMPLETION DELIVERABLES</w:t>
      </w:r>
    </w:p>
    <w:p>
      <w:pPr>
        <w:spacing w:after="30"/>
        <w:ind w:left="230" w:hanging="230"/>
      </w:pPr>
      <w:r>
        <w:rPr>
          <w:b/>
        </w:rPr>
        <w:t xml:space="preserve">• </w:t>
      </w:r>
      <w:r>
        <w:rPr>
          <w:sz w:val="17"/>
        </w:rPr>
        <w:t>Executed and recordable deed / conveyance instrument and executed possession/hand-over memorandum.</w:t>
      </w:r>
    </w:p>
    <w:p>
      <w:pPr>
        <w:spacing w:after="30"/>
        <w:ind w:left="230" w:hanging="230"/>
      </w:pPr>
      <w:r>
        <w:rPr>
          <w:b/>
        </w:rPr>
        <w:t xml:space="preserve">• </w:t>
      </w:r>
      <w:r>
        <w:rPr>
          <w:sz w:val="17"/>
        </w:rPr>
        <w:t>Original or certified title deed and supporting chain-of-title documents.</w:t>
      </w:r>
    </w:p>
    <w:p>
      <w:pPr>
        <w:spacing w:after="30"/>
        <w:ind w:left="230" w:hanging="230"/>
      </w:pPr>
      <w:r>
        <w:rPr>
          <w:b/>
        </w:rPr>
        <w:t xml:space="preserve">• </w:t>
      </w:r>
      <w:r>
        <w:rPr>
          <w:sz w:val="17"/>
        </w:rPr>
        <w:t>Current title commitment/title search and lender/security release documents, if applicable.</w:t>
      </w:r>
    </w:p>
    <w:p>
      <w:pPr>
        <w:spacing w:after="30"/>
        <w:ind w:left="230" w:hanging="230"/>
      </w:pPr>
      <w:r>
        <w:rPr>
          <w:b/>
        </w:rPr>
        <w:t xml:space="preserve">• </w:t>
      </w:r>
      <w:r>
        <w:rPr>
          <w:sz w:val="17"/>
        </w:rPr>
        <w:t>Property-tax records, prorations and applicable transaction statements.</w:t>
      </w:r>
    </w:p>
    <w:p>
      <w:pPr>
        <w:spacing w:after="30"/>
        <w:ind w:left="230" w:hanging="230"/>
      </w:pPr>
      <w:r>
        <w:rPr>
          <w:b/>
        </w:rPr>
        <w:t xml:space="preserve">• </w:t>
      </w:r>
      <w:r>
        <w:rPr>
          <w:sz w:val="17"/>
        </w:rPr>
        <w:t>Vacant possession letter, keys, access cards and parking handover certificate.</w:t>
      </w:r>
    </w:p>
    <w:p>
      <w:pPr>
        <w:spacing w:after="30"/>
        <w:ind w:left="230" w:hanging="230"/>
      </w:pPr>
      <w:r>
        <w:rPr>
          <w:b/>
        </w:rPr>
        <w:t xml:space="preserve">• </w:t>
      </w:r>
      <w:r>
        <w:rPr>
          <w:sz w:val="17"/>
        </w:rPr>
        <w:t>Survey/legal description, zoning/use documentation and required approvals/NOCs.</w:t>
      </w:r>
    </w:p>
    <w:p>
      <w:pPr>
        <w:spacing w:after="30"/>
        <w:ind w:left="230" w:hanging="230"/>
      </w:pPr>
      <w:r>
        <w:rPr>
          <w:b/>
        </w:rPr>
        <w:t xml:space="preserve">• </w:t>
      </w:r>
      <w:r>
        <w:rPr>
          <w:sz w:val="17"/>
        </w:rPr>
        <w:t>Association/property-management dues clearance, utility clearance and Seller's undertaking confirming no pending claims.</w:t>
      </w:r>
    </w:p>
    <w:p>
      <w:pPr>
        <w:spacing w:after="30"/>
        <w:ind w:left="230" w:hanging="230"/>
      </w:pPr>
      <w:r>
        <w:rPr>
          <w:b/>
        </w:rPr>
        <w:t xml:space="preserve">• </w:t>
      </w:r>
      <w:r>
        <w:rPr>
          <w:sz w:val="17"/>
        </w:rPr>
        <w:t>Closing/escrow statement and evidence of payment of the Purchase Price.</w:t>
      </w:r>
    </w:p>
    <w:p>
      <w:r>
        <w:br w:type="page"/>
      </w:r>
    </w:p>
    <w:p>
      <w:pPr>
        <w:spacing w:before="100" w:after="40"/>
      </w:pPr>
      <w:r>
        <w:rPr>
          <w:rFonts w:ascii="Arial" w:hAnsi="Arial"/>
          <w:b/>
          <w:sz w:val="22"/>
        </w:rPr>
        <w:t>SIGNATURES</w:t>
      </w:r>
    </w:p>
    <w:p>
      <w:pPr>
        <w:spacing w:after="60"/>
      </w:pPr>
      <w:r>
        <w:rPr>
          <w:sz w:val="17"/>
        </w:rPr>
        <w:t>IN WITNESS WHEREOF, the Parties have executed this Agreement through their duly authorised representatives on the Effective Date.</w:t>
      </w:r>
    </w:p>
    <w:tbl>
      <w:tblPr>
        <w:tblStyle w:val="TableGrid"/>
        <w:tblW w:type="auto" w:w="0"/>
        <w:jc w:val="center"/>
        <w:tblLook w:firstColumn="1" w:firstRow="1" w:lastColumn="0" w:lastRow="0" w:noHBand="0" w:noVBand="1" w:val="04A0"/>
      </w:tblPr>
      <w:tblGrid>
        <w:gridCol w:w="5328"/>
        <w:gridCol w:w="5328"/>
      </w:tblGrid>
      <w:tr>
        <w:tc>
          <w:tcPr>
            <w:tcW w:type="dxa" w:w="5112"/>
            <w:vAlign w:val="center"/>
          </w:tcPr>
          <w:p>
            <w:pPr>
              <w:spacing w:after="0"/>
            </w:pPr>
            <w:r/>
            <w:r>
              <w:rPr>
                <w:rFonts w:ascii="Arial" w:hAnsi="Arial"/>
                <w:b w:val="0"/>
                <w:sz w:val="16"/>
              </w:rPr>
              <w:t>For and on behalf of</w:t>
            </w:r>
          </w:p>
        </w:tc>
        <w:tc>
          <w:tcPr>
            <w:tcW w:type="dxa" w:w="5112"/>
            <w:vAlign w:val="center"/>
          </w:tcPr>
          <w:p>
            <w:pPr>
              <w:spacing w:after="0"/>
            </w:pPr>
            <w:r/>
            <w:r>
              <w:rPr>
                <w:rFonts w:ascii="Arial" w:hAnsi="Arial"/>
                <w:b w:val="0"/>
                <w:sz w:val="16"/>
              </w:rPr>
              <w:t>For and on behalf of</w:t>
            </w:r>
          </w:p>
        </w:tc>
      </w:tr>
      <w:tr>
        <w:tc>
          <w:tcPr>
            <w:tcW w:type="dxa" w:w="5112"/>
            <w:vAlign w:val="center"/>
          </w:tcPr>
          <w:p>
            <w:pPr>
              <w:spacing w:after="0"/>
            </w:pPr>
            <w:r/>
            <w:r>
              <w:rPr>
                <w:rFonts w:ascii="Arial" w:hAnsi="Arial"/>
                <w:b w:val="0"/>
                <w:sz w:val="16"/>
              </w:rPr>
              <w:t>LMN ASSET PVT. LTD.</w:t>
            </w:r>
          </w:p>
        </w:tc>
        <w:tc>
          <w:tcPr>
            <w:tcW w:type="dxa" w:w="5112"/>
            <w:vAlign w:val="center"/>
          </w:tcPr>
          <w:p>
            <w:pPr>
              <w:spacing w:after="0"/>
            </w:pPr>
            <w:r/>
            <w:r>
              <w:rPr>
                <w:rFonts w:ascii="Arial" w:hAnsi="Arial"/>
                <w:b w:val="0"/>
                <w:sz w:val="16"/>
              </w:rPr>
              <w:t>APEX INDUSTRIAL ASSETS PRIVATE LIMITED</w:t>
            </w:r>
          </w:p>
        </w:tc>
      </w:tr>
      <w:tr>
        <w:tc>
          <w:tcPr>
            <w:tcW w:type="dxa" w:w="5112"/>
            <w:vAlign w:val="center"/>
          </w:tcPr>
          <w:p>
            <w:pPr>
              <w:spacing w:after="0"/>
            </w:pPr>
            <w:r/>
            <w:r>
              <w:rPr>
                <w:rFonts w:ascii="Arial" w:hAnsi="Arial"/>
                <w:b w:val="0"/>
                <w:sz w:val="16"/>
              </w:rPr>
              <w:t>Signature: __________________________</w:t>
            </w:r>
          </w:p>
        </w:tc>
        <w:tc>
          <w:tcPr>
            <w:tcW w:type="dxa" w:w="5112"/>
            <w:vAlign w:val="center"/>
          </w:tcPr>
          <w:p>
            <w:pPr>
              <w:spacing w:after="0"/>
            </w:pPr>
            <w:r/>
            <w:r>
              <w:rPr>
                <w:rFonts w:ascii="Arial" w:hAnsi="Arial"/>
                <w:b w:val="0"/>
                <w:sz w:val="16"/>
              </w:rPr>
              <w:t>Signature: __________________________</w:t>
            </w:r>
          </w:p>
        </w:tc>
      </w:tr>
      <w:tr>
        <w:tc>
          <w:tcPr>
            <w:tcW w:type="dxa" w:w="5112"/>
            <w:vAlign w:val="center"/>
          </w:tcPr>
          <w:p>
            <w:pPr>
              <w:spacing w:after="0"/>
            </w:pPr>
            <w:r/>
            <w:r>
              <w:rPr>
                <w:rFonts w:ascii="Arial" w:hAnsi="Arial"/>
                <w:b w:val="0"/>
                <w:sz w:val="16"/>
              </w:rPr>
              <w:t>Name: ______________________________</w:t>
            </w:r>
          </w:p>
        </w:tc>
        <w:tc>
          <w:tcPr>
            <w:tcW w:type="dxa" w:w="5112"/>
            <w:vAlign w:val="center"/>
          </w:tcPr>
          <w:p>
            <w:pPr>
              <w:spacing w:after="0"/>
            </w:pPr>
            <w:r/>
            <w:r>
              <w:rPr>
                <w:rFonts w:ascii="Arial" w:hAnsi="Arial"/>
                <w:b w:val="0"/>
                <w:sz w:val="16"/>
              </w:rPr>
              <w:t>Name: ______________________________</w:t>
            </w:r>
          </w:p>
        </w:tc>
      </w:tr>
      <w:tr>
        <w:tc>
          <w:tcPr>
            <w:tcW w:type="dxa" w:w="5112"/>
            <w:vAlign w:val="center"/>
          </w:tcPr>
          <w:p>
            <w:pPr>
              <w:spacing w:after="0"/>
            </w:pPr>
            <w:r/>
            <w:r>
              <w:rPr>
                <w:rFonts w:ascii="Arial" w:hAnsi="Arial"/>
                <w:b w:val="0"/>
                <w:sz w:val="16"/>
              </w:rPr>
              <w:t>Designation: _______________________</w:t>
            </w:r>
          </w:p>
        </w:tc>
        <w:tc>
          <w:tcPr>
            <w:tcW w:type="dxa" w:w="5112"/>
            <w:vAlign w:val="center"/>
          </w:tcPr>
          <w:p>
            <w:pPr>
              <w:spacing w:after="0"/>
            </w:pPr>
            <w:r/>
            <w:r>
              <w:rPr>
                <w:rFonts w:ascii="Arial" w:hAnsi="Arial"/>
                <w:b w:val="0"/>
                <w:sz w:val="16"/>
              </w:rPr>
              <w:t>Designation: _______________________</w:t>
            </w:r>
          </w:p>
        </w:tc>
      </w:tr>
      <w:tr>
        <w:tc>
          <w:tcPr>
            <w:tcW w:type="dxa" w:w="5112"/>
            <w:vAlign w:val="center"/>
          </w:tcPr>
          <w:p>
            <w:pPr>
              <w:spacing w:after="0"/>
            </w:pPr>
            <w:r/>
            <w:r>
              <w:rPr>
                <w:rFonts w:ascii="Arial" w:hAnsi="Arial"/>
                <w:b w:val="0"/>
                <w:sz w:val="16"/>
              </w:rPr>
              <w:t>Date: ______________________________</w:t>
            </w:r>
          </w:p>
        </w:tc>
        <w:tc>
          <w:tcPr>
            <w:tcW w:type="dxa" w:w="5112"/>
            <w:vAlign w:val="center"/>
          </w:tcPr>
          <w:p>
            <w:pPr>
              <w:spacing w:after="0"/>
            </w:pPr>
            <w:r/>
            <w:r>
              <w:rPr>
                <w:rFonts w:ascii="Arial" w:hAnsi="Arial"/>
                <w:b w:val="0"/>
                <w:sz w:val="16"/>
              </w:rPr>
              <w:t>Date: ______________________________</w:t>
            </w:r>
          </w:p>
        </w:tc>
      </w:tr>
      <w:tr>
        <w:tc>
          <w:tcPr>
            <w:tcW w:type="dxa" w:w="5112"/>
            <w:vAlign w:val="center"/>
          </w:tcPr>
          <w:p>
            <w:pPr>
              <w:spacing w:after="0"/>
            </w:pPr>
            <w:r/>
            <w:r>
              <w:rPr>
                <w:rFonts w:ascii="Arial" w:hAnsi="Arial"/>
                <w:b w:val="0"/>
                <w:sz w:val="16"/>
              </w:rPr>
              <w:t>Place: Dallas County, Texas, USA</w:t>
            </w:r>
          </w:p>
        </w:tc>
        <w:tc>
          <w:tcPr>
            <w:tcW w:type="dxa" w:w="5112"/>
            <w:vAlign w:val="center"/>
          </w:tcPr>
          <w:p>
            <w:pPr>
              <w:spacing w:after="0"/>
            </w:pPr>
            <w:r/>
            <w:r>
              <w:rPr>
                <w:rFonts w:ascii="Arial" w:hAnsi="Arial"/>
                <w:b w:val="0"/>
                <w:sz w:val="16"/>
              </w:rPr>
              <w:t>Place: Dallas County, Texas, USA</w:t>
            </w:r>
          </w:p>
        </w:tc>
      </w:tr>
      <w:tr>
        <w:tc>
          <w:tcPr>
            <w:tcW w:type="dxa" w:w="5112"/>
            <w:vAlign w:val="center"/>
          </w:tcPr>
          <w:p>
            <w:pPr>
              <w:spacing w:after="0"/>
            </w:pPr>
            <w:r/>
            <w:r>
              <w:rPr>
                <w:rFonts w:ascii="Arial" w:hAnsi="Arial"/>
                <w:b w:val="0"/>
                <w:sz w:val="16"/>
              </w:rPr>
              <w:t>Company Seal, if applicable</w:t>
            </w:r>
          </w:p>
        </w:tc>
        <w:tc>
          <w:tcPr>
            <w:tcW w:type="dxa" w:w="5112"/>
            <w:vAlign w:val="center"/>
          </w:tcPr>
          <w:p>
            <w:pPr>
              <w:spacing w:after="0"/>
            </w:pPr>
            <w:r/>
            <w:r>
              <w:rPr>
                <w:rFonts w:ascii="Arial" w:hAnsi="Arial"/>
                <w:b w:val="0"/>
                <w:sz w:val="16"/>
              </w:rPr>
              <w:t>Company Seal, if applicable</w:t>
            </w:r>
          </w:p>
        </w:tc>
      </w:tr>
    </w:tbl>
    <w:p>
      <w:pPr>
        <w:spacing w:before="100" w:after="40"/>
      </w:pPr>
      <w:r>
        <w:rPr>
          <w:rFonts w:ascii="Arial" w:hAnsi="Arial"/>
          <w:b/>
          <w:sz w:val="22"/>
        </w:rPr>
        <w:t>IMPORTANT DRAFTING NOTE</w:t>
      </w:r>
    </w:p>
    <w:p>
      <w:pPr>
        <w:spacing w:after="60"/>
      </w:pPr>
      <w:r>
        <w:rPr>
          <w:sz w:val="17"/>
        </w:rPr>
        <w:t>This is a fully populated illustrative Purchase Agreement adapted from the provided source document and aligned with the related USA/USD Title Deed, Encumbrance Search Report, Sale Agreement and Valuation Memorandum. The seller names, addresses, property description, area, parcel references and transaction terms are illustrative and must be replaced/verified against actual legal documents before execution. The final purchase agreement, deed and closing documents should be reviewed by qualified Texas real-estate counsel and, where applicable, a licensed title/escrow company, particularly for title, recording, property taxes, zoning, financing, federal/state tax treatment and local requirements.</w:t>
      </w:r>
    </w:p>
    <w:sectPr w:rsidR="00FC693F" w:rsidRPr="0006063C" w:rsidSect="00034616">
      <w:footerReference w:type="default" r:id="rId9"/>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4"/>
      </w:rPr>
      <w:t>LMN ASSET PVT. LTD. | PURCHASE AGREEMENT | CONFIDENTIAL — ILLUSTRATIVE USA / USD TRANSACTION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