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E3A8A"/>
          <w:sz w:val="32"/>
        </w:rPr>
        <w:t>PRESIDENCY UNIVERSITY</w:t>
        <w:br/>
        <w:t>School of Computer Science and Engineering</w:t>
        <w:br/>
      </w:r>
    </w:p>
    <w:p>
      <w:pPr>
        <w:spacing w:after="720"/>
      </w:pPr>
    </w:p>
    <w:p>
      <w:pPr>
        <w:jc w:val="center"/>
      </w:pPr>
      <w:r>
        <w:rPr>
          <w:rFonts w:ascii="Arial" w:hAnsi="Arial"/>
          <w:b/>
          <w:color w:val="2563EB"/>
          <w:sz w:val="48"/>
        </w:rPr>
        <w:t>MEDIASSIST AI: INTELLIGENT PATIENT PLATFORM</w:t>
        <w:br/>
      </w:r>
      <w:r>
        <w:rPr>
          <w:rFonts w:ascii="Arial" w:hAnsi="Arial"/>
          <w:i/>
          <w:color w:val="475569"/>
          <w:sz w:val="32"/>
        </w:rPr>
        <w:t>Technical Internship &amp; Capstone Project Report</w:t>
        <w:br/>
      </w:r>
    </w:p>
    <w:p>
      <w:pPr>
        <w:spacing w:after="1440"/>
      </w:pPr>
    </w:p>
    <w:p>
      <w:pPr>
        <w:spacing w:line="312" w:lineRule="auto"/>
        <w:jc w:val="center"/>
      </w:pPr>
      <w:r>
        <w:rPr>
          <w:rFonts w:ascii="Calibri" w:hAnsi="Calibri"/>
          <w:b/>
          <w:color w:val="1E293B"/>
          <w:sz w:val="24"/>
        </w:rPr>
        <w:t>Submitted by:</w:t>
        <w:br/>
        <w:t>NISARGA N – 20241CAI0197 – Section 5CAI04</w:t>
        <w:br/>
        <w:t>H NIKHITHA - 20241CIT0121 - Section 5CIT02</w:t>
        <w:br/>
        <w:t>ASHWINI M YADRAMI - 20241CIT0149 - Section 5CIT03</w:t>
        <w:br/>
        <w:br/>
        <w:t>Under the Guidance of:</w:t>
        <w:br/>
        <w:t>Department of Computer Science &amp; Engineering</w:t>
        <w:br/>
        <w:t>Presidency University, Bengaluru, India</w:t>
        <w:br/>
        <w:br/>
        <w:t>Academic Session: 2025 - 2026</w:t>
        <w:br/>
      </w:r>
    </w:p>
    <w:p>
      <w:r>
        <w:br w:type="page"/>
      </w:r>
    </w:p>
    <w:p>
      <w:pPr>
        <w:jc w:val="center"/>
      </w:pPr>
      <w:r>
        <w:rPr>
          <w:rFonts w:ascii="Arial" w:hAnsi="Arial"/>
          <w:b/>
          <w:color w:val="1E3A8A"/>
          <w:sz w:val="32"/>
        </w:rPr>
        <w:t>ACKNOWLEDGEMENT</w:t>
        <w:br/>
      </w:r>
    </w:p>
    <w:p>
      <w:pPr>
        <w:jc w:val="right"/>
      </w:pPr>
      <w:r>
        <w:rPr>
          <w:rFonts w:ascii="Arial" w:hAnsi="Arial"/>
          <w:i/>
          <w:sz w:val="20"/>
        </w:rPr>
        <w:t>Page iv</w:t>
        <w:br/>
      </w:r>
    </w:p>
    <w:p>
      <w:pPr>
        <w:spacing w:before="0" w:after="120" w:line="360" w:lineRule="auto"/>
        <w:jc w:val="both"/>
      </w:pPr>
      <w:r>
        <w:rPr>
          <w:b w:val="0"/>
        </w:rPr>
        <w:t>We express our deepest gratitude and sincere appreciation to the Department of Computer Science and Engineering, School of Engineering, Presidency University, Bengaluru, for providing us with an outstanding environment, computational infrastructure, and resources to conduct this academic capstone project. The support and motivation received from the faculty members have been instrumental in shape-testing our concepts and bringing this project to fruition.</w:t>
      </w:r>
    </w:p>
    <w:p>
      <w:pPr>
        <w:spacing w:before="0" w:after="120" w:line="360" w:lineRule="auto"/>
        <w:jc w:val="both"/>
      </w:pPr>
      <w:r>
        <w:rPr>
          <w:b w:val="0"/>
        </w:rPr>
        <w:t xml:space="preserve">We would like to extend our special thanks to our Faculty Advisor and Reporting Manager for their continuous guidance, construct-testing feedback, and support throughout the design, training, and deployment phases of </w:t>
      </w:r>
      <w:r>
        <w:rPr>
          <w:b/>
          <w:color w:val="0F172A"/>
        </w:rPr>
        <w:t>MediAssist AI</w:t>
      </w:r>
      <w:r>
        <w:rPr>
          <w:b w:val="0"/>
        </w:rPr>
        <w:t>. Their expertise in deep learning models and natural language processing helped us address various integration and model optimization bottlenecks, particularly surrounding the clinical image classification calibration and symptom ensembles.</w:t>
      </w:r>
    </w:p>
    <w:p>
      <w:pPr>
        <w:spacing w:before="0" w:after="120" w:line="360" w:lineRule="auto"/>
        <w:jc w:val="both"/>
      </w:pPr>
      <w:r>
        <w:rPr>
          <w:b w:val="0"/>
        </w:rPr>
        <w:t>Lastly, we thank our parents, peers, and team members for their collaborative effort, constant encouragement, and constructive reviews. This project stands as a testament to the teamwork, technical dedication, and research rigor of all the members involved in the design, development, and validation of the MediAssist AI Intelligent Patient Platform.</w:t>
      </w:r>
    </w:p>
    <w:p>
      <w:r>
        <w:br w:type="page"/>
      </w:r>
    </w:p>
    <w:p>
      <w:pPr>
        <w:jc w:val="center"/>
      </w:pPr>
      <w:r>
        <w:rPr>
          <w:rFonts w:ascii="Arial" w:hAnsi="Arial"/>
          <w:b/>
          <w:color w:val="1E3A8A"/>
          <w:sz w:val="32"/>
        </w:rPr>
        <w:t>ABSTRACT</w:t>
        <w:br/>
      </w:r>
    </w:p>
    <w:p>
      <w:pPr>
        <w:jc w:val="right"/>
      </w:pPr>
      <w:r>
        <w:rPr>
          <w:rFonts w:ascii="Arial" w:hAnsi="Arial"/>
          <w:i/>
          <w:sz w:val="20"/>
        </w:rPr>
        <w:t>Page v</w:t>
        <w:br/>
      </w:r>
    </w:p>
    <w:p>
      <w:pPr>
        <w:spacing w:before="0" w:after="120" w:line="360" w:lineRule="auto"/>
        <w:jc w:val="both"/>
      </w:pPr>
      <w:r>
        <w:rPr>
          <w:b w:val="0"/>
        </w:rPr>
        <w:t xml:space="preserve">In modern healthcare delivery, patient screening and primary triage present significant bottlenecks due to fragmented diagnostics, varying quality of patient-provided clinical imagery, and high latencies in clinical communication. This project presents </w:t>
      </w:r>
      <w:r>
        <w:rPr>
          <w:b/>
          <w:color w:val="0F172A"/>
        </w:rPr>
        <w:t>MediAssist AI</w:t>
      </w:r>
      <w:r>
        <w:rPr>
          <w:b w:val="0"/>
        </w:rPr>
        <w:t xml:space="preserve">, a premium, unified medical SaaS platform designed to assist patients and clinicians through multi-modal AI intelligence. The system integrates three core clinical models: a PyTorch Multi-Layer Perceptron (MLP) symptom classifier, an NLP-based medical report summarizer, and a fine-tuned ResNet-18/ResNet-50 skin/eye disease image predictor. The entire suite is coordinated by the </w:t>
      </w:r>
      <w:r>
        <w:rPr>
          <w:b/>
          <w:color w:val="0F172A"/>
        </w:rPr>
        <w:t>Baymax AI Health Assistant</w:t>
      </w:r>
      <w:r>
        <w:rPr>
          <w:b w:val="0"/>
        </w:rPr>
        <w:t>, an interactive conversational agent that extracts symptoms from natural dialogue, triggers automated diagnostic runs, and renders clinical alerts.</w:t>
      </w:r>
    </w:p>
    <w:p>
      <w:pPr>
        <w:spacing w:before="0" w:after="120" w:line="360" w:lineRule="auto"/>
        <w:jc w:val="both"/>
      </w:pPr>
      <w:r>
        <w:rPr>
          <w:b w:val="0"/>
        </w:rPr>
        <w:t xml:space="preserve">The symptom classifier utilizes a voting ensemble consisting of a Decision Tree, a Random Forest, and a PyTorch MLP model, achieving 100% test accuracy on stratified symptom clusters. The medical report summarizer uses regex matching and structured clinical ranges to parse patient lab reports in PDF format and generate instant vital summaries. The image classification pipeline addresses 13 clinical visual classes (such as Eczema, Psoriasis, Vitiligo, and Conjunctivitis), utilizing transfer learning. To ensure clinical safety, we introduce </w:t>
      </w:r>
      <w:r>
        <w:rPr>
          <w:b/>
          <w:color w:val="0F172A"/>
        </w:rPr>
        <w:t>Bayesian prior boosting</w:t>
      </w:r>
      <w:r>
        <w:rPr>
          <w:b w:val="0"/>
        </w:rPr>
        <w:t xml:space="preserve"> (incorporating active symptom logits) and post-hoc </w:t>
      </w:r>
      <w:r>
        <w:rPr>
          <w:b/>
          <w:color w:val="0F172A"/>
        </w:rPr>
        <w:t>temperature calibration</w:t>
      </w:r>
      <w:r>
        <w:rPr>
          <w:b w:val="0"/>
        </w:rPr>
        <w:t xml:space="preserve"> via LBFGS optimization. These methodologies resolve neural overconfidence, reducing false predictions on blurry or irrelevant images while raising macro validation scores to </w:t>
      </w:r>
      <w:r>
        <w:rPr>
          <w:b/>
          <w:color w:val="0F172A"/>
        </w:rPr>
        <w:t>98%</w:t>
      </w:r>
      <w:r>
        <w:rPr>
          <w:b w:val="0"/>
        </w:rPr>
        <w:t xml:space="preserve"> (ResNet-18) and </w:t>
      </w:r>
      <w:r>
        <w:rPr>
          <w:b/>
          <w:color w:val="0F172A"/>
        </w:rPr>
        <w:t>42.98%</w:t>
      </w:r>
      <w:r>
        <w:rPr>
          <w:b w:val="0"/>
        </w:rPr>
        <w:t xml:space="preserve"> (ResNet-50 1-epoch sanity run). Accessibility is further enhanced by an Edge Neural voice synthesis assistant. MediAssist AI represents a major step forward in building unified, clinically-robust triage pipelines.</w:t>
      </w:r>
    </w:p>
    <w:p>
      <w:r>
        <w:br w:type="page"/>
      </w:r>
    </w:p>
    <w:p>
      <w:pPr>
        <w:jc w:val="center"/>
      </w:pPr>
      <w:r>
        <w:rPr>
          <w:rFonts w:ascii="Arial" w:hAnsi="Arial"/>
          <w:b/>
          <w:color w:val="1E3A8A"/>
          <w:sz w:val="32"/>
        </w:rPr>
        <w:t>TABLE OF CONTENTS</w:t>
        <w:br/>
      </w:r>
    </w:p>
    <w:p>
      <w:pPr>
        <w:jc w:val="right"/>
      </w:pPr>
      <w:r>
        <w:rPr>
          <w:rFonts w:ascii="Arial" w:hAnsi="Arial"/>
          <w:i/>
          <w:sz w:val="20"/>
        </w:rPr>
        <w:t>Page vi</w:t>
        <w:br/>
      </w:r>
    </w:p>
    <w:p>
      <w:pPr>
        <w:spacing w:before="0" w:after="40" w:line="276" w:lineRule="auto"/>
      </w:pPr>
      <w:r>
        <w:t>ACKNOWLEDGEMENT...............................................................iv</w:t>
      </w:r>
    </w:p>
    <w:p>
      <w:pPr>
        <w:spacing w:before="0" w:after="40" w:line="276" w:lineRule="auto"/>
      </w:pPr>
      <w:r>
        <w:t>ABSTRACT.......................................................................v</w:t>
      </w:r>
    </w:p>
    <w:p>
      <w:pPr>
        <w:spacing w:before="0" w:after="40" w:line="276" w:lineRule="auto"/>
      </w:pPr>
      <w:r>
        <w:t>TABLE OF CONTENTS.............................................................vi</w:t>
      </w:r>
    </w:p>
    <w:p>
      <w:pPr>
        <w:spacing w:before="0" w:after="40" w:line="276" w:lineRule="auto"/>
      </w:pPr>
      <w:r>
        <w:t>LIST OF FIGURES.............................................................viii</w:t>
      </w:r>
    </w:p>
    <w:p>
      <w:pPr>
        <w:spacing w:before="0" w:after="40" w:line="276" w:lineRule="auto"/>
      </w:pPr>
      <w:r>
        <w:t>LIST OF TABLES................................................................ix</w:t>
      </w:r>
    </w:p>
    <w:p>
      <w:pPr>
        <w:spacing w:before="0" w:after="40"/>
      </w:pPr>
    </w:p>
    <w:p>
      <w:pPr>
        <w:spacing w:before="0" w:after="40" w:line="276" w:lineRule="auto"/>
      </w:pPr>
      <w:r>
        <w:t>1. INTRODUCTION................................................................1</w:t>
      </w:r>
    </w:p>
    <w:p>
      <w:pPr>
        <w:spacing w:before="0" w:after="40" w:line="276" w:lineRule="auto"/>
      </w:pPr>
      <w:r>
        <w:t xml:space="preserve">   1.1 BACKGROUND AND MOTIVATION...............................................1</w:t>
      </w:r>
    </w:p>
    <w:p>
      <w:pPr>
        <w:spacing w:before="0" w:after="40" w:line="276" w:lineRule="auto"/>
      </w:pPr>
      <w:r>
        <w:t xml:space="preserve">   1.2 SCOPE AND LIMITATIONS...................................................2</w:t>
      </w:r>
    </w:p>
    <w:p>
      <w:pPr>
        <w:spacing w:before="0" w:after="40" w:line="276" w:lineRule="auto"/>
      </w:pPr>
      <w:r>
        <w:t xml:space="preserve">   1.3 PROBLEM STATEMENT.......................................................3</w:t>
      </w:r>
    </w:p>
    <w:p>
      <w:pPr>
        <w:spacing w:before="0" w:after="40" w:line="276" w:lineRule="auto"/>
      </w:pPr>
      <w:r>
        <w:t xml:space="preserve">   1.4 TECHNICAL MOTIVATION AND OBJECTIVES.....................................4</w:t>
      </w:r>
    </w:p>
    <w:p>
      <w:pPr>
        <w:spacing w:before="0" w:after="40"/>
      </w:pPr>
    </w:p>
    <w:p>
      <w:pPr>
        <w:spacing w:before="0" w:after="40" w:line="276" w:lineRule="auto"/>
      </w:pPr>
      <w:r>
        <w:t>2. ABOUT COMPANY OR ORGANIZATION...............................................6</w:t>
      </w:r>
    </w:p>
    <w:p>
      <w:pPr>
        <w:spacing w:before="0" w:after="40" w:line="276" w:lineRule="auto"/>
      </w:pPr>
      <w:r>
        <w:t xml:space="preserve">   2.1 INSTITUTIONAL OVERVIEW: PRESIDENCY UNIVERSITY...........................6</w:t>
      </w:r>
    </w:p>
    <w:p>
      <w:pPr>
        <w:spacing w:before="0" w:after="40" w:line="276" w:lineRule="auto"/>
      </w:pPr>
      <w:r>
        <w:t xml:space="preserve">   2.2 SCHOOL OF COMPUTER SCIENCE &amp; ENGINEERING................................8</w:t>
      </w:r>
    </w:p>
    <w:p>
      <w:pPr>
        <w:spacing w:before="0" w:after="40" w:line="276" w:lineRule="auto"/>
      </w:pPr>
      <w:r>
        <w:t xml:space="preserve">   2.3 CORE RESEARCH LABS AND COMPUTATIONAL GROUPS............................10</w:t>
      </w:r>
    </w:p>
    <w:p>
      <w:pPr>
        <w:spacing w:before="0" w:after="40" w:line="276" w:lineRule="auto"/>
      </w:pPr>
      <w:r>
        <w:t xml:space="preserve">   2.4 INTERNSHIP FRAMEWORK AND ACADEMIC STANDARDS............................11</w:t>
      </w:r>
    </w:p>
    <w:p>
      <w:pPr>
        <w:spacing w:before="0" w:after="40"/>
      </w:pPr>
    </w:p>
    <w:p>
      <w:pPr>
        <w:spacing w:before="0" w:after="40" w:line="276" w:lineRule="auto"/>
      </w:pPr>
      <w:r>
        <w:t>3. WORKING DOMAIN OR THE TECHNOLOGY...........................................13</w:t>
      </w:r>
    </w:p>
    <w:p>
      <w:pPr>
        <w:spacing w:before="0" w:after="40" w:line="276" w:lineRule="auto"/>
      </w:pPr>
      <w:r>
        <w:t xml:space="preserve">   3.1 DEEP LEARNING &amp; CONVOLUTIONAL NEURAL NETWORKS (CNNS)...................13</w:t>
      </w:r>
    </w:p>
    <w:p>
      <w:pPr>
        <w:spacing w:before="0" w:after="40" w:line="276" w:lineRule="auto"/>
      </w:pPr>
      <w:r>
        <w:t xml:space="preserve">   3.2 NATURAL LANGUAGE PROCESSING &amp; REGEX-BASED CLINICAL PARSING.............15</w:t>
      </w:r>
    </w:p>
    <w:p>
      <w:pPr>
        <w:spacing w:before="0" w:after="40" w:line="276" w:lineRule="auto"/>
      </w:pPr>
      <w:r>
        <w:t xml:space="preserve">   3.3 CONVERSATIONAL SPEECH PROCESSING (STT &amp; TTS)...........................17</w:t>
      </w:r>
    </w:p>
    <w:p>
      <w:pPr>
        <w:spacing w:before="0" w:after="40" w:line="276" w:lineRule="auto"/>
      </w:pPr>
      <w:r>
        <w:t xml:space="preserve">   3.4 STREAMLIT INTERFACE &amp; FULL-STACK STATE CACHING.........................19</w:t>
      </w:r>
    </w:p>
    <w:p>
      <w:pPr>
        <w:spacing w:before="0" w:after="40"/>
      </w:pPr>
    </w:p>
    <w:p>
      <w:pPr>
        <w:spacing w:before="0" w:after="40" w:line="276" w:lineRule="auto"/>
      </w:pPr>
      <w:r>
        <w:t>4. ABOUT YOUR TEAM AND REPORTING MANAGER......................................22</w:t>
      </w:r>
    </w:p>
    <w:p>
      <w:pPr>
        <w:spacing w:before="0" w:after="40" w:line="276" w:lineRule="auto"/>
      </w:pPr>
      <w:r>
        <w:t xml:space="preserve">   4.1 TEAM COMPOSITION AND INDIVIDUAL ROLES..................................22</w:t>
      </w:r>
    </w:p>
    <w:p>
      <w:pPr>
        <w:spacing w:before="0" w:after="40" w:line="276" w:lineRule="auto"/>
      </w:pPr>
      <w:r>
        <w:t xml:space="preserve">   4.2 REPORTING STRUCTURE AND ADVISORY MANAGEMENT............................23</w:t>
      </w:r>
    </w:p>
    <w:p>
      <w:pPr>
        <w:spacing w:before="0" w:after="40" w:line="276" w:lineRule="auto"/>
      </w:pPr>
      <w:r>
        <w:t xml:space="preserve">   4.3 COMPONENT INTERACTION &amp; COLLABORATION WORKFLOW.........................24</w:t>
      </w:r>
    </w:p>
    <w:p>
      <w:pPr>
        <w:spacing w:before="0" w:after="40" w:line="276" w:lineRule="auto"/>
      </w:pPr>
      <w:r>
        <w:t xml:space="preserve">   4.4 TASK CONTRIBUTION MATRIX...............................................25</w:t>
      </w:r>
    </w:p>
    <w:p>
      <w:pPr>
        <w:spacing w:before="0" w:after="40" w:line="276" w:lineRule="auto"/>
      </w:pPr>
      <w:r>
        <w:t xml:space="preserve">   4.5 SUMMARY................................................................25</w:t>
      </w:r>
    </w:p>
    <w:p>
      <w:pPr>
        <w:spacing w:before="0" w:after="40"/>
      </w:pPr>
    </w:p>
    <w:p>
      <w:pPr>
        <w:spacing w:before="0" w:after="40" w:line="276" w:lineRule="auto"/>
      </w:pPr>
      <w:r>
        <w:t>5. CHALLENGES FACED IN INTERNSHIP.............................................31</w:t>
      </w:r>
    </w:p>
    <w:p>
      <w:pPr>
        <w:spacing w:before="0" w:after="40" w:line="276" w:lineRule="auto"/>
      </w:pPr>
      <w:r>
        <w:t xml:space="preserve">   5.1 DATASET ACQUISITION AND CLASS IMBALANCE................................31</w:t>
      </w:r>
    </w:p>
    <w:p>
      <w:pPr>
        <w:spacing w:before="0" w:after="40" w:line="276" w:lineRule="auto"/>
      </w:pPr>
      <w:r>
        <w:t xml:space="preserve">   5.2 COMPUTATIONAL CONSTRAINTS AND CPU/GPU MEMORY OOMs......................33</w:t>
      </w:r>
    </w:p>
    <w:p>
      <w:pPr>
        <w:spacing w:before="0" w:after="40" w:line="276" w:lineRule="auto"/>
      </w:pPr>
      <w:r>
        <w:t xml:space="preserve">   5.3 HETEROGENEOUS MODEL INTEGRATION........................................35</w:t>
      </w:r>
    </w:p>
    <w:p>
      <w:pPr>
        <w:spacing w:before="0" w:after="40" w:line="276" w:lineRule="auto"/>
      </w:pPr>
      <w:r>
        <w:t xml:space="preserve">   5.4 TRANSCRIBER LATENCY AND FALLBACK ENGINES...............................36</w:t>
      </w:r>
    </w:p>
    <w:p>
      <w:pPr>
        <w:spacing w:before="0" w:after="40" w:line="276" w:lineRule="auto"/>
      </w:pPr>
      <w:r>
        <w:t xml:space="preserve">   5.5 NEURAL NETWORK OVERCONFIDENCE AND POST-HOC CALIBRATION.................37</w:t>
      </w:r>
    </w:p>
    <w:p>
      <w:pPr>
        <w:spacing w:before="0" w:after="40"/>
      </w:pPr>
    </w:p>
    <w:p>
      <w:pPr>
        <w:spacing w:before="0" w:after="40" w:line="276" w:lineRule="auto"/>
      </w:pPr>
      <w:r>
        <w:t>6. OBJECTIVES OF THE WORK.....................................................38</w:t>
      </w:r>
    </w:p>
    <w:p>
      <w:pPr>
        <w:spacing w:before="0" w:after="40" w:line="276" w:lineRule="auto"/>
      </w:pPr>
      <w:r>
        <w:t xml:space="preserve">   6.1 FUNCTIONAL OBJECTIVES &amp; DUAL-SCREEN LAYOUT.............................38</w:t>
      </w:r>
    </w:p>
    <w:p>
      <w:pPr>
        <w:spacing w:before="0" w:after="40" w:line="276" w:lineRule="auto"/>
      </w:pPr>
      <w:r>
        <w:t xml:space="preserve">   6.2 SYSTEM-LEVEL PERFORMANCE OBJECTIVES....................................39</w:t>
      </w:r>
    </w:p>
    <w:p>
      <w:pPr>
        <w:spacing w:before="0" w:after="40" w:line="276" w:lineRule="auto"/>
      </w:pPr>
      <w:r>
        <w:t xml:space="preserve">   6.3 ACCESSIBILITY &amp; INCLUSIVITY IN CLINICAL INTERFACES.....................40</w:t>
      </w:r>
    </w:p>
    <w:p>
      <w:pPr>
        <w:spacing w:before="0" w:after="40" w:line="276" w:lineRule="auto"/>
      </w:pPr>
      <w:r>
        <w:t xml:space="preserve">   6.4 CLINICAL COMPLIANCE &amp; SAFETY POLICIES..................................41</w:t>
      </w:r>
    </w:p>
    <w:p>
      <w:pPr>
        <w:spacing w:before="0" w:after="40"/>
      </w:pPr>
    </w:p>
    <w:p>
      <w:pPr>
        <w:spacing w:before="0" w:after="40" w:line="276" w:lineRule="auto"/>
      </w:pPr>
      <w:r>
        <w:t>7. GITHUB LINK................................................................42</w:t>
      </w:r>
    </w:p>
    <w:p>
      <w:pPr>
        <w:spacing w:before="0" w:after="40" w:line="276" w:lineRule="auto"/>
      </w:pPr>
      <w:r>
        <w:t xml:space="preserve">   7.1 HOSTING DETAILS AND REPOSITORY URL.....................................42</w:t>
      </w:r>
    </w:p>
    <w:p>
      <w:pPr>
        <w:spacing w:before="0" w:after="40" w:line="276" w:lineRule="auto"/>
      </w:pPr>
      <w:r>
        <w:t xml:space="preserve">   7.2 COLLABORATION METRICS AND COMMIT HISTORIES.............................43</w:t>
      </w:r>
    </w:p>
    <w:p>
      <w:pPr>
        <w:spacing w:before="0" w:after="40" w:line="276" w:lineRule="auto"/>
      </w:pPr>
      <w:r>
        <w:t xml:space="preserve">   7.3 CONCLUSION AND FUTURE ROADMAP..........................................43</w:t>
      </w:r>
    </w:p>
    <w:p>
      <w:pPr>
        <w:spacing w:before="0" w:after="40"/>
      </w:pPr>
    </w:p>
    <w:p>
      <w:pPr>
        <w:spacing w:before="0" w:after="40" w:line="276" w:lineRule="auto"/>
      </w:pPr>
      <w:r>
        <w:t>8. REFERENCES.................................................................45</w:t>
      </w:r>
    </w:p>
    <w:p>
      <w:r>
        <w:br w:type="page"/>
      </w:r>
    </w:p>
    <w:p>
      <w:pPr>
        <w:jc w:val="center"/>
      </w:pPr>
      <w:r>
        <w:rPr>
          <w:rFonts w:ascii="Arial" w:hAnsi="Arial"/>
          <w:b/>
          <w:color w:val="1E3A8A"/>
          <w:sz w:val="32"/>
        </w:rPr>
        <w:t>LIST OF FIGURES &amp; TABLES</w:t>
        <w:br/>
      </w:r>
    </w:p>
    <w:p>
      <w:pPr>
        <w:jc w:val="right"/>
      </w:pPr>
      <w:r>
        <w:rPr>
          <w:rFonts w:ascii="Arial" w:hAnsi="Arial"/>
          <w:i/>
          <w:sz w:val="20"/>
        </w:rPr>
        <w:t>Page viii</w:t>
        <w:br/>
      </w:r>
    </w:p>
    <w:p>
      <w:pPr>
        <w:keepNext/>
        <w:spacing w:before="320" w:after="120"/>
      </w:pPr>
      <w:r>
        <w:rPr>
          <w:rFonts w:ascii="Arial" w:hAnsi="Arial"/>
          <w:b/>
          <w:color w:val="2563EB"/>
          <w:sz w:val="28"/>
        </w:rPr>
        <w:t>List of Figures</w:t>
      </w:r>
    </w:p>
    <w:p>
      <w:pPr>
        <w:spacing w:after="60"/>
      </w:pPr>
      <w:r>
        <w:t>Figure 2.1: MediAssist AI Multimodal System Architecture Diagram...............4</w:t>
      </w:r>
    </w:p>
    <w:p>
      <w:pPr>
        <w:spacing w:after="60"/>
      </w:pPr>
      <w:r>
        <w:t>Figure 4.1: Card 1: Symptom Analyzer Ensemble UI Dashboard.....................7</w:t>
      </w:r>
    </w:p>
    <w:p>
      <w:pPr>
        <w:spacing w:after="60"/>
      </w:pPr>
      <w:r>
        <w:t>Figure 4.2: Card 2: Medical Report Summarizer (NLP Rule Engine) UI.............9</w:t>
      </w:r>
    </w:p>
    <w:p>
      <w:pPr>
        <w:spacing w:after="60"/>
      </w:pPr>
      <w:r>
        <w:t>Figure 4.3: Card 3: Skin &amp; Eye Screening (ResNet-18 Classifier) UI............11</w:t>
      </w:r>
    </w:p>
    <w:p>
      <w:pPr>
        <w:spacing w:after="60"/>
      </w:pPr>
      <w:r>
        <w:t>Figure 4.4: Baymax AI Chatbot &amp; Conversational Panel UI.......................12</w:t>
      </w:r>
    </w:p>
    <w:p>
      <w:pPr>
        <w:spacing w:after="60"/>
      </w:pPr>
      <w:r>
        <w:t>Figure 6.1: Unified Health Report &amp; Dynamic PDF Export UI.....................14</w:t>
      </w:r>
    </w:p>
    <w:p>
      <w:pPr>
        <w:keepNext/>
        <w:spacing w:before="320" w:after="120"/>
      </w:pPr>
      <w:r>
        <w:rPr>
          <w:rFonts w:ascii="Arial" w:hAnsi="Arial"/>
          <w:b/>
          <w:color w:val="2563EB"/>
          <w:sz w:val="28"/>
        </w:rPr>
        <w:t>List of Tables</w:t>
      </w:r>
    </w:p>
    <w:p>
      <w:pPr>
        <w:spacing w:after="60"/>
      </w:pPr>
      <w:r>
        <w:t>Table 4.1: Tracked Symptom Binary Feature Definitions.........................15</w:t>
      </w:r>
    </w:p>
    <w:p>
      <w:pPr>
        <w:spacing w:after="60"/>
      </w:pPr>
      <w:r>
        <w:t>Table 4.2: Report Summarizer Clinical Vitals &amp; Reference Ranges...............16</w:t>
      </w:r>
    </w:p>
    <w:p>
      <w:pPr>
        <w:spacing w:after="60"/>
      </w:pPr>
      <w:r>
        <w:t>Table 5.1: Software Stack &amp; Main Library Dependencies.........................27</w:t>
      </w:r>
    </w:p>
    <w:p>
      <w:pPr>
        <w:spacing w:after="60"/>
      </w:pPr>
      <w:r>
        <w:t>Table 6.1: Specialized Symptom Classifier Model Accuracy Metrics..............29</w:t>
      </w:r>
    </w:p>
    <w:p>
      <w:pPr>
        <w:spacing w:after="60"/>
      </w:pPr>
      <w:r>
        <w:t>Table 6.2: Fine-Tuned ResNet-18 Classifier Class-Specific Metrics.............30</w:t>
      </w:r>
    </w:p>
    <w:p>
      <w:r>
        <w:br w:type="page"/>
      </w:r>
    </w:p>
    <w:p>
      <w:pPr>
        <w:keepNext/>
        <w:spacing w:before="480" w:after="160"/>
      </w:pPr>
      <w:r>
        <w:rPr>
          <w:rFonts w:ascii="Arial" w:hAnsi="Arial"/>
          <w:b/>
          <w:color w:val="1E3A8A"/>
          <w:sz w:val="36"/>
        </w:rPr>
        <w:t>1. INTRODUCTION</w:t>
      </w:r>
    </w:p>
    <w:p>
      <w:pPr>
        <w:spacing w:before="0" w:after="120" w:line="360" w:lineRule="auto"/>
        <w:jc w:val="right"/>
      </w:pPr>
      <w:r>
        <w:rPr>
          <w:b w:val="0"/>
        </w:rPr>
        <w:t>Page 1</w:t>
        <w:br/>
      </w:r>
    </w:p>
    <w:p>
      <w:pPr>
        <w:keepNext/>
        <w:spacing w:before="320" w:after="120"/>
      </w:pPr>
      <w:r>
        <w:rPr>
          <w:rFonts w:ascii="Arial" w:hAnsi="Arial"/>
          <w:b/>
          <w:color w:val="2563EB"/>
          <w:sz w:val="28"/>
        </w:rPr>
        <w:t>1.1 BACKGROUND AND MOTIVATION</w:t>
      </w:r>
    </w:p>
    <w:p>
      <w:pPr>
        <w:spacing w:before="0" w:after="120" w:line="360" w:lineRule="auto"/>
        <w:jc w:val="both"/>
      </w:pPr>
      <w:r>
        <w:rPr>
          <w:b w:val="0"/>
        </w:rPr>
        <w:t>The rapid digitization of contemporary healthcare systems has triggered an exponential growth in the volume and diversity of patient-generated clinical data. While electronic health records (EHRs) and digital diagnostic imaging have improved clinical data storage, patient-facing screening and primary triage remain significant bottlenecks. Patients frequently experience long waiting times to consult general practitioners or specialists for minor, non-emergency conditions. Conversely, clinical practitioners are often overwhelmed by a high volume of low-acuity consultations, which limits the time and energy they can allocate to patients with severe, life-threatening conditions. Consequently, there is an urgent clinical requirement to develop unified, multimodal, and accessible triage platforms that can support patients by performing preliminary symptom evaluation and medical report translation prior to formal medical consultations.</w:t>
      </w:r>
    </w:p>
    <w:p>
      <w:pPr>
        <w:spacing w:before="0" w:after="120" w:line="360" w:lineRule="auto"/>
        <w:jc w:val="both"/>
      </w:pPr>
      <w:r>
        <w:rPr>
          <w:b w:val="0"/>
        </w:rPr>
        <w:t xml:space="preserve">Furthermore, advancements in deep learning have enabled computer vision algorithms to achieve diagnostic parity with clinical specialists in specific tasks, such as classifying skin lesions or ophthalmic images. However, these models typically operate in isolation. A patient presenting with skin rashes might also exhibit systemic symptoms like fever, joint pain, or fatigue, and may have relevant laboratory test results (e.g., blood cell counts or glucose metrics). Fragmented diagnostic pipelines that analyze these modalities separately fail to capture the holistic clinical profile of the patient. The </w:t>
      </w:r>
      <w:r>
        <w:rPr>
          <w:b/>
          <w:color w:val="0F172A"/>
        </w:rPr>
        <w:t>MediAssist AI</w:t>
      </w:r>
      <w:r>
        <w:rPr>
          <w:b w:val="0"/>
        </w:rPr>
        <w:t xml:space="preserve"> project is motivated by the clinical imperative to unify these diagnostic modalities—symptom questionnaires, physical laboratory reports, and visual macro imagery—into a single, cohesive, and easy-to-use software assistant.</w:t>
      </w:r>
    </w:p>
    <w:p>
      <w:pPr>
        <w:keepNext/>
        <w:spacing w:before="320" w:after="120"/>
      </w:pPr>
      <w:r>
        <w:rPr>
          <w:rFonts w:ascii="Arial" w:hAnsi="Arial"/>
          <w:b/>
          <w:color w:val="2563EB"/>
          <w:sz w:val="28"/>
        </w:rPr>
        <w:t>1.2 SCOPE AND LIMITATIONS</w:t>
      </w:r>
    </w:p>
    <w:p>
      <w:pPr>
        <w:spacing w:before="0" w:after="120" w:line="360" w:lineRule="auto"/>
        <w:jc w:val="both"/>
      </w:pPr>
      <w:r>
        <w:rPr>
          <w:b w:val="0"/>
        </w:rPr>
        <w:t xml:space="preserve">The scope of </w:t>
      </w:r>
      <w:r>
        <w:rPr>
          <w:b/>
          <w:color w:val="0F172A"/>
        </w:rPr>
        <w:t>MediAssist AI</w:t>
      </w:r>
      <w:r>
        <w:rPr>
          <w:b w:val="0"/>
        </w:rPr>
        <w:t xml:space="preserve"> is carefully delineated to provide research-grade preliminary screening and triaging capabilities while maintaining patient safety. The application acts as a patient-facing clinical screening dashboard composed of four primary components: a checklist-based symptom analyzer, a regex-driven medical laboratory report summarizer, a convolutional neural network (CNN) image classifier for 13 distinct dermatological and ophthalmic conditions, and a conversational voice-enabled chatbot avatar (Baymax) that guides users through their triage workflow. By integrating these components, the platform can synthesize a comprehensive clinical summary report that can be exported as a print-ready PDF, providing patients with structured information to share with their doctors.</w:t>
      </w:r>
    </w:p>
    <w:p>
      <w:pPr>
        <w:spacing w:before="0" w:after="120" w:line="360" w:lineRule="auto"/>
        <w:jc w:val="both"/>
      </w:pPr>
      <w:r>
        <w:rPr>
          <w:b w:val="0"/>
        </w:rPr>
        <w:t xml:space="preserve">Despite its advanced technical architecture, the platform has several fundamental limitations to prevent misuse: First, MediAssist AI is </w:t>
      </w:r>
      <w:r>
        <w:rPr>
          <w:b/>
          <w:color w:val="0F172A"/>
        </w:rPr>
        <w:t>NOT</w:t>
      </w:r>
      <w:r>
        <w:rPr>
          <w:b w:val="0"/>
        </w:rPr>
        <w:t xml:space="preserve"> a medical diagnostic device, and it is explicitly configured with research-grade disclaimers informing users that the outputs do not replace formal clinical examinations. Second, the system is designed only for non-emergency triage; it does not prescribe medications or suggest surgical treatments. Third, the system's image classification pipeline relies on macro photography, which makes it sensitive to extreme variations in image quality, such as defocus blur, severe motion artifacts, and sensor noise. To mitigate this risk, safety filters have been integrated to reject highly degraded inputs, rather than forcing erroneous classifications on unrecognizable images.</w:t>
      </w:r>
    </w:p>
    <w:p>
      <w:r>
        <w:br w:type="page"/>
      </w:r>
    </w:p>
    <w:p>
      <w:pPr>
        <w:spacing w:before="0" w:after="120" w:line="360" w:lineRule="auto"/>
        <w:jc w:val="right"/>
      </w:pPr>
      <w:r>
        <w:rPr>
          <w:b w:val="0"/>
        </w:rPr>
        <w:t>Page 3</w:t>
        <w:br/>
      </w:r>
    </w:p>
    <w:p>
      <w:pPr>
        <w:keepNext/>
        <w:spacing w:before="320" w:after="120"/>
      </w:pPr>
      <w:r>
        <w:rPr>
          <w:rFonts w:ascii="Arial" w:hAnsi="Arial"/>
          <w:b/>
          <w:color w:val="2563EB"/>
          <w:sz w:val="28"/>
        </w:rPr>
        <w:t>1.3 PROBLEM STATEMENT</w:t>
      </w:r>
    </w:p>
    <w:p>
      <w:pPr>
        <w:spacing w:before="0" w:after="120" w:line="360" w:lineRule="auto"/>
        <w:jc w:val="both"/>
      </w:pPr>
      <w:r>
        <w:rPr>
          <w:b w:val="0"/>
        </w:rPr>
        <w:t>The core problem addressed by MediAssist AI is the severe inefficiency, high cost, and fragmentation of modern clinical triaging systems. Specifically, the challenges can be broken down into three major engineering and clinical areas:</w:t>
        <w:br/>
        <w:t xml:space="preserve">1. </w:t>
      </w:r>
      <w:r>
        <w:rPr>
          <w:b/>
          <w:color w:val="0F172A"/>
        </w:rPr>
        <w:t>Information Isolation:</w:t>
      </w:r>
      <w:r>
        <w:rPr>
          <w:b w:val="0"/>
        </w:rPr>
        <w:t xml:space="preserve"> Patient data is scattered. An image of an inflamed eye, a list of systemic symptoms, and a blood test PDF are processed by distinct clinical software. The lack of a unified representation prevents intelligent Bayesian cross-referencing, where symptom context is used to boost the confidence of visual diagnostics.</w:t>
        <w:br/>
        <w:t xml:space="preserve">2. </w:t>
      </w:r>
      <w:r>
        <w:rPr>
          <w:b/>
          <w:color w:val="0F172A"/>
        </w:rPr>
        <w:t>Neural Overconfidence in Computer Vision:</w:t>
      </w:r>
      <w:r>
        <w:rPr>
          <w:b w:val="0"/>
        </w:rPr>
        <w:t xml:space="preserve"> Standard CNN classifiers (such as ResNet-18 or ResNet-50) are notorious for producing overconfident, incorrect predictions when exposed to out-of-distribution (OOD) inputs or low-quality, blurry photos. In a medical triage app, forcing a prediction on a picture of a coffee mug or a highly blurred lesion is a major clinical hazard.</w:t>
        <w:br/>
        <w:t xml:space="preserve">3. </w:t>
      </w:r>
      <w:r>
        <w:rPr>
          <w:b/>
          <w:color w:val="0F172A"/>
        </w:rPr>
        <w:t>Inaccessibility of Clinical Data:</w:t>
      </w:r>
      <w:r>
        <w:rPr>
          <w:b w:val="0"/>
        </w:rPr>
        <w:t xml:space="preserve"> Patients struggle to understand numeric laboratory parameters (such as HbA1c, WBC counts, or cholesterol concentrations). They lack an intuitive, conversational interface that can translate these metrics into clear, actionable advice while keeping their emotional state calm through empathetic interaction.</w:t>
      </w:r>
    </w:p>
    <w:p>
      <w:pPr>
        <w:keepNext/>
        <w:spacing w:before="320" w:after="120"/>
      </w:pPr>
      <w:r>
        <w:rPr>
          <w:rFonts w:ascii="Arial" w:hAnsi="Arial"/>
          <w:b/>
          <w:color w:val="2563EB"/>
          <w:sz w:val="28"/>
        </w:rPr>
        <w:t>1.4 TECHNICAL MOTIVATION AND OBJECTIVES</w:t>
      </w:r>
    </w:p>
    <w:p>
      <w:pPr>
        <w:spacing w:before="0" w:after="120" w:line="360" w:lineRule="auto"/>
        <w:jc w:val="both"/>
      </w:pPr>
      <w:r>
        <w:rPr>
          <w:b w:val="0"/>
        </w:rPr>
        <w:t>To resolve the aforementioned problem statement, this project is technically motivated to develop a state-of-the-art web-based triage system utilizing advanced calibration and ensemble techniques. The principal objectives of the work include:</w:t>
        <w:br/>
        <w:t xml:space="preserve">• </w:t>
      </w:r>
      <w:r>
        <w:rPr>
          <w:b/>
          <w:color w:val="0F172A"/>
        </w:rPr>
        <w:t>Objective 1:</w:t>
      </w:r>
      <w:r>
        <w:rPr>
          <w:b w:val="0"/>
        </w:rPr>
        <w:t xml:space="preserve"> Implement a 32-class symptom triage voting ensemble utilizing a Decision Tree, a Random Forest, and a PyTorch Multi-Layer Perceptron (MLP) to ensure high-fidelity classification of systemic symptoms.</w:t>
        <w:br/>
        <w:t xml:space="preserve">• </w:t>
      </w:r>
      <w:r>
        <w:rPr>
          <w:b/>
          <w:color w:val="0F172A"/>
        </w:rPr>
        <w:t>Objective 2:</w:t>
      </w:r>
      <w:r>
        <w:rPr>
          <w:b w:val="0"/>
        </w:rPr>
        <w:t xml:space="preserve"> Design a robust, localized NLP rule engine to parse and extract key vital statistics from PDF reports, mapping them against standard reference ranges.</w:t>
        <w:br/>
        <w:t xml:space="preserve">• </w:t>
      </w:r>
      <w:r>
        <w:rPr>
          <w:b/>
          <w:color w:val="0F172A"/>
        </w:rPr>
        <w:t>Objective 3:</w:t>
      </w:r>
      <w:r>
        <w:rPr>
          <w:b w:val="0"/>
        </w:rPr>
        <w:t xml:space="preserve"> Build a 13-class skin and eye image classifier utilizing transfer learning on deep CNNs, and integrate </w:t>
      </w:r>
      <w:r>
        <w:rPr>
          <w:b/>
          <w:color w:val="0F172A"/>
        </w:rPr>
        <w:t>Bayesian prior boosting</w:t>
      </w:r>
      <w:r>
        <w:rPr>
          <w:b w:val="0"/>
        </w:rPr>
        <w:t xml:space="preserve"> and </w:t>
      </w:r>
      <w:r>
        <w:rPr>
          <w:b/>
          <w:color w:val="0F172A"/>
        </w:rPr>
        <w:t>temperature scaling calibration</w:t>
      </w:r>
      <w:r>
        <w:rPr>
          <w:b w:val="0"/>
        </w:rPr>
        <w:t xml:space="preserve"> to address model overconfidence.</w:t>
        <w:br/>
        <w:t xml:space="preserve">• </w:t>
      </w:r>
      <w:r>
        <w:rPr>
          <w:b/>
          <w:color w:val="0F172A"/>
        </w:rPr>
        <w:t>Objective 4:</w:t>
      </w:r>
      <w:r>
        <w:rPr>
          <w:b w:val="0"/>
        </w:rPr>
        <w:t xml:space="preserve"> Develop a localized, conversational AI chatbot (Baymax) equipped with edge-tts neural voice synthesis and offline speech-recognition fallbacks to ensure maximum user accessibility.</w:t>
      </w:r>
    </w:p>
    <w:p>
      <w:r>
        <w:br w:type="page"/>
      </w:r>
    </w:p>
    <w:p>
      <w:pPr>
        <w:keepNext/>
        <w:spacing w:before="480" w:after="160"/>
      </w:pPr>
      <w:r>
        <w:rPr>
          <w:rFonts w:ascii="Arial" w:hAnsi="Arial"/>
          <w:b/>
          <w:color w:val="1E3A8A"/>
          <w:sz w:val="36"/>
        </w:rPr>
        <w:t>2. ABOUT COMPANY OR ORGANIZATION</w:t>
      </w:r>
    </w:p>
    <w:p>
      <w:pPr>
        <w:spacing w:before="0" w:after="120" w:line="360" w:lineRule="auto"/>
        <w:jc w:val="right"/>
      </w:pPr>
      <w:r>
        <w:rPr>
          <w:b w:val="0"/>
        </w:rPr>
        <w:t>Page 6</w:t>
        <w:br/>
      </w:r>
    </w:p>
    <w:p>
      <w:pPr>
        <w:keepNext/>
        <w:spacing w:before="320" w:after="120"/>
      </w:pPr>
      <w:r>
        <w:rPr>
          <w:rFonts w:ascii="Arial" w:hAnsi="Arial"/>
          <w:b/>
          <w:color w:val="2563EB"/>
          <w:sz w:val="28"/>
        </w:rPr>
        <w:t>2.1 INSTITUTIONAL OVERVIEW: PRESIDENCY UNIVERSITY</w:t>
      </w:r>
    </w:p>
    <w:p>
      <w:pPr>
        <w:spacing w:before="0" w:after="120" w:line="360" w:lineRule="auto"/>
        <w:jc w:val="both"/>
      </w:pPr>
      <w:r>
        <w:rPr>
          <w:b w:val="0"/>
        </w:rPr>
        <w:t xml:space="preserve">This project was developed under the academic aegis and research framework of </w:t>
      </w:r>
      <w:r>
        <w:rPr>
          <w:b/>
          <w:color w:val="0F172A"/>
        </w:rPr>
        <w:t>Presidency University</w:t>
      </w:r>
      <w:r>
        <w:rPr>
          <w:b w:val="0"/>
        </w:rPr>
        <w:t>, Bengaluru, India. Presidency University is a private university established under the Presidency University Act of 2013. The university is committed to building engineering excellence and promoting research-oriented learning. It features modern lecture halls, advanced computational laboratories, and specialized research centers that encourage students to tackle real-world problems using computer vision, artificial intelligence, and machine learning techniques.</w:t>
      </w:r>
    </w:p>
    <w:p>
      <w:pPr>
        <w:spacing w:before="0" w:after="120" w:line="360" w:lineRule="auto"/>
        <w:jc w:val="both"/>
      </w:pPr>
      <w:r>
        <w:rPr>
          <w:b w:val="0"/>
        </w:rPr>
        <w:t>The university operates with the core objective of bridging the gap between industry requirements and academic learning. By collaborating with medical professionals, industry experts, and software developers, the university hosts capstone projects and internship programs that push the boundaries of conventional software engineering. The design and development of MediAssist AI were guided by these institutional principles, ensuring that the project adheres to rigorous computational validation standards and clinical safety protocols.</w:t>
      </w:r>
    </w:p>
    <w:p>
      <w:pPr>
        <w:keepNext/>
        <w:spacing w:before="320" w:after="120"/>
      </w:pPr>
      <w:r>
        <w:rPr>
          <w:rFonts w:ascii="Arial" w:hAnsi="Arial"/>
          <w:b/>
          <w:color w:val="2563EB"/>
          <w:sz w:val="28"/>
        </w:rPr>
        <w:t>2.2 SCHOOL OF COMPUTER SCIENCE &amp; ENGINEERING</w:t>
      </w:r>
    </w:p>
    <w:p>
      <w:pPr>
        <w:spacing w:before="0" w:after="120" w:line="360" w:lineRule="auto"/>
        <w:jc w:val="both"/>
      </w:pPr>
      <w:r>
        <w:rPr>
          <w:b w:val="0"/>
        </w:rPr>
        <w:t>The School of Computer Science and Engineering at Presidency University stands at the forefront of AI and Data Science education. The department offers specialized programs in Artificial Intelligence and Machine Learning (AI &amp; ML), Data Science, and Information Technology. It is equipped with advanced software engineering labs, private cloud clusters, and GPU compute hardware to facilitate deep learning model training. The academic curriculum emphasizes hands-on projects, encouraging students to build complete, functional, and deployable systems rather than theoretical models.</w:t>
      </w:r>
    </w:p>
    <w:p>
      <w:pPr>
        <w:spacing w:before="0" w:after="120" w:line="360" w:lineRule="auto"/>
        <w:jc w:val="both"/>
      </w:pPr>
      <w:r>
        <w:rPr>
          <w:b w:val="0"/>
        </w:rPr>
        <w:t>Faculty members at the School of CSE specialize in diverse fields, including computer vision, medical image analysis, natural language processing, and cloud application deployment. Their academic mentorship provided the necessary theoretical foundation for this project, particularly in selecting appropriate network architectures (ResNet) and mathematical calibration techniques (temperature scaling via LBFGS optimization) to build a robust medical triage application.</w:t>
      </w:r>
    </w:p>
    <w:p>
      <w:r>
        <w:br w:type="page"/>
      </w:r>
    </w:p>
    <w:p>
      <w:pPr>
        <w:spacing w:before="0" w:after="120" w:line="360" w:lineRule="auto"/>
        <w:jc w:val="right"/>
      </w:pPr>
      <w:r>
        <w:rPr>
          <w:b w:val="0"/>
        </w:rPr>
        <w:t>Page 8</w:t>
        <w:br/>
      </w:r>
    </w:p>
    <w:p>
      <w:pPr>
        <w:keepNext/>
        <w:spacing w:before="320" w:after="120"/>
      </w:pPr>
      <w:r>
        <w:rPr>
          <w:rFonts w:ascii="Arial" w:hAnsi="Arial"/>
          <w:b/>
          <w:color w:val="2563EB"/>
          <w:sz w:val="28"/>
        </w:rPr>
        <w:t>2.3 CORE RESEARCH LABS AND COMPUTATIONAL GROUPS</w:t>
      </w:r>
    </w:p>
    <w:p>
      <w:pPr>
        <w:spacing w:before="0" w:after="120" w:line="360" w:lineRule="auto"/>
        <w:jc w:val="both"/>
      </w:pPr>
      <w:r>
        <w:rPr>
          <w:b w:val="0"/>
        </w:rPr>
        <w:t xml:space="preserve">Within the School of Computer Science and Engineering, the </w:t>
      </w:r>
      <w:r>
        <w:rPr>
          <w:b/>
          <w:color w:val="0F172A"/>
        </w:rPr>
        <w:t>Healthcare AI Research Group</w:t>
      </w:r>
      <w:r>
        <w:rPr>
          <w:b w:val="0"/>
        </w:rPr>
        <w:t xml:space="preserve"> and the </w:t>
      </w:r>
      <w:r>
        <w:rPr>
          <w:b/>
          <w:color w:val="0F172A"/>
        </w:rPr>
        <w:t>Computational Vision Laboratory</w:t>
      </w:r>
      <w:r>
        <w:rPr>
          <w:b w:val="0"/>
        </w:rPr>
        <w:t xml:space="preserve"> serve as key collaborative hubs. These labs are dedicated to exploring the intersection of deep learning and clinical informatics. They bring together students, research scholars, and industry mentors to work on projects spanning automatic diabetic retinopathy detection, skin lesion segmentation, chest X-ray classifiers, and clinical speech assistants. The research environment encourages students to implement rigorous validation metrics, such as subject-aware data splits to prevent patient leakage, and duplicate detection using perceptual hashing, which are standard practices in professional healthcare AI product development.</w:t>
      </w:r>
    </w:p>
    <w:p>
      <w:pPr>
        <w:keepNext/>
        <w:spacing w:before="320" w:after="120"/>
      </w:pPr>
      <w:r>
        <w:rPr>
          <w:rFonts w:ascii="Arial" w:hAnsi="Arial"/>
          <w:b/>
          <w:color w:val="2563EB"/>
          <w:sz w:val="28"/>
        </w:rPr>
        <w:t>2.4 INTERNSHIP FRAMEWORK AND ACADEMIC STANDARDS</w:t>
      </w:r>
    </w:p>
    <w:p>
      <w:pPr>
        <w:spacing w:before="0" w:after="120" w:line="360" w:lineRule="auto"/>
        <w:jc w:val="both"/>
      </w:pPr>
      <w:r>
        <w:rPr>
          <w:b w:val="0"/>
        </w:rPr>
        <w:t xml:space="preserve">The development of MediAssist AI was structured within the </w:t>
      </w:r>
      <w:r>
        <w:rPr>
          <w:b/>
          <w:color w:val="0F172A"/>
        </w:rPr>
        <w:t>University Capstone and Internship Framework</w:t>
      </w:r>
      <w:r>
        <w:rPr>
          <w:b w:val="0"/>
        </w:rPr>
        <w:t>, a milestone-driven program that simulates real-world software product development cycles. Under this framework, student teams function as autonomous software engineering units. They are required to gather requirements, design the technical architecture, curate verified datasets, train and validate models, build user-friendly interfaces, and document their findings in detailed technical reports. Weekly reviews with our academic advisor and reporting manager ensured that all milestones—from dataset collection to final deployment—were executed on-schedule and adhered to professional software engineering standards.</w:t>
      </w:r>
    </w:p>
    <w:p>
      <w:r>
        <w:br w:type="page"/>
      </w:r>
    </w:p>
    <w:p>
      <w:pPr>
        <w:keepNext/>
        <w:spacing w:before="480" w:after="160"/>
      </w:pPr>
      <w:r>
        <w:rPr>
          <w:rFonts w:ascii="Arial" w:hAnsi="Arial"/>
          <w:b/>
          <w:color w:val="1E3A8A"/>
          <w:sz w:val="36"/>
        </w:rPr>
        <w:t>3. WORKING DOMAIN OR THE TECHNOLOGY</w:t>
      </w:r>
    </w:p>
    <w:p>
      <w:pPr>
        <w:spacing w:before="0" w:after="120" w:line="360" w:lineRule="auto"/>
        <w:jc w:val="right"/>
      </w:pPr>
      <w:r>
        <w:rPr>
          <w:b w:val="0"/>
        </w:rPr>
        <w:t>Page 13</w:t>
        <w:br/>
      </w:r>
    </w:p>
    <w:p>
      <w:pPr>
        <w:keepNext/>
        <w:spacing w:before="320" w:after="120"/>
      </w:pPr>
      <w:r>
        <w:rPr>
          <w:rFonts w:ascii="Arial" w:hAnsi="Arial"/>
          <w:b/>
          <w:color w:val="2563EB"/>
          <w:sz w:val="28"/>
        </w:rPr>
        <w:t>3.1 DEEP LEARNING &amp; CONVOLUTIONAL NEURAL NETWORKS (CNNS)</w:t>
      </w:r>
    </w:p>
    <w:p>
      <w:pPr>
        <w:spacing w:before="0" w:after="120" w:line="360" w:lineRule="auto"/>
        <w:jc w:val="both"/>
      </w:pPr>
      <w:r>
        <w:rPr>
          <w:b w:val="0"/>
        </w:rPr>
        <w:t xml:space="preserve">The primary technology domain of MediAssist AI is </w:t>
      </w:r>
      <w:r>
        <w:rPr>
          <w:b/>
          <w:color w:val="0F172A"/>
        </w:rPr>
        <w:t>Deep Learning for Computer Vision</w:t>
      </w:r>
      <w:r>
        <w:rPr>
          <w:b w:val="0"/>
        </w:rPr>
        <w:t>, specifically focusing on dermatological and ophthalmic image classification. Convolutional Neural Networks (CNNs) have emerged as the gold standard for visual tasks because they automatically extract spatial hierarchies of features from raw pixel grids. Instead of relying on hand-crafted texture or color features, CNNs use convolutional kernels to detect low-level edges in early layers, mid-level shapes and textures in intermediate layers, and high-level disease-specific patterns in deep layers.</w:t>
      </w:r>
    </w:p>
    <w:p>
      <w:pPr>
        <w:spacing w:before="0" w:after="120" w:line="360" w:lineRule="auto"/>
        <w:jc w:val="both"/>
      </w:pPr>
      <w:r>
        <w:rPr>
          <w:b w:val="0"/>
        </w:rPr>
        <w:t xml:space="preserve">In this project, we leverage </w:t>
      </w:r>
      <w:r>
        <w:rPr>
          <w:b/>
          <w:color w:val="0F172A"/>
        </w:rPr>
        <w:t>Transfer Learning</w:t>
      </w:r>
      <w:r>
        <w:rPr>
          <w:b w:val="0"/>
        </w:rPr>
        <w:t xml:space="preserve"> using pre-trained </w:t>
      </w:r>
      <w:r>
        <w:rPr>
          <w:b/>
          <w:color w:val="0F172A"/>
        </w:rPr>
        <w:t>ResNet-18</w:t>
      </w:r>
      <w:r>
        <w:rPr>
          <w:b w:val="0"/>
        </w:rPr>
        <w:t xml:space="preserve"> and </w:t>
      </w:r>
      <w:r>
        <w:rPr>
          <w:b/>
          <w:color w:val="0F172A"/>
        </w:rPr>
        <w:t>ResNet-50</w:t>
      </w:r>
      <w:r>
        <w:rPr>
          <w:b w:val="0"/>
        </w:rPr>
        <w:t xml:space="preserve"> architectures. Training a deep neural network from scratch requires hundreds of thousands of images, which are rarely available in specialized clinical domains. Transfer learning circumvents this by using models pre-trained on the massive ImageNet dataset to initialize the network's weights. The early and middle layers, which have learned general visual representations (edges, corners, gradients), are frozen or fine-tuned with a low learning rate. The final fully connected (FC) layer is replaced with a custom classifier mapping the feature vectors to our 13 visual classes, which is then fine-tuned on our curated clinical dataset. This methodology enables us to achieve high classification accuracy even with a dataset of under one thousand high-quality clinical images.</w:t>
      </w:r>
    </w:p>
    <w:p>
      <w:pPr>
        <w:keepNext/>
        <w:spacing w:before="320" w:after="120"/>
      </w:pPr>
      <w:r>
        <w:rPr>
          <w:rFonts w:ascii="Arial" w:hAnsi="Arial"/>
          <w:b/>
          <w:color w:val="2563EB"/>
          <w:sz w:val="28"/>
        </w:rPr>
        <w:t>3.2 NATURAL LANGUAGE PROCESSING &amp; REGEX-BASED CLINICAL PARSING</w:t>
      </w:r>
    </w:p>
    <w:p>
      <w:pPr>
        <w:spacing w:before="0" w:after="120" w:line="360" w:lineRule="auto"/>
        <w:jc w:val="both"/>
      </w:pPr>
      <w:r>
        <w:rPr>
          <w:b w:val="0"/>
        </w:rPr>
        <w:t xml:space="preserve">For medical laboratory report analysis, the platform utilizes </w:t>
      </w:r>
      <w:r>
        <w:rPr>
          <w:b/>
          <w:color w:val="0F172A"/>
        </w:rPr>
        <w:t>Natural Language Processing (NLP)</w:t>
      </w:r>
      <w:r>
        <w:rPr>
          <w:b w:val="0"/>
        </w:rPr>
        <w:t xml:space="preserve"> and rule-based text extraction engines. Laboratory reports are typically distributed as PDF files containing semi-structured text. To extract clinical parameters, the system uses the Python `pypdf` or `pdfplumber` library to extract raw text streams. Once extracted, the unstructured text is processed by a keyword matching and Regular Expressions (Regex) compiler. This regex engine is configured to search for alphanumeric patterns representing vital clinical metrics—such as Hemoglobin, White Blood Cell (WBC) count, Fasting Blood Glucose, HbA1c, and Total Cholesterol—along with their associated numeric units (e.g., mg/dL, %, g/dL).</w:t>
      </w:r>
    </w:p>
    <w:p>
      <w:pPr>
        <w:spacing w:before="0" w:after="120" w:line="360" w:lineRule="auto"/>
        <w:jc w:val="both"/>
      </w:pPr>
      <w:r>
        <w:rPr>
          <w:b w:val="0"/>
        </w:rPr>
        <w:t>Once parsed, the values are passed through a clinical reference mapping layer. This layer represents standard diagnostic thresholds defined by major medical associations (such as the American Diabetes Association). The system evaluates whether the patient's vitals are Normal, Pre-diabetic, Diabetic, or Elevated, and compiles an automated summary. This rule-based NLP approach is chosen over generative language models for the parsing step to ensure absolute deterministic correctness, preventing the 'hallucinations' that large language models (LLMs) can exhibit when handling numeric patient data.</w:t>
      </w:r>
    </w:p>
    <w:p>
      <w:r>
        <w:br w:type="page"/>
      </w:r>
    </w:p>
    <w:p>
      <w:pPr>
        <w:spacing w:before="0" w:after="120" w:line="360" w:lineRule="auto"/>
        <w:jc w:val="right"/>
      </w:pPr>
      <w:r>
        <w:rPr>
          <w:b w:val="0"/>
        </w:rPr>
        <w:t>Page 15</w:t>
        <w:br/>
      </w:r>
    </w:p>
    <w:p>
      <w:pPr>
        <w:keepNext/>
        <w:spacing w:before="320" w:after="120"/>
      </w:pPr>
      <w:r>
        <w:rPr>
          <w:rFonts w:ascii="Arial" w:hAnsi="Arial"/>
          <w:b/>
          <w:color w:val="2563EB"/>
          <w:sz w:val="28"/>
        </w:rPr>
        <w:t>3.3 CONVERSATIONAL SPEECH PROCESSING (STT &amp; TTS)</w:t>
      </w:r>
    </w:p>
    <w:p>
      <w:pPr>
        <w:spacing w:before="0" w:after="120" w:line="360" w:lineRule="auto"/>
        <w:jc w:val="both"/>
      </w:pPr>
      <w:r>
        <w:rPr>
          <w:b w:val="0"/>
        </w:rPr>
        <w:t xml:space="preserve">To maximize user accessibility, MediAssist AI features a </w:t>
      </w:r>
      <w:r>
        <w:rPr>
          <w:b/>
          <w:color w:val="0F172A"/>
        </w:rPr>
        <w:t>multimodal conversational voice assistant</w:t>
      </w:r>
      <w:r>
        <w:rPr>
          <w:b w:val="0"/>
        </w:rPr>
        <w:t xml:space="preserve"> (Baymax). The voice processing pipeline is divided into Speech-to-Text (STT) for capturing patient dialogue, and Text-to-Speech (TTS) for synthesizing Baymax's voice. The STT pipeline uses the Python `sounddevice` library to record audio streams from the user's microphone at a sample rate of 16kHz. The raw audio is serialized using the `soundfile` library. To transcribe the audio with high fidelity, the system implements a dual-mode engine: an online mode that utilizes the </w:t>
      </w:r>
      <w:r>
        <w:rPr>
          <w:b/>
          <w:color w:val="0F172A"/>
        </w:rPr>
        <w:t>Google Gemini API</w:t>
      </w:r>
      <w:r>
        <w:rPr>
          <w:b w:val="0"/>
        </w:rPr>
        <w:t xml:space="preserve"> with custom transcription prompts to handle Hinglish vocabulary and regional Indian accents, and an offline fallback mode utilizing the `SpeechRecognition` library's Google Web Speech API configured with the `en-IN` (English-India) locale tag.</w:t>
      </w:r>
    </w:p>
    <w:p>
      <w:pPr>
        <w:spacing w:before="0" w:after="120" w:line="360" w:lineRule="auto"/>
        <w:jc w:val="both"/>
      </w:pPr>
      <w:r>
        <w:rPr>
          <w:b w:val="0"/>
        </w:rPr>
        <w:t xml:space="preserve">The Text-to-Speech (TTS) synthesis pipeline is also configured with a dual-mode engine. The online mode uses the </w:t>
      </w:r>
      <w:r>
        <w:rPr>
          <w:b/>
          <w:color w:val="0F172A"/>
        </w:rPr>
        <w:t>Microsoft Edge Neural Text-to-Speech API</w:t>
      </w:r>
      <w:r>
        <w:rPr>
          <w:b w:val="0"/>
        </w:rPr>
        <w:t xml:space="preserve"> (`edge-tts`) with the `'en-IN-PrabhatNeural'` voice profile. This profile generates a natural, highly fluent, male-accented voice that matches Baymax's character. If the system is offline, it falls back to the </w:t>
      </w:r>
      <w:r>
        <w:rPr>
          <w:b/>
          <w:color w:val="0F172A"/>
        </w:rPr>
        <w:t>SAPI5 Desktop Speech API</w:t>
      </w:r>
      <w:r>
        <w:rPr>
          <w:b w:val="0"/>
        </w:rPr>
        <w:t xml:space="preserve"> via the `pyttsx3` library. The system queries the operating system's registry, filters the installed voice engines, and selects an English-speaking male voice (SAPI5 `'Ravi'` or `'David'`). By incorporating these fallbacks, the conversational experience remains functional even under poor network conditions.</w:t>
      </w:r>
    </w:p>
    <w:p>
      <w:pPr>
        <w:keepNext/>
        <w:spacing w:before="320" w:after="120"/>
      </w:pPr>
      <w:r>
        <w:rPr>
          <w:rFonts w:ascii="Arial" w:hAnsi="Arial"/>
          <w:b/>
          <w:color w:val="2563EB"/>
          <w:sz w:val="28"/>
        </w:rPr>
        <w:t>3.4 STREAMLIT INTERFACE &amp; FULL-STACK STATE CACHING</w:t>
      </w:r>
    </w:p>
    <w:p>
      <w:pPr>
        <w:spacing w:before="0" w:after="120" w:line="360" w:lineRule="auto"/>
        <w:jc w:val="both"/>
      </w:pPr>
      <w:r>
        <w:rPr>
          <w:b w:val="0"/>
        </w:rPr>
        <w:t xml:space="preserve">The user interface of MediAssist AI is built using </w:t>
      </w:r>
      <w:r>
        <w:rPr>
          <w:b/>
          <w:color w:val="0F172A"/>
        </w:rPr>
        <w:t>Streamlit</w:t>
      </w:r>
      <w:r>
        <w:rPr>
          <w:b w:val="0"/>
        </w:rPr>
        <w:t>, an open-source Python framework designed for rapid development of interactive data applications. Streamlit operates on a reactive execution model: whenever a user interacts with an input component (e.g., ticking a checkbox, uploading a file, or typing a query), the entire Python script is re-run from top to bottom. While this reactive model simplifies state synchronization, it introduces significant computational overhead if large machine learning models are reloaded on every run.</w:t>
      </w:r>
    </w:p>
    <w:p>
      <w:pPr>
        <w:spacing w:before="0" w:after="120" w:line="360" w:lineRule="auto"/>
        <w:jc w:val="both"/>
      </w:pPr>
      <w:r>
        <w:rPr>
          <w:b w:val="0"/>
        </w:rPr>
        <w:t>To resolve this bottleneck, we implement full-stack caching utilizing Streamlit's `@st.cache_resource` decorator. This decorator caches the initialized models—the voting ensemble classifiers (Decision Tree, Random Forest, PyTorch MLP) and the deep CNN image classifier—in memory. When the script re-runs, Streamlit retrieves the loaded model references directly from the cache, bypassing the file loading and network initialization steps. This optimization reduces the interface latency from several seconds to milliseconds, enabling smooth, real-time diagnostic screening and conversational chatbot responses.</w:t>
      </w:r>
    </w:p>
    <w:p>
      <w:r>
        <w:br w:type="page"/>
      </w:r>
    </w:p>
    <w:p>
      <w:pPr>
        <w:keepNext/>
        <w:spacing w:before="480" w:after="160"/>
      </w:pPr>
      <w:r>
        <w:rPr>
          <w:rFonts w:ascii="Arial" w:hAnsi="Arial"/>
          <w:b/>
          <w:color w:val="1E3A8A"/>
          <w:sz w:val="36"/>
        </w:rPr>
        <w:t>4. ABOUT YOUR TEAM AND REPORTING MANAGER</w:t>
      </w:r>
    </w:p>
    <w:p>
      <w:pPr>
        <w:spacing w:before="0" w:after="120" w:line="360" w:lineRule="auto"/>
        <w:jc w:val="right"/>
      </w:pPr>
      <w:r>
        <w:rPr>
          <w:b w:val="0"/>
        </w:rPr>
        <w:t>Page 22</w:t>
        <w:br/>
      </w:r>
    </w:p>
    <w:p>
      <w:pPr>
        <w:keepNext/>
        <w:spacing w:before="320" w:after="120"/>
      </w:pPr>
      <w:r>
        <w:rPr>
          <w:rFonts w:ascii="Arial" w:hAnsi="Arial"/>
          <w:b/>
          <w:color w:val="2563EB"/>
          <w:sz w:val="28"/>
        </w:rPr>
        <w:t>4.1 TEAM COMPOSITION AND INDIVIDUAL ROLES</w:t>
      </w:r>
    </w:p>
    <w:p>
      <w:pPr>
        <w:spacing w:before="0" w:after="120" w:line="360" w:lineRule="auto"/>
        <w:jc w:val="both"/>
      </w:pPr>
      <w:r>
        <w:rPr>
          <w:b w:val="0"/>
        </w:rPr>
        <w:t>The project was executed by a multidisciplinary three-member software engineering unit. The team members and their respective project responsibilities are detailed below:</w:t>
        <w:br/>
        <w:t xml:space="preserve">1. </w:t>
      </w:r>
      <w:r>
        <w:rPr>
          <w:b/>
          <w:color w:val="0F172A"/>
        </w:rPr>
        <w:t>Nisarga N (Project Lead &amp; Integration Engineer):</w:t>
      </w:r>
      <w:r>
        <w:rPr>
          <w:b w:val="0"/>
        </w:rPr>
        <w:t xml:space="preserve"> Responsible for coordinate-testing the entire development pipeline. Nisarga designed the system architecture, set up the directory structure, curated and split the clinical image dataset using subject-aware partitioning, trained the baseline ResNet-50 models, and implemented the LBFGS temperature calibration and Bayesian prior boosting algorithms.</w:t>
        <w:br/>
        <w:t xml:space="preserve">2. </w:t>
      </w:r>
      <w:r>
        <w:rPr>
          <w:b/>
          <w:color w:val="0F172A"/>
        </w:rPr>
        <w:t>H Nikhitha (Conversational Speech &amp; NLP Specialist):</w:t>
      </w:r>
      <w:r>
        <w:rPr>
          <w:b w:val="0"/>
        </w:rPr>
        <w:t xml:space="preserve"> Focused on the accessibility pipeline. Nikhitha integrated the dual-mode STT and TTS voice engine (Microsoft Edge Neural TTS, SAPI5 pyttsx3, and Google Web Speech API). She also developed the regular expressions parser for extracting laboratory metrics from PDF reports.</w:t>
        <w:br/>
        <w:t xml:space="preserve">3. </w:t>
      </w:r>
      <w:r>
        <w:rPr>
          <w:b/>
          <w:color w:val="0F172A"/>
        </w:rPr>
        <w:t>Ashwini M Yadrami (Frontend Dashboard &amp; QA Lead):</w:t>
      </w:r>
      <w:r>
        <w:rPr>
          <w:b w:val="0"/>
        </w:rPr>
        <w:t xml:space="preserve"> Designed the Streamlit UI dashboard and built the dynamic clinical report generator using ReportLab. Ashwini also coordinated the verification and testing phases, ensuring that the diagnostic outputs were correctly mapped and displayed to the user.</w:t>
      </w:r>
    </w:p>
    <w:p>
      <w:pPr>
        <w:keepNext/>
        <w:spacing w:before="320" w:after="120"/>
      </w:pPr>
      <w:r>
        <w:rPr>
          <w:rFonts w:ascii="Arial" w:hAnsi="Arial"/>
          <w:b/>
          <w:color w:val="2563EB"/>
          <w:sz w:val="28"/>
        </w:rPr>
        <w:t>4.2 REPORTING STRUCTURE AND ADVISORY MANAGEMENT</w:t>
      </w:r>
    </w:p>
    <w:p>
      <w:pPr>
        <w:spacing w:before="0" w:after="120" w:line="360" w:lineRule="auto"/>
        <w:jc w:val="both"/>
      </w:pPr>
      <w:r>
        <w:rPr>
          <w:b w:val="0"/>
        </w:rPr>
        <w:t xml:space="preserve">The team operated under a structured academic reporting mechanism. We had weekly progress reviews with our </w:t>
      </w:r>
      <w:r>
        <w:rPr>
          <w:b/>
          <w:color w:val="0F172A"/>
        </w:rPr>
        <w:t>Reporting Manager</w:t>
      </w:r>
      <w:r>
        <w:rPr>
          <w:b w:val="0"/>
        </w:rPr>
        <w:t xml:space="preserve"> and </w:t>
      </w:r>
      <w:r>
        <w:rPr>
          <w:b/>
          <w:color w:val="0F172A"/>
        </w:rPr>
        <w:t>Faculty Advisors</w:t>
      </w:r>
      <w:r>
        <w:rPr>
          <w:b w:val="0"/>
        </w:rPr>
        <w:t xml:space="preserve"> at the School of Computer Science and Engineering, Presidency University. During these reviews, the team presented completed milestones, demonstrated working UI features, and reviewed training and validation metric logs. The advisors provided critical feedback, helping us resolve several engineering bottlenecks, such as standardizing the dhash threshold for image duplicate removal, and resolving the PyTorch runtime gradient trace error by detaching the calibrated probability tensor before converting it to a NumPy array.</w:t>
      </w:r>
    </w:p>
    <w:p>
      <w:r>
        <w:br w:type="page"/>
      </w:r>
    </w:p>
    <w:p>
      <w:pPr>
        <w:spacing w:before="0" w:after="120" w:line="360" w:lineRule="auto"/>
        <w:jc w:val="right"/>
      </w:pPr>
      <w:r>
        <w:rPr>
          <w:b w:val="0"/>
        </w:rPr>
        <w:t>Page 24</w:t>
        <w:br/>
      </w:r>
    </w:p>
    <w:p>
      <w:pPr>
        <w:keepNext/>
        <w:spacing w:before="320" w:after="120"/>
      </w:pPr>
      <w:r>
        <w:rPr>
          <w:rFonts w:ascii="Arial" w:hAnsi="Arial"/>
          <w:b/>
          <w:color w:val="2563EB"/>
          <w:sz w:val="28"/>
        </w:rPr>
        <w:t>4.3 COMPONENT INTERACTION &amp; COLLABORATION WORKFLOW</w:t>
      </w:r>
    </w:p>
    <w:p>
      <w:pPr>
        <w:spacing w:before="0" w:after="120" w:line="360" w:lineRule="auto"/>
        <w:jc w:val="both"/>
      </w:pPr>
      <w:r>
        <w:rPr>
          <w:b w:val="0"/>
        </w:rPr>
        <w:t>To develop a cohesive system, the team established a strict state-passing protocol between components. The Streamlit application `app.py` acts as the central state controller. It manages the `st.session_state` database, which synchronizes user inputs, active symptoms, parsed lab vitals, and image classification probabilities. The collaboration workflow was structured using Git version control, which allowed team members to develop components—such as the NLP parser in `llm_inference.py` and the training scripts in the `scripts/` directory—independently before merging them into the main codebase. This structured development process ensured code stability and prevented conflicts.</w:t>
      </w:r>
    </w:p>
    <w:p>
      <w:pPr>
        <w:keepNext/>
        <w:spacing w:before="320" w:after="120"/>
      </w:pPr>
      <w:r>
        <w:rPr>
          <w:rFonts w:ascii="Arial" w:hAnsi="Arial"/>
          <w:b/>
          <w:color w:val="2563EB"/>
          <w:sz w:val="28"/>
        </w:rPr>
        <w:t>4.4 TASK CONTRIBUTION MATRIX</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2563EB"/>
            <w:tcMar>
              <w:top w:w="120" w:type="dxa"/>
              <w:bottom w:w="120" w:type="dxa"/>
              <w:left w:w="150" w:type="dxa"/>
              <w:right w:w="150" w:type="dxa"/>
            </w:tcMar>
          </w:tcPr>
          <w:p>
            <w:r>
              <w:rPr>
                <w:b/>
                <w:color w:val="FFFFFF"/>
              </w:rPr>
              <w:t>Team Member</w:t>
            </w:r>
          </w:p>
        </w:tc>
        <w:tc>
          <w:tcPr>
            <w:tcW w:type="dxa" w:w="3120"/>
            <w:shd w:fill="2563EB"/>
            <w:tcMar>
              <w:top w:w="120" w:type="dxa"/>
              <w:bottom w:w="120" w:type="dxa"/>
              <w:left w:w="150" w:type="dxa"/>
              <w:right w:w="150" w:type="dxa"/>
            </w:tcMar>
          </w:tcPr>
          <w:p>
            <w:r>
              <w:rPr>
                <w:b/>
                <w:color w:val="FFFFFF"/>
              </w:rPr>
              <w:t>Primary Task Area</w:t>
            </w:r>
          </w:p>
        </w:tc>
        <w:tc>
          <w:tcPr>
            <w:tcW w:type="dxa" w:w="3120"/>
            <w:shd w:fill="2563EB"/>
            <w:tcMar>
              <w:top w:w="120" w:type="dxa"/>
              <w:bottom w:w="120" w:type="dxa"/>
              <w:left w:w="150" w:type="dxa"/>
              <w:right w:w="150" w:type="dxa"/>
            </w:tcMar>
          </w:tcPr>
          <w:p>
            <w:r>
              <w:rPr>
                <w:b/>
                <w:color w:val="FFFFFF"/>
              </w:rPr>
              <w:t>Key Contributions</w:t>
            </w:r>
          </w:p>
        </w:tc>
      </w:tr>
      <w:tr>
        <w:tc>
          <w:tcPr>
            <w:tcW w:type="dxa" w:w="3120"/>
            <w:shd w:fill="FFFFFF"/>
            <w:tcMar>
              <w:top w:w="100" w:type="dxa"/>
              <w:bottom w:w="100" w:type="dxa"/>
              <w:left w:w="120" w:type="dxa"/>
              <w:right w:w="120" w:type="dxa"/>
            </w:tcMar>
          </w:tcPr>
          <w:p>
            <w:r>
              <w:t>Nisarga N</w:t>
            </w:r>
          </w:p>
        </w:tc>
        <w:tc>
          <w:tcPr>
            <w:tcW w:type="dxa" w:w="3120"/>
            <w:shd w:fill="FFFFFF"/>
            <w:tcMar>
              <w:top w:w="100" w:type="dxa"/>
              <w:bottom w:w="100" w:type="dxa"/>
              <w:left w:w="120" w:type="dxa"/>
              <w:right w:w="120" w:type="dxa"/>
            </w:tcMar>
          </w:tcPr>
          <w:p>
            <w:r>
              <w:t>Core AI &amp; Integration</w:t>
            </w:r>
          </w:p>
        </w:tc>
        <w:tc>
          <w:tcPr>
            <w:tcW w:type="dxa" w:w="3120"/>
            <w:shd w:fill="FFFFFF"/>
            <w:tcMar>
              <w:top w:w="100" w:type="dxa"/>
              <w:bottom w:w="100" w:type="dxa"/>
              <w:left w:w="120" w:type="dxa"/>
              <w:right w:w="120" w:type="dxa"/>
            </w:tcMar>
          </w:tcPr>
          <w:p>
            <w:r>
              <w:t>System Architecture, ResNet Training, Bayesian Boosting, Temperature Calibration</w:t>
            </w:r>
          </w:p>
        </w:tc>
      </w:tr>
      <w:tr>
        <w:tc>
          <w:tcPr>
            <w:tcW w:type="dxa" w:w="3120"/>
            <w:shd w:fill="F8FAFC"/>
            <w:tcMar>
              <w:top w:w="100" w:type="dxa"/>
              <w:bottom w:w="100" w:type="dxa"/>
              <w:left w:w="120" w:type="dxa"/>
              <w:right w:w="120" w:type="dxa"/>
            </w:tcMar>
          </w:tcPr>
          <w:p>
            <w:r>
              <w:t>H Nikhitha</w:t>
            </w:r>
          </w:p>
        </w:tc>
        <w:tc>
          <w:tcPr>
            <w:tcW w:type="dxa" w:w="3120"/>
            <w:shd w:fill="F8FAFC"/>
            <w:tcMar>
              <w:top w:w="100" w:type="dxa"/>
              <w:bottom w:w="100" w:type="dxa"/>
              <w:left w:w="120" w:type="dxa"/>
              <w:right w:w="120" w:type="dxa"/>
            </w:tcMar>
          </w:tcPr>
          <w:p>
            <w:r>
              <w:t>NLP &amp; Speech Processing</w:t>
            </w:r>
          </w:p>
        </w:tc>
        <w:tc>
          <w:tcPr>
            <w:tcW w:type="dxa" w:w="3120"/>
            <w:shd w:fill="F8FAFC"/>
            <w:tcMar>
              <w:top w:w="100" w:type="dxa"/>
              <w:bottom w:w="100" w:type="dxa"/>
              <w:left w:w="120" w:type="dxa"/>
              <w:right w:w="120" w:type="dxa"/>
            </w:tcMar>
          </w:tcPr>
          <w:p>
            <w:r>
              <w:t>STT/TTS Voice Assistant, edge-tts, SAPI5 Fallbacks, PDF Regex Parser</w:t>
            </w:r>
          </w:p>
        </w:tc>
      </w:tr>
      <w:tr>
        <w:tc>
          <w:tcPr>
            <w:tcW w:type="dxa" w:w="3120"/>
            <w:shd w:fill="FFFFFF"/>
            <w:tcMar>
              <w:top w:w="100" w:type="dxa"/>
              <w:bottom w:w="100" w:type="dxa"/>
              <w:left w:w="120" w:type="dxa"/>
              <w:right w:w="120" w:type="dxa"/>
            </w:tcMar>
          </w:tcPr>
          <w:p>
            <w:r>
              <w:t>Ashwini M Yadrami</w:t>
            </w:r>
          </w:p>
        </w:tc>
        <w:tc>
          <w:tcPr>
            <w:tcW w:type="dxa" w:w="3120"/>
            <w:shd w:fill="FFFFFF"/>
            <w:tcMar>
              <w:top w:w="100" w:type="dxa"/>
              <w:bottom w:w="100" w:type="dxa"/>
              <w:left w:w="120" w:type="dxa"/>
              <w:right w:w="120" w:type="dxa"/>
            </w:tcMar>
          </w:tcPr>
          <w:p>
            <w:r>
              <w:t>Frontend &amp; QA Testing</w:t>
            </w:r>
          </w:p>
        </w:tc>
        <w:tc>
          <w:tcPr>
            <w:tcW w:type="dxa" w:w="3120"/>
            <w:shd w:fill="FFFFFF"/>
            <w:tcMar>
              <w:top w:w="100" w:type="dxa"/>
              <w:bottom w:w="100" w:type="dxa"/>
              <w:left w:w="120" w:type="dxa"/>
              <w:right w:w="120" w:type="dxa"/>
            </w:tcMar>
          </w:tcPr>
          <w:p>
            <w:r>
              <w:t>Streamlit UI Dashboard, ReportLab PDF Generator, System Integration Testing</w:t>
            </w:r>
          </w:p>
        </w:tc>
      </w:tr>
    </w:tbl>
    <w:p>
      <w:pPr>
        <w:spacing w:before="160"/>
      </w:pPr>
    </w:p>
    <w:p>
      <w:pPr>
        <w:keepNext/>
        <w:spacing w:before="320" w:after="120"/>
      </w:pPr>
      <w:r>
        <w:rPr>
          <w:rFonts w:ascii="Arial" w:hAnsi="Arial"/>
          <w:b/>
          <w:color w:val="2563EB"/>
          <w:sz w:val="28"/>
        </w:rPr>
        <w:t>4.5 SUMMARY</w:t>
      </w:r>
    </w:p>
    <w:p>
      <w:pPr>
        <w:spacing w:before="0" w:after="120" w:line="360" w:lineRule="auto"/>
        <w:jc w:val="both"/>
      </w:pPr>
      <w:r>
        <w:rPr>
          <w:b w:val="0"/>
        </w:rPr>
        <w:t>In summary, Chapter 4 outlines the organizational foundation of MediAssist AI. Through defined team roles, structured academic advisory, and clear state-passing interfaces, the team was able to convert a complex, multimodal diagnostic concept into a stable, high-performance SaaS prototype. The following chapters detail the specific technical challenges encountered during this implementation and the strategies used to resolve them.</w:t>
      </w:r>
    </w:p>
    <w:p>
      <w:r>
        <w:br w:type="page"/>
      </w:r>
    </w:p>
    <w:p>
      <w:pPr>
        <w:keepNext/>
        <w:spacing w:before="480" w:after="160"/>
      </w:pPr>
      <w:r>
        <w:rPr>
          <w:rFonts w:ascii="Arial" w:hAnsi="Arial"/>
          <w:b/>
          <w:color w:val="1E3A8A"/>
          <w:sz w:val="36"/>
        </w:rPr>
        <w:t>5. CHALLENGES FACED IN INTERNSHIP</w:t>
      </w:r>
    </w:p>
    <w:p>
      <w:pPr>
        <w:spacing w:before="0" w:after="120" w:line="360" w:lineRule="auto"/>
        <w:jc w:val="right"/>
      </w:pPr>
      <w:r>
        <w:rPr>
          <w:b w:val="0"/>
        </w:rPr>
        <w:t>Page 31</w:t>
        <w:br/>
      </w:r>
    </w:p>
    <w:p>
      <w:pPr>
        <w:keepNext/>
        <w:spacing w:before="320" w:after="120"/>
      </w:pPr>
      <w:r>
        <w:rPr>
          <w:rFonts w:ascii="Arial" w:hAnsi="Arial"/>
          <w:b/>
          <w:color w:val="2563EB"/>
          <w:sz w:val="28"/>
        </w:rPr>
        <w:t>5.1 DATASET ACQUISITION AND CLASS IMBALANCE</w:t>
      </w:r>
    </w:p>
    <w:p>
      <w:pPr>
        <w:spacing w:before="0" w:after="120" w:line="360" w:lineRule="auto"/>
        <w:jc w:val="both"/>
      </w:pPr>
      <w:r>
        <w:rPr>
          <w:b w:val="0"/>
        </w:rPr>
        <w:t>One of the most significant challenges faced during the project development was curate-testing a research-quality clinical dataset for the 13 skin and eye visual classes. Publicly available clinical image databases (such as Fitzpatrick 17k) are frequently plagued by severe class imbalances, containing thousands of examples for common conditions like Acne or Eczema but very few examples for conditions like Vitiligo, Styes, or Conjunctivitis. Training a deep neural network on an imbalanced dataset causes it to develop a bias toward the majority classes, leading to high false-negative rates for underrepresented conditions.</w:t>
      </w:r>
    </w:p>
    <w:p>
      <w:pPr>
        <w:spacing w:before="0" w:after="120" w:line="360" w:lineRule="auto"/>
        <w:jc w:val="both"/>
      </w:pPr>
      <w:r>
        <w:rPr>
          <w:b w:val="0"/>
        </w:rPr>
        <w:t>To address this challenge, we developed a modular web-scraping script using the Flickr and Wikimedia Commons APIs. This script allowed us to search for and download verified clinical images matching specific medical terms (e.g., 'vitiligo skin lesion', 'conjunctivitis eye'). By merging these external sources with the local `skin_images` dataset, we expanded the image count. To prevent patient leakage—where images of the same patient appear in both the training and validation sets, inflating validation accuracy—we implemented a subject-aware directory splitter. This splitter grouped images by patient identifier and distributed them across the Train, Validation, and Test sets at a 70/15/15 ratio, ensuring a statistically sound evaluation.</w:t>
      </w:r>
    </w:p>
    <w:p>
      <w:pPr>
        <w:keepNext/>
        <w:spacing w:before="320" w:after="120"/>
      </w:pPr>
      <w:r>
        <w:rPr>
          <w:rFonts w:ascii="Arial" w:hAnsi="Arial"/>
          <w:b/>
          <w:color w:val="2563EB"/>
          <w:sz w:val="28"/>
        </w:rPr>
        <w:t>5.2 COMPUTATIONAL CONSTRAINTS AND CPU/GPU MEMORY OOMs</w:t>
      </w:r>
    </w:p>
    <w:p>
      <w:pPr>
        <w:spacing w:before="0" w:after="120" w:line="360" w:lineRule="auto"/>
        <w:jc w:val="both"/>
      </w:pPr>
      <w:r>
        <w:rPr>
          <w:b w:val="0"/>
        </w:rPr>
        <w:t>Training deep convolutional neural networks (like ResNet-50) is highly compute-intensive. In the early stages of model development, we encountered Out-Of-Memory (OOM) errors on the graphics card due to large batch sizes and high-resolution input tensors. Conversely, training on CPUs was prohibitively slow, taking several hours for a single epoch and limiting our ability to perform hyperparameter sweeps or evaluate learning schedules.</w:t>
      </w:r>
    </w:p>
    <w:p>
      <w:pPr>
        <w:spacing w:before="0" w:after="120" w:line="360" w:lineRule="auto"/>
        <w:jc w:val="both"/>
      </w:pPr>
      <w:r>
        <w:rPr>
          <w:b w:val="0"/>
        </w:rPr>
        <w:t xml:space="preserve">We implemented several computational optimizations in PyTorch to resolve these memory constraints: First, we used </w:t>
      </w:r>
      <w:r>
        <w:rPr>
          <w:b/>
          <w:color w:val="0F172A"/>
        </w:rPr>
        <w:t>Float16 Mixed Precision</w:t>
      </w:r>
      <w:r>
        <w:rPr>
          <w:b w:val="0"/>
        </w:rPr>
        <w:t xml:space="preserve"> (`torch.cuda.amp.autocast`) to represent activations and weights, which cut the VRAM usage in half and accelerated forward-pass times. Second, we resized the input images to $256 </w:t>
        <w:tab/>
        <w:t xml:space="preserve">imes 256$ and center-cropped them to $224 </w:t>
        <w:tab/>
        <w:t>imes 224$ prior to normalization. Third, we implemented a staged unfreezing schedule: in Stage 1, the pre-trained backbone was completely frozen, and only the classification head was trained. In Stage 2, only the deep residual blocks (`layer4`) were unfrozen. In Stage 3, the entire network was unfrozen and trained with a very small learning rate ($lr = 1</w:t>
        <w:tab/>
        <w:t>imes 10^{-5}$). This staged fine-tuning approach ensured stable convergence and prevented gradient explosions.</w:t>
      </w:r>
    </w:p>
    <w:p>
      <w:r>
        <w:br w:type="page"/>
      </w:r>
    </w:p>
    <w:p>
      <w:pPr>
        <w:spacing w:before="0" w:after="120" w:line="360" w:lineRule="auto"/>
        <w:jc w:val="right"/>
      </w:pPr>
      <w:r>
        <w:rPr>
          <w:b w:val="0"/>
        </w:rPr>
        <w:t>Page 35</w:t>
        <w:br/>
      </w:r>
    </w:p>
    <w:p>
      <w:pPr>
        <w:keepNext/>
        <w:spacing w:before="320" w:after="120"/>
      </w:pPr>
      <w:r>
        <w:rPr>
          <w:rFonts w:ascii="Arial" w:hAnsi="Arial"/>
          <w:b/>
          <w:color w:val="2563EB"/>
          <w:sz w:val="28"/>
        </w:rPr>
        <w:t>5.3 HETEROGENEOUS MODEL INTEGRATION</w:t>
      </w:r>
    </w:p>
    <w:p>
      <w:pPr>
        <w:spacing w:before="0" w:after="120" w:line="360" w:lineRule="auto"/>
        <w:jc w:val="both"/>
      </w:pPr>
      <w:r>
        <w:rPr>
          <w:b w:val="0"/>
        </w:rPr>
        <w:t>Integrating heterogeneous models—a PyTorch MLP, a scikit-learn Decision Tree, a Random Forest, and a deep CNN classifier—into a single, synchronous execution loop presented a significant software engineering challenge. Streamlit's reactive rendering model requires all variables to be synchronized across session states. If a model fails to return a prediction or takes too long to execute, it can freeze the interface and disrupt the user experience.</w:t>
      </w:r>
    </w:p>
    <w:p>
      <w:pPr>
        <w:spacing w:before="0" w:after="120" w:line="360" w:lineRule="auto"/>
        <w:jc w:val="both"/>
      </w:pPr>
      <w:r>
        <w:rPr>
          <w:b w:val="0"/>
        </w:rPr>
        <w:t>To resolve this, we built a modular architecture using the Python registry pattern. We isolated the training scripts from the runtime scripts. The models are trained and serialized to disk as `.pkl` and `.pth` files. During runtime, the Streamlit application reads the serialized models once and stores them in the global cache. This architecture ensures that the models can execute predictions independently and output findings inline to the chatbot container, providing a smooth, real-time diagnostic screening experience.</w:t>
      </w:r>
    </w:p>
    <w:p>
      <w:pPr>
        <w:keepNext/>
        <w:spacing w:before="320" w:after="120"/>
      </w:pPr>
      <w:r>
        <w:rPr>
          <w:rFonts w:ascii="Arial" w:hAnsi="Arial"/>
          <w:b/>
          <w:color w:val="2563EB"/>
          <w:sz w:val="28"/>
        </w:rPr>
        <w:t>5.4 TRANSCRIBER LATENCY AND FALLBACK ENGINES</w:t>
      </w:r>
    </w:p>
    <w:p>
      <w:pPr>
        <w:spacing w:before="0" w:after="120" w:line="360" w:lineRule="auto"/>
        <w:jc w:val="both"/>
      </w:pPr>
      <w:r>
        <w:rPr>
          <w:b w:val="0"/>
        </w:rPr>
        <w:t>The multimodal voice assistant relies on network APIs (Google Gemini, Microsoft Edge Neural TTS), which introduce latency and are susceptible to failure under poor network conditions. In a clinical screening application, a laggy voice response can degrade the user experience and create anxiety for the patient.</w:t>
      </w:r>
    </w:p>
    <w:p>
      <w:pPr>
        <w:spacing w:before="0" w:after="120" w:line="360" w:lineRule="auto"/>
        <w:jc w:val="both"/>
      </w:pPr>
      <w:r>
        <w:rPr>
          <w:b w:val="0"/>
        </w:rPr>
        <w:t>We designed a dual-mode transcription and synthesis pipeline to address this latency issue: The online mode is prioritized to deliver high-fidelity voice transcriptions and neural voice synthesis. If a network timeout or connection error is detected, the system automatically falls back to the offline mode (SpeechRecognition Google Web Speech API and desktop SAPI5 via pyttsx3). By caching the synthesized response MP3 files locally, we minimize the necessity for repeated API calls, ensuring the conversational voice experience remains functional even when offline.</w:t>
      </w:r>
    </w:p>
    <w:p>
      <w:r>
        <w:br w:type="page"/>
      </w:r>
    </w:p>
    <w:p>
      <w:pPr>
        <w:keepNext/>
        <w:spacing w:before="480" w:after="160"/>
      </w:pPr>
      <w:r>
        <w:rPr>
          <w:rFonts w:ascii="Arial" w:hAnsi="Arial"/>
          <w:b/>
          <w:color w:val="1E3A8A"/>
          <w:sz w:val="36"/>
        </w:rPr>
        <w:t>6. OBJECTIVES OF THE WORK</w:t>
      </w:r>
    </w:p>
    <w:p>
      <w:pPr>
        <w:spacing w:before="0" w:after="120" w:line="360" w:lineRule="auto"/>
        <w:jc w:val="right"/>
      </w:pPr>
      <w:r>
        <w:rPr>
          <w:b w:val="0"/>
        </w:rPr>
        <w:t>Page 38</w:t>
        <w:br/>
      </w:r>
    </w:p>
    <w:p>
      <w:pPr>
        <w:keepNext/>
        <w:spacing w:before="320" w:after="120"/>
      </w:pPr>
      <w:r>
        <w:rPr>
          <w:rFonts w:ascii="Arial" w:hAnsi="Arial"/>
          <w:b/>
          <w:color w:val="2563EB"/>
          <w:sz w:val="28"/>
        </w:rPr>
        <w:t>6.1 FUNCTIONAL OBJECTIVES &amp; DUAL-SCREEN LAYOUT</w:t>
      </w:r>
    </w:p>
    <w:p>
      <w:pPr>
        <w:spacing w:before="0" w:after="120" w:line="360" w:lineRule="auto"/>
        <w:jc w:val="both"/>
      </w:pPr>
      <w:r>
        <w:rPr>
          <w:b w:val="0"/>
        </w:rPr>
        <w:t>The primary functional objective of MediAssist AI is to deliver a premium, multi-modal screening dashboard that consolidates three diagnostic components into a single user interface. The UI layout is designed with a dual-screen visual configuration: the left side of the dashboard displays the active diagnostic card panels (Symptom Checklist, Medical PDF Upload, and Image Scan), and the right side hosts the interactive Baymax Conversational Health Assistant. This configuration enables patients to easily navigate the interface, upload diagnostic scans, and review the compiled results without losing context of their conversation with Baymax.</w:t>
      </w:r>
    </w:p>
    <w:p>
      <w:pPr>
        <w:keepNext/>
        <w:spacing w:before="320" w:after="120"/>
      </w:pPr>
      <w:r>
        <w:rPr>
          <w:rFonts w:ascii="Arial" w:hAnsi="Arial"/>
          <w:b/>
          <w:color w:val="2563EB"/>
          <w:sz w:val="28"/>
        </w:rPr>
        <w:t>6.2 SYSTEM-LEVEL PERFORMANCE OBJECTIVES</w:t>
      </w:r>
    </w:p>
    <w:p>
      <w:pPr>
        <w:spacing w:before="0" w:after="120" w:line="360" w:lineRule="auto"/>
        <w:jc w:val="both"/>
      </w:pPr>
      <w:r>
        <w:rPr>
          <w:b w:val="0"/>
        </w:rPr>
        <w:t>At the system level, the performance objectives are focused on model accuracy, latency, and calibration: the symptom classifier must achieve a test accuracy of at least 95% on the diagnostic database. The image scanner must achieve a macro validation accuracy of at least 85% on the clinical image test split. Additionally, the classification probabilities must be calibrated using post-hoc temperature scaling ($T$) to ensure the confidence scores represent true diagnostic probabilities. The system response latency for all models must be under 500 milliseconds on standard CPU hardware to ensure real-time triage results.</w:t>
      </w:r>
    </w:p>
    <w:p>
      <w:pPr>
        <w:keepNext/>
        <w:spacing w:before="320" w:after="120"/>
      </w:pPr>
      <w:r>
        <w:rPr>
          <w:rFonts w:ascii="Arial" w:hAnsi="Arial"/>
          <w:b/>
          <w:color w:val="2563EB"/>
          <w:sz w:val="28"/>
        </w:rPr>
        <w:t>6.3 ACCESSIBILITY &amp; INCLUSIVITY IN CLINICAL INTERFACES</w:t>
      </w:r>
    </w:p>
    <w:p>
      <w:pPr>
        <w:spacing w:before="0" w:after="120" w:line="360" w:lineRule="auto"/>
        <w:jc w:val="both"/>
      </w:pPr>
      <w:r>
        <w:rPr>
          <w:b w:val="0"/>
        </w:rPr>
        <w:t>To ensure the triage application is accessible to diverse patient demographics, the interface is designed to support both text and voice inputs. The voice assistant is configured with Indian English pronunciation profiles (en-IN) to accommodate regional accents and Hinglish speech patterns. This feature is particularly beneficial for elderly or visually impaired patients, who may struggle with complex UI inputs. The chatbot uses empathetic, natural dialogue templates to reduce patient anxiety and guide users through their triage workflow.</w:t>
      </w:r>
    </w:p>
    <w:p>
      <w:pPr>
        <w:keepNext/>
        <w:spacing w:before="320" w:after="120"/>
      </w:pPr>
      <w:r>
        <w:rPr>
          <w:rFonts w:ascii="Arial" w:hAnsi="Arial"/>
          <w:b/>
          <w:color w:val="2563EB"/>
          <w:sz w:val="28"/>
        </w:rPr>
        <w:t>6.4 CLINICAL COMPLIANCE &amp; SAFETY POLICIES</w:t>
      </w:r>
    </w:p>
    <w:p>
      <w:pPr>
        <w:spacing w:before="0" w:after="120" w:line="360" w:lineRule="auto"/>
        <w:jc w:val="both"/>
      </w:pPr>
      <w:r>
        <w:rPr>
          <w:b w:val="0"/>
        </w:rPr>
        <w:t>Clinical safety is the foundational objective of MediAssist AI. The application is configured with safety filters to prevent diagnostic errors: first, the symptom analyzer requires a minimum confidence threshold of 25%; if the confidence is lower, it rejects the screening result and labels the patient's profile as 'Indistinguishable'. Second, the image scanner utilizes an irrelevant input rejection filter; if the maximum raw probability before scaling is under 0.22, the model rejects the image as non-identifiable. These safety guards prevent the model from making random guesses on arbitrary pictures, ensuring that the triage outputs remain clinically sound.</w:t>
      </w:r>
    </w:p>
    <w:p>
      <w:r>
        <w:br w:type="page"/>
      </w:r>
    </w:p>
    <w:p>
      <w:pPr>
        <w:keepNext/>
        <w:spacing w:before="480" w:after="160"/>
      </w:pPr>
      <w:r>
        <w:rPr>
          <w:rFonts w:ascii="Arial" w:hAnsi="Arial"/>
          <w:b/>
          <w:color w:val="1E3A8A"/>
          <w:sz w:val="36"/>
        </w:rPr>
        <w:t>7. GITHUB LINK</w:t>
      </w:r>
    </w:p>
    <w:p>
      <w:pPr>
        <w:spacing w:before="0" w:after="120" w:line="360" w:lineRule="auto"/>
        <w:jc w:val="right"/>
      </w:pPr>
      <w:r>
        <w:rPr>
          <w:b w:val="0"/>
        </w:rPr>
        <w:t>Page 42</w:t>
        <w:br/>
      </w:r>
    </w:p>
    <w:p>
      <w:pPr>
        <w:keepNext/>
        <w:spacing w:before="320" w:after="120"/>
      </w:pPr>
      <w:r>
        <w:rPr>
          <w:rFonts w:ascii="Arial" w:hAnsi="Arial"/>
          <w:b/>
          <w:color w:val="2563EB"/>
          <w:sz w:val="28"/>
        </w:rPr>
        <w:t>7.1 HOSTING DETAILS AND REPOSITORY URL</w:t>
      </w:r>
    </w:p>
    <w:p>
      <w:pPr>
        <w:spacing w:before="0" w:after="120" w:line="360" w:lineRule="auto"/>
        <w:jc w:val="both"/>
      </w:pPr>
      <w:r>
        <w:rPr>
          <w:b w:val="0"/>
        </w:rPr>
        <w:t>The complete source code, configurations, model weights, dataset loaders, preprocessing scripts, and evaluation utilities are hosted on GitHub. The public repository can be accessed via the link below:</w:t>
        <w:br/>
        <w:br/>
      </w:r>
      <w:r>
        <w:rPr>
          <w:b/>
          <w:color w:val="0F172A"/>
        </w:rPr>
        <w:t>GitHub Repository:</w:t>
      </w:r>
      <w:r>
        <w:rPr>
          <w:b w:val="0"/>
        </w:rPr>
        <w:t xml:space="preserve"> [https://github.com/coderbeach/MedAssistAI](https://github.com/coderbeach/MedAssistAI)</w:t>
        <w:br/>
        <w:br/>
        <w:t>The repository is organized into modular directories: the root directory contains the Streamlit application `app.py`, while the `configs/` folder contains the YAML files for ResNet and Swin Transformer training. The `src/` directory holds the core Python modules for dataset management, model definitions, training loops, and evaluation metrics, enabling other researchers to reproduce our findings and build upon our codebase.</w:t>
      </w:r>
    </w:p>
    <w:p>
      <w:pPr>
        <w:keepNext/>
        <w:spacing w:before="320" w:after="120"/>
      </w:pPr>
      <w:r>
        <w:rPr>
          <w:rFonts w:ascii="Arial" w:hAnsi="Arial"/>
          <w:b/>
          <w:color w:val="2563EB"/>
          <w:sz w:val="28"/>
        </w:rPr>
        <w:t>7.2 CONCLUSION AND FUTURE ROADMAP</w:t>
      </w:r>
    </w:p>
    <w:p>
      <w:pPr>
        <w:spacing w:before="0" w:after="120" w:line="360" w:lineRule="auto"/>
        <w:jc w:val="both"/>
      </w:pPr>
      <w:r>
        <w:rPr>
          <w:b w:val="0"/>
        </w:rPr>
        <w:t xml:space="preserve">In conclusion, </w:t>
      </w:r>
      <w:r>
        <w:rPr>
          <w:b/>
          <w:color w:val="0F172A"/>
        </w:rPr>
        <w:t>MediAssist AI</w:t>
      </w:r>
      <w:r>
        <w:rPr>
          <w:b w:val="0"/>
        </w:rPr>
        <w:t xml:space="preserve"> represents a successful implementation of a multi-modal, clinical-grade preliminary triage system. By unifying symptom questionnaire classification, medical report extraction, and calibrated visual skin/eye screening into a single, cohesive dashboard, the application simplifies the patient triaging workflow and reduces clinical overhead. Advanced mathematical calibration techniques—Bayesian prior boosting and post-hoc temperature scaling via LBFGS optimization—have resolved neural overconfidence, creating a safer patient-facing interface.</w:t>
      </w:r>
    </w:p>
    <w:p>
      <w:pPr>
        <w:spacing w:before="0" w:after="120" w:line="360" w:lineRule="auto"/>
        <w:jc w:val="both"/>
      </w:pPr>
      <w:r>
        <w:rPr>
          <w:b w:val="0"/>
        </w:rPr>
        <w:t>The future roadmap for MediAssist AI includes several key enhancements: First, we plan to expand the clinical image dataset to cover more skin and eye conditions and integrate advanced vision transformers (such as Swin Transformers) to improve classification accuracy. Second, we aim to deploy the application on secure, HIPAA-compliant cloud server architectures to ensure patient data privacy. Third, we plan to conduct clinical pilot testing in partnership with healthcare institutions to validate the triage utility in real-world clinical environments. These developments will further establish MediAssist AI as a safe, accessible, and intelligent patient platform.</w:t>
      </w:r>
    </w:p>
    <w:p>
      <w:r>
        <w:br w:type="page"/>
      </w:r>
    </w:p>
    <w:p>
      <w:pPr>
        <w:keepNext/>
        <w:spacing w:before="480" w:after="160"/>
      </w:pPr>
      <w:r>
        <w:rPr>
          <w:rFonts w:ascii="Arial" w:hAnsi="Arial"/>
          <w:b/>
          <w:color w:val="1E3A8A"/>
          <w:sz w:val="36"/>
        </w:rPr>
        <w:t>8. REFERENCES</w:t>
      </w:r>
    </w:p>
    <w:p>
      <w:pPr>
        <w:spacing w:before="0" w:after="120" w:line="360" w:lineRule="auto"/>
        <w:jc w:val="right"/>
      </w:pPr>
      <w:r>
        <w:rPr>
          <w:b w:val="0"/>
        </w:rPr>
        <w:t>Page 45</w:t>
        <w:br/>
      </w:r>
    </w:p>
    <w:p>
      <w:pPr>
        <w:spacing w:before="80" w:after="80" w:line="312" w:lineRule="auto"/>
        <w:jc w:val="left"/>
      </w:pPr>
      <w:r>
        <w:t>1. He, K., Zhang, X., Ren, S., &amp; Sun, J. (2016). Deep residual learning for image recognition. In Proceedings of the IEEE conference on computer vision and pattern recognition (CVPR), 770-778.</w:t>
      </w:r>
    </w:p>
    <w:p>
      <w:pPr>
        <w:spacing w:before="80" w:after="80" w:line="312" w:lineRule="auto"/>
        <w:jc w:val="left"/>
      </w:pPr>
      <w:r>
        <w:t>2. Guo, C., Pleiss, G., Sun, Y., &amp; Weinberger, K. Q. (2017). On calibration of modern neural networks. In International Conference on Machine Learning (ICML), PMLR, 1321-1330.</w:t>
      </w:r>
    </w:p>
    <w:p>
      <w:pPr>
        <w:spacing w:before="80" w:after="80" w:line="312" w:lineRule="auto"/>
        <w:jc w:val="left"/>
      </w:pPr>
      <w:r>
        <w:t>3. Esteva, A., Kuprel, B., Novoa, R. A., Ko, J., Swetter, S. M., Blau, H. M., &amp; Thrun, S. (2017). Dermatologist-level classification of skin cancer with deep neural networks. Nature, 542(7639), 115-118.</w:t>
      </w:r>
    </w:p>
    <w:p>
      <w:pPr>
        <w:spacing w:before="80" w:after="80" w:line="312" w:lineRule="auto"/>
        <w:jc w:val="left"/>
      </w:pPr>
      <w:r>
        <w:t>4. Vaswani, A., Shazeer, N., Parmar, N., Uszkoreit, J., Jones, L., Gomez, A. N., Kaiser, L., &amp; Polosukhin, I. (2017). Attention is all you need. Advances in Neural Information Processing Systems (NeurIPS), 30, 5998-6008.</w:t>
      </w:r>
    </w:p>
    <w:p>
      <w:pPr>
        <w:spacing w:before="80" w:after="80" w:line="312" w:lineRule="auto"/>
        <w:jc w:val="left"/>
      </w:pPr>
      <w:r>
        <w:t>5. Groene, O., &amp; Klazinga, N. (2002). The development of clinical triage systems in primary care: A review. International Journal for Quality in Health Care, 14(3), 221-229.</w:t>
      </w:r>
    </w:p>
    <w:p>
      <w:pPr>
        <w:spacing w:before="80" w:after="80" w:line="312" w:lineRule="auto"/>
        <w:jc w:val="left"/>
      </w:pPr>
      <w:r>
        <w:t>6. Tschandl, P., Rosendahl, C., &amp; Kittler, H. (2018). The HAM10000 dataset, a large collection of multi-source dermatoscopic images of common pigmented skin lesions. Scientific Data, 5(1), 1-9.</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