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40" w:line="276"/>
        <w:jc w:val="center"/>
      </w:pPr>
      <w:r>
        <w:rPr>
          <w:b/>
          <w:bCs/>
          <w:sz w:val="32"/>
          <w:szCs w:val="32"/>
        </w:rPr>
        <w:t xml:space="preserve">QGenomix: Quantum-Classical Hybrid Framework</w:t>
      </w:r>
    </w:p>
    <w:p>
      <w:pPr>
        <w:spacing w:after="160" w:line="276"/>
        <w:jc w:val="center"/>
      </w:pPr>
      <w:r>
        <w:rPr>
          <w:b/>
          <w:bCs/>
          <w:sz w:val="32"/>
          <w:szCs w:val="32"/>
        </w:rPr>
        <w:t xml:space="preserve">for Polygenic Disease Risk Prediction</w:t>
      </w:r>
    </w:p>
    <w:p>
      <w:pPr>
        <w:spacing w:after="360" w:line="276"/>
        <w:jc w:val="center"/>
      </w:pPr>
      <w:r>
        <w:rPr>
          <w:i/>
          <w:iCs/>
          <w:sz w:val="26"/>
          <w:szCs w:val="26"/>
        </w:rPr>
        <w:t xml:space="preserve">Focus: early-onset type 2 diabetes in lean South Asians</w:t>
      </w:r>
    </w:p>
    <w:p>
      <w:pPr>
        <w:spacing w:after="80" w:line="276"/>
        <w:jc w:val="center"/>
      </w:pPr>
      <w:r>
        <w:rPr>
          <w:b/>
          <w:bCs/>
          <w:sz w:val="26"/>
          <w:szCs w:val="26"/>
        </w:rPr>
        <w:t xml:space="preserve">Capstone Project Report</w:t>
      </w:r>
    </w:p>
    <w:p>
      <w:pPr>
        <w:spacing w:after="60" w:line="276"/>
        <w:jc w:val="center"/>
      </w:pPr>
      <w:r>
        <w:rPr>
          <w:b/>
          <w:bCs/>
          <w:sz w:val="24"/>
          <w:szCs w:val="24"/>
        </w:rPr>
        <w:t xml:space="preserve">MENTOR EVALUATION</w:t>
      </w:r>
    </w:p>
    <w:p>
      <w:pPr>
        <w:spacing w:after="480" w:line="276"/>
        <w:jc w:val="center"/>
      </w:pPr>
      <w:r>
        <w:t xml:space="preserve">Progress report</w:t>
      </w:r>
    </w:p>
    <w:p>
      <w:pPr>
        <w:spacing w:after="120" w:line="276"/>
        <w:jc w:val="center"/>
      </w:pPr>
      <w:r>
        <w:t xml:space="preserve">Submitted by:</w:t>
      </w:r>
    </w:p>
    <w:tbl>
      <w:tblPr>
        <w:tblW w:type="dxa" w:w="46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tblGrid>
      <w:tr>
        <w:trPr>
          <w:cantSplit/>
        </w:trPr>
        <w:tc>
          <w:tcPr>
            <w:tcW w:type="dxa" w:w="1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102303452</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Aritro Chowdhury</w:t>
            </w:r>
          </w:p>
        </w:tc>
      </w:tr>
      <w:tr>
        <w:trPr>
          <w:cantSplit/>
        </w:trPr>
        <w:tc>
          <w:tcPr>
            <w:tcW w:type="dxa" w:w="1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102303017</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Suyash Gupta</w:t>
            </w:r>
          </w:p>
        </w:tc>
      </w:tr>
      <w:tr>
        <w:trPr>
          <w:cantSplit/>
        </w:trPr>
        <w:tc>
          <w:tcPr>
            <w:tcW w:type="dxa" w:w="1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102303286</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Rishabh Sharma</w:t>
            </w:r>
          </w:p>
        </w:tc>
      </w:tr>
      <w:tr>
        <w:trPr>
          <w:cantSplit/>
        </w:trPr>
        <w:tc>
          <w:tcPr>
            <w:tcW w:type="dxa" w:w="1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102315073</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Akshat Ahuja</w:t>
            </w:r>
          </w:p>
        </w:tc>
      </w:tr>
      <w:tr>
        <w:trPr>
          <w:cantSplit/>
        </w:trPr>
        <w:tc>
          <w:tcPr>
            <w:tcW w:type="dxa" w:w="1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102303455</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Anshh Pasriccha</w:t>
            </w:r>
          </w:p>
        </w:tc>
      </w:tr>
    </w:tbl>
    <w:p>
      <w:pPr>
        <w:spacing w:after="200"/>
      </w:pPr>
    </w:p>
    <w:p>
      <w:pPr>
        <w:spacing w:after="80" w:line="276"/>
        <w:jc w:val="center"/>
      </w:pPr>
      <w:r>
        <w:t xml:space="preserve">BE Third Year, COE</w:t>
      </w:r>
    </w:p>
    <w:p>
      <w:pPr>
        <w:spacing w:after="400" w:line="276"/>
        <w:jc w:val="center"/>
      </w:pPr>
      <w:r>
        <w:t xml:space="preserve">CPG No: 218</w:t>
      </w:r>
    </w:p>
    <w:p>
      <w:pPr>
        <w:spacing w:after="80" w:line="276"/>
        <w:jc w:val="center"/>
      </w:pPr>
      <w:r>
        <w:t xml:space="preserve">Under the Mentorship of</w:t>
      </w:r>
    </w:p>
    <w:p>
      <w:pPr>
        <w:spacing w:after="80" w:line="276"/>
        <w:jc w:val="center"/>
      </w:pPr>
      <w:r>
        <w:rPr>
          <w:b/>
          <w:bCs/>
        </w:rPr>
        <w:t xml:space="preserve">Dr. Husanbir Singh Pannu</w:t>
      </w:r>
    </w:p>
    <w:p>
      <w:pPr>
        <w:spacing w:after="600" w:line="276"/>
        <w:jc w:val="center"/>
      </w:pPr>
      <w:r>
        <w:t xml:space="preserve">Assistant Professor, CSED</w:t>
      </w:r>
    </w:p>
    <w:p>
      <w:pPr>
        <w:spacing w:after="80" w:line="276"/>
        <w:jc w:val="center"/>
      </w:pPr>
      <w:r>
        <w:rPr>
          <w:b/>
          <w:bCs/>
        </w:rPr>
        <w:t xml:space="preserve">Computer Science and Engineering Department</w:t>
      </w:r>
    </w:p>
    <w:p>
      <w:pPr>
        <w:spacing w:after="200" w:line="276"/>
        <w:jc w:val="center"/>
      </w:pPr>
      <w:r>
        <w:rPr>
          <w:b/>
          <w:bCs/>
        </w:rPr>
        <w:t xml:space="preserve">Thapar Institute of Engineering and Technology, Patiala</w:t>
      </w:r>
    </w:p>
    <w:p>
      <w:pPr>
        <w:spacing w:after="80" w:line="276"/>
        <w:jc w:val="center"/>
        <w:sectPr>
          <w:pgSz w:w="11906" w:h="16838" w:orient="portrait"/>
          <w:pgMar w:top="1440" w:right="1080" w:bottom="1300" w:left="1440" w:header="708" w:footer="708" w:gutter="0"/>
          <w:pgNumType/>
          <w:docGrid w:linePitch="360"/>
        </w:sectPr>
      </w:pPr>
      <w:r>
        <w:t xml:space="preserve">October 2026</w:t>
      </w:r>
    </w:p>
    <w:p>
      <w:pPr>
        <w:pStyle w:val="Heading1"/>
        <w:jc w:val="center"/>
      </w:pPr>
      <w:r>
        <w:t xml:space="preserve">SUMMARY</w:t>
      </w:r>
    </w:p>
    <w:p>
      <w:pPr>
        <w:spacing w:after="120" w:before="0" w:line="276"/>
        <w:jc w:val="both"/>
      </w:pPr>
      <w:r>
        <w:t xml:space="preserve">South Asians develop type 2 diabetes (T2D) younger and at a lower body weight than Europeans, so screening that relies on body-mass index (BMI) misses many of them. QGenomix asks two questions: do variants from two diabetes mechanisms, insulin production (β-cell) and fat distribution (lipodystrophy), interact; and how much does genetic information add to the Indian Diabetes Risk Score (IDRS), the questionnaire used for screening in India? Gene-pair selection is posed as a QUBO and solved classically and with the Quantum Approximate Optimisation Algorithm (QAOA); selected pairs are encoded by an 8-qubit variational quantum circuit (VQC); and every quantum step is compared against a classical control.</w:t>
      </w:r>
    </w:p>
    <w:p>
      <w:pPr>
        <w:spacing w:after="120" w:before="0" w:line="276"/>
        <w:jc w:val="both"/>
      </w:pPr>
      <w:r>
        <w:t xml:space="preserve">The system is complete and runs end to end on real genotypes: all 2,504 genomes of the 1000 Genomes Project, published polygenic scores from the PGS Catalog, and 10,000 synthetic South Asians built from the 978 real South Asian haplotypes, with simulated outcomes so that every discovery claim can be checked. It ends in a working risk-report application that reads 23andMe and AncestryDNA files, fills in variants the file is missing by LD imputation, produces a downloadable PDF report, and ships as a Docker image.</w:t>
      </w:r>
    </w:p>
    <w:p>
      <w:pPr>
        <w:keepNext/>
        <w:spacing w:after="60" w:before="0" w:line="276"/>
        <w:jc w:val="both"/>
      </w:pPr>
      <w:r>
        <w:rPr>
          <w:b/>
          <w:bCs/>
        </w:rPr>
        <w:t xml:space="preserve">Main results</w:t>
      </w:r>
      <w:r>
        <w:t xml:space="preserve"> (simulated outcomes, real genotypes):</w:t>
      </w:r>
    </w:p>
    <w:p>
      <w:pPr>
        <w:pStyle w:val="ListParagraph"/>
        <w:numPr>
          <w:ilvl w:val="0"/>
          <w:numId w:val="2"/>
        </w:numPr>
        <w:spacing w:after="80" w:line="276"/>
        <w:jc w:val="both"/>
      </w:pPr>
      <w:r>
        <w:t xml:space="preserve">Genetic scores add 0.063 AUC on top of all clinical factors (0.812 → 0.874, DeLong p ≤ 4×10</w:t>
      </w:r>
      <w:r>
        <w:rPr>
          <w:vertAlign w:val="superscript"/>
        </w:rPr>
        <w:t xml:space="preserve">−6</w:t>
      </w:r>
      <w:r>
        <w:t xml:space="preserve"> in every seed); the IDRS alone reaches 0.761.</w:t>
      </w:r>
    </w:p>
    <w:p>
      <w:pPr>
        <w:pStyle w:val="ListParagraph"/>
        <w:numPr>
          <w:ilvl w:val="0"/>
          <w:numId w:val="2"/>
        </w:numPr>
        <w:spacing w:after="80" w:line="276"/>
        <w:jc w:val="both"/>
      </w:pPr>
      <w:r>
        <w:t xml:space="preserve">Among lean people (BMI &lt; 23) who develop diabetes, screening the top 20% catches </w:t>
      </w:r>
      <w:r>
        <w:rPr>
          <w:b/>
          <w:bCs/>
        </w:rPr>
        <w:t xml:space="preserve">0%</w:t>
      </w:r>
      <w:r>
        <w:t xml:space="preserve"> with a BMI rule, </w:t>
      </w:r>
      <w:r>
        <w:rPr>
          <w:b/>
          <w:bCs/>
        </w:rPr>
        <w:t xml:space="preserve">30%</w:t>
      </w:r>
      <w:r>
        <w:t xml:space="preserve"> with the IDRS and </w:t>
      </w:r>
      <w:r>
        <w:rPr>
          <w:b/>
          <w:bCs/>
        </w:rPr>
        <w:t xml:space="preserve">58%</w:t>
      </w:r>
      <w:r>
        <w:t xml:space="preserve"> with the genetic model.</w:t>
      </w:r>
    </w:p>
    <w:p>
      <w:pPr>
        <w:pStyle w:val="ListParagraph"/>
        <w:numPr>
          <w:ilvl w:val="0"/>
          <w:numId w:val="2"/>
        </w:numPr>
        <w:spacing w:after="80" w:line="276"/>
        <w:jc w:val="both"/>
      </w:pPr>
      <w:r>
        <w:t xml:space="preserve">The result holds in 13 of 13 alternative simulator settings and in all five South Asian populations of 1000 Genomes (AUC 0.84–0.92).</w:t>
      </w:r>
    </w:p>
    <w:p>
      <w:pPr>
        <w:pStyle w:val="ListParagraph"/>
        <w:numPr>
          <w:ilvl w:val="0"/>
          <w:numId w:val="2"/>
        </w:numPr>
        <w:spacing w:after="80" w:line="276"/>
        <w:jc w:val="both"/>
      </w:pPr>
      <w:r>
        <w:t xml:space="preserve">For a typical consumer DNA file (45% of risk-score variants), LD imputation halves the error in the reported risk percentile (13 → 6 points).</w:t>
      </w:r>
    </w:p>
    <w:p>
      <w:pPr>
        <w:pStyle w:val="ListParagraph"/>
        <w:numPr>
          <w:ilvl w:val="0"/>
          <w:numId w:val="2"/>
        </w:numPr>
        <w:spacing w:after="80" w:line="276"/>
        <w:jc w:val="both"/>
      </w:pPr>
      <w:r>
        <w:t xml:space="preserve">The interaction search recovers 70–84% of planted gene pairs at 10,000 people (PLINK BOOST 40–48%) and reports almost nothing when no interaction exists.</w:t>
      </w:r>
    </w:p>
    <w:p>
      <w:pPr>
        <w:pStyle w:val="ListParagraph"/>
        <w:numPr>
          <w:ilvl w:val="0"/>
          <w:numId w:val="2"/>
        </w:numPr>
        <w:spacing w:after="80" w:line="276"/>
        <w:jc w:val="both"/>
      </w:pPr>
      <w:r>
        <w:t xml:space="preserve">The quantum components give no significant gain over their classical controls. On IBM's Kingston noise model, error mitigation lifts the constraint-preserving QAOA from 0.31 to 0.75 (noise-free 0.76).</w:t>
      </w:r>
    </w:p>
    <w:p>
      <w:pPr>
        <w:pStyle w:val="ListParagraph"/>
        <w:numPr>
          <w:ilvl w:val="0"/>
          <w:numId w:val="2"/>
        </w:numPr>
        <w:spacing w:after="80" w:line="276"/>
        <w:jc w:val="both"/>
      </w:pPr>
      <w:r>
        <w:t xml:space="preserve">Engineering: 41 Python modules (4,053 lines), 38 automated tests, continuous integration on GitHub, a Docker image, and every result reproducible from one config file.</w:t>
      </w:r>
    </w:p>
    <w:p>
      <w:pPr>
        <w:spacing w:after="120" w:before="60" w:line="276"/>
        <w:jc w:val="both"/>
      </w:pPr>
      <w:r>
        <w:t xml:space="preserve">All six objectives approved at mid-semester are complete, and the project goes well beyond them. Two features are deliberately kept for the final panel evaluation: a run on a real IBM quantum computer and a public online demo (Chapter 8). Both are built and rehearsed; they need only the team's own accounts.</w:t>
      </w:r>
    </w:p>
    <w:p>
      <w:pPr>
        <w:pStyle w:val="Heading1"/>
        <w:pageBreakBefore/>
        <w:jc w:val="left"/>
      </w:pPr>
      <w:r>
        <w:t xml:space="preserve">CHAPTER 1: PROJECT OVERVIEW</w:t>
      </w:r>
    </w:p>
    <w:p>
      <w:pPr>
        <w:pStyle w:val="Heading2"/>
        <w:keepNext/>
      </w:pPr>
      <w:r>
        <w:t xml:space="preserve">1.1 The Problem</w:t>
      </w:r>
    </w:p>
    <w:p>
      <w:pPr>
        <w:spacing w:after="120" w:before="0" w:line="276"/>
        <w:jc w:val="both"/>
      </w:pPr>
      <w:r>
        <w:t xml:space="preserve">India has an estimated 101 million adults with diabetes and 136 million with prediabetes [1]. South Asians develop T2D at younger ages and lower BMI than Europeans, a pattern often called the lean or "thin-fat" phenotype [2]. Two consequences follow. BMI-based screening misses lean people at high risk, and the IDRS [3], which scores age, waist, physical activity and family history, cannot see inherited risk in a young, slim person.</w:t>
      </w:r>
    </w:p>
    <w:p>
      <w:pPr>
        <w:spacing w:after="120" w:before="0" w:line="276"/>
        <w:jc w:val="both"/>
      </w:pPr>
      <w:r>
        <w:t xml:space="preserve">Recent genetic studies split T2D risk into mechanism-specific scores [4] and have produced a multi-ancestry PRS trained for South Asians, D-PRISM [5]. What is not known is whether the mechanisms interact: whether a person high on both the β-cell and the lipodystrophy score carries more risk than the two scores add up to. Testing every pair of variants across mechanisms and choosing a small, non-redundant set of pairs is a combinatorial selection problem, which is where the quantum methods enter.</w:t>
      </w:r>
    </w:p>
    <w:p>
      <w:pPr>
        <w:pStyle w:val="Heading2"/>
        <w:keepNext/>
      </w:pPr>
      <w:r>
        <w:t xml:space="preserve">1.2 Changes Since the Mid-Semester Evaluation</w:t>
      </w:r>
    </w:p>
    <w:p>
      <w:pPr>
        <w:spacing w:after="120" w:before="0" w:line="276"/>
        <w:jc w:val="both"/>
      </w:pPr>
      <w:r>
        <w:t xml:space="preserve">The mid-semester design was generic. Table 1 lists what changed and why; each change gives the project a measurable clinical outcome and a verifiable ground truth.</w:t>
      </w:r>
    </w:p>
    <w:p>
      <w:pPr>
        <w:keepNext/>
        <w:spacing w:after="80" w:before="120"/>
      </w:pPr>
      <w:r>
        <w:rPr>
          <w:b/>
          <w:bCs/>
          <w:sz w:val="22"/>
          <w:szCs w:val="22"/>
        </w:rPr>
        <w:t xml:space="preserve">Table 1: </w:t>
      </w:r>
      <w:r>
        <w:rPr>
          <w:sz w:val="22"/>
          <w:szCs w:val="22"/>
        </w:rPr>
        <w:t xml:space="preserve">Changes from the mid-semester plan</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1450"/>
        <w:gridCol w:w="1900"/>
        <w:gridCol w:w="3336"/>
        <w:gridCol w:w="2700"/>
      </w:tblGrid>
      <w:tr>
        <w:trPr>
          <w:cantSplit/>
          <w:tblHeader/>
        </w:trPr>
        <w:tc>
          <w:tcPr>
            <w:tcW w:type="dxa" w:w="145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Aspect</w:t>
            </w:r>
          </w:p>
        </w:tc>
        <w:tc>
          <w:tcPr>
            <w:tcW w:type="dxa" w:w="19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Mid-semester plan</w:t>
            </w:r>
          </w:p>
        </w:tc>
        <w:tc>
          <w:tcPr>
            <w:tcW w:type="dxa" w:w="333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Implemented</w:t>
            </w:r>
          </w:p>
        </w:tc>
        <w:tc>
          <w:tcPr>
            <w:tcW w:type="dxa" w:w="27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Reason</w:t>
            </w:r>
          </w:p>
        </w:tc>
      </w:tr>
      <w:tr>
        <w:trPr>
          <w:cantSplit/>
        </w:trPr>
        <w:tc>
          <w:tcPr>
            <w:tcW w:type="dxa" w:w="14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Clinical focus</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T2D in general</w:t>
            </w:r>
          </w:p>
        </w:tc>
        <w:tc>
          <w:tcPr>
            <w:tcW w:type="dxa" w:w="33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Early-onset T2D in lean South Asians, compared with IDRS screening</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 specific, unmet need in India gives a measurable outcome</w:t>
            </w:r>
          </w:p>
        </w:tc>
      </w:tr>
      <w:tr>
        <w:trPr>
          <w:cantSplit/>
        </w:trPr>
        <w:tc>
          <w:tcPr>
            <w:tcW w:type="dxa" w:w="14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Genotypes</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2,504 × 1,000 SNP matrix</w:t>
            </w:r>
          </w:p>
        </w:tc>
        <w:tc>
          <w:tcPr>
            <w:tcW w:type="dxa" w:w="33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Full 1000 Genomes data; 10,000 synthetic South Asians built from real haplotypes</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Real allele frequencies and linkage; enough people to detect interactions</w:t>
            </w:r>
          </w:p>
        </w:tc>
      </w:tr>
      <w:tr>
        <w:trPr>
          <w:cantSplit/>
        </w:trPr>
        <w:tc>
          <w:tcPr>
            <w:tcW w:type="dxa" w:w="14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Risk scores</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Literature GWAS betas (pending)</w:t>
            </w:r>
          </w:p>
        </w:tc>
        <w:tc>
          <w:tcPr>
            <w:tcW w:type="dxa" w:w="33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D-PRISM South Asian PRS (1.34M variants) and 5 mechanism scores from the PGS Catalog</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Published, ancestry-matched weights</w:t>
            </w:r>
          </w:p>
        </w:tc>
      </w:tr>
      <w:tr>
        <w:trPr>
          <w:cantSplit/>
        </w:trPr>
        <w:tc>
          <w:tcPr>
            <w:tcW w:type="dxa" w:w="14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Outcomes</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Labels with 20 hidden pairs</w:t>
            </w:r>
          </w:p>
        </w:tc>
        <w:tc>
          <w:tcPr>
            <w:tcW w:type="dxa" w:w="33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Liability model: genetics, β-cell × lipodystrophy interaction, 10 planted pairs, age, sex, BMI, waist, activity, family history</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Known truth makes every discovery claim checkable</w:t>
            </w:r>
          </w:p>
        </w:tc>
      </w:tr>
      <w:tr>
        <w:trPr>
          <w:cantSplit/>
        </w:trPr>
        <w:tc>
          <w:tcPr>
            <w:tcW w:type="dxa" w:w="14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Pair selection</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Adaptive SHAP loop</w:t>
            </w:r>
          </w:p>
        </w:tc>
        <w:tc>
          <w:tcPr>
            <w:tcW w:type="dxa" w:w="33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Score test on 1,263 cross-mechanism pairs, then QUBO (annealing and QAOA)</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SHAP ranking found 33% of planted pairs, the score test 73% (E1)</w:t>
            </w:r>
          </w:p>
        </w:tc>
      </w:tr>
      <w:tr>
        <w:trPr>
          <w:cantSplit/>
        </w:trPr>
        <w:tc>
          <w:tcPr>
            <w:tcW w:type="dxa" w:w="14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Quantum</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VQC encoder, 125 circuits</w:t>
            </w:r>
          </w:p>
        </w:tc>
        <w:tc>
          <w:tcPr>
            <w:tcW w:type="dxa" w:w="33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QAOA with error mitigation; 12-circuit VQC with no-entanglement and classical-twin controls</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Controls isolate what the quantum part contributes</w:t>
            </w:r>
          </w:p>
        </w:tc>
      </w:tr>
      <w:tr>
        <w:trPr>
          <w:cantSplit/>
        </w:trPr>
        <w:tc>
          <w:tcPr>
            <w:tcW w:type="dxa" w:w="14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Output</w:t>
            </w:r>
          </w:p>
        </w:tc>
        <w:tc>
          <w:tcPr>
            <w:tcW w:type="dxa" w:w="1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Benchmark table</w:t>
            </w:r>
          </w:p>
        </w:tc>
        <w:tc>
          <w:tcPr>
            <w:tcW w:type="dxa" w:w="33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Benchmark, web app with PDF report, REST API, Docker image</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Shows how the result reaches a clinician or a user</w:t>
            </w:r>
          </w:p>
        </w:tc>
      </w:tr>
    </w:tbl>
    <w:p>
      <w:pPr>
        <w:pStyle w:val="Heading1"/>
        <w:pageBreakBefore/>
        <w:jc w:val="left"/>
      </w:pPr>
      <w:r>
        <w:t xml:space="preserve">CHAPTER 2: PROGRESS AGAINST APPROVED OBJECTIVES</w:t>
      </w:r>
    </w:p>
    <w:p>
      <w:pPr>
        <w:spacing w:after="120" w:before="0" w:line="276"/>
        <w:jc w:val="both"/>
      </w:pPr>
      <w:r>
        <w:t xml:space="preserve">Table 2 compares each objective approved at the mid-semester evaluation with its status then and now.</w:t>
      </w:r>
    </w:p>
    <w:p>
      <w:pPr>
        <w:keepNext/>
        <w:spacing w:after="80" w:before="120"/>
      </w:pPr>
      <w:r>
        <w:rPr>
          <w:b/>
          <w:bCs/>
          <w:sz w:val="22"/>
          <w:szCs w:val="22"/>
        </w:rPr>
        <w:t xml:space="preserve">Table 2: </w:t>
      </w:r>
      <w:r>
        <w:rPr>
          <w:sz w:val="22"/>
          <w:szCs w:val="22"/>
        </w:rPr>
        <w:t xml:space="preserve">Status of the approved objectives</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450"/>
        <w:gridCol w:w="2700"/>
        <w:gridCol w:w="950"/>
        <w:gridCol w:w="1500"/>
        <w:gridCol w:w="3786"/>
      </w:tblGrid>
      <w:tr>
        <w:trPr>
          <w:cantSplit/>
          <w:tblHeader/>
        </w:trPr>
        <w:tc>
          <w:tcPr>
            <w:tcW w:type="dxa" w:w="45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center"/>
            </w:pPr>
            <w:r>
              <w:rPr>
                <w:b/>
                <w:bCs/>
                <w:sz w:val="20"/>
                <w:szCs w:val="20"/>
              </w:rPr>
              <w:t xml:space="preserve">#</w:t>
            </w:r>
          </w:p>
        </w:tc>
        <w:tc>
          <w:tcPr>
            <w:tcW w:type="dxa" w:w="27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Approved objective</w:t>
            </w:r>
          </w:p>
        </w:tc>
        <w:tc>
          <w:tcPr>
            <w:tcW w:type="dxa" w:w="95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center"/>
            </w:pPr>
            <w:r>
              <w:rPr>
                <w:b/>
                <w:bCs/>
                <w:sz w:val="20"/>
                <w:szCs w:val="20"/>
              </w:rPr>
              <w:t xml:space="preserve">Mid-sem</w:t>
            </w:r>
          </w:p>
        </w:tc>
        <w:tc>
          <w:tcPr>
            <w:tcW w:type="dxa" w:w="15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Now</w:t>
            </w:r>
          </w:p>
        </w:tc>
        <w:tc>
          <w:tcPr>
            <w:tcW w:type="dxa" w:w="378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Evidence</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Genomic data pipeline: QC, SNP selection, pair ranking, labels</w:t>
            </w:r>
          </w:p>
        </w:tc>
        <w:tc>
          <w:tcPr>
            <w:tcW w:type="dxa" w:w="9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100%</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Complete, rebuilt on real data</w:t>
            </w:r>
          </w:p>
        </w:tc>
        <w:tc>
          <w:tcPr>
            <w:tcW w:type="dxa" w:w="37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rFonts w:ascii="Consolas" w:cs="Consolas" w:eastAsia="Consolas" w:hAnsi="Consolas"/>
                <w:sz w:val="17"/>
                <w:szCs w:val="17"/>
              </w:rPr>
              <w:t xml:space="preserve">make data</w:t>
            </w:r>
            <w:r>
              <w:rPr>
                <w:sz w:val="20"/>
                <w:szCs w:val="20"/>
              </w:rPr>
              <w:t xml:space="preserve"> rebuilds every file from the raw downloads; a full re-run gave identical output</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2</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Variational quantum circuit encoder for SNP pairs</w:t>
            </w:r>
          </w:p>
        </w:tc>
        <w:tc>
          <w:tcPr>
            <w:tcW w:type="dxa" w:w="9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20%</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Complete</w:t>
            </w:r>
          </w:p>
        </w:tc>
        <w:tc>
          <w:tcPr>
            <w:tcW w:type="dxa" w:w="37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8-qubit circuit; our simulator matches PennyLane to 10</w:t>
            </w:r>
            <w:r>
              <w:rPr>
                <w:sz w:val="20"/>
                <w:szCs w:val="20"/>
                <w:vertAlign w:val="superscript"/>
              </w:rPr>
              <w:t xml:space="preserve">−6</w:t>
            </w:r>
            <w:r>
              <w:rPr>
                <w:sz w:val="20"/>
                <w:szCs w:val="20"/>
              </w:rPr>
              <w:t xml:space="preserve"> and trains 7× faster</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3</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Classical baselines (LR, RF, XGBoost, SVM) and PRS</w:t>
            </w:r>
          </w:p>
        </w:tc>
        <w:tc>
          <w:tcPr>
            <w:tcW w:type="dxa" w:w="9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15%</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Complete</w:t>
            </w:r>
          </w:p>
        </w:tc>
        <w:tc>
          <w:tcPr>
            <w:tcW w:type="dxa" w:w="37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Also the IDRS, a BMI rule and a clinical-factor model</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4</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Hybrid stacking ensemble</w:t>
            </w:r>
          </w:p>
        </w:tc>
        <w:tc>
          <w:tcPr>
            <w:tcW w:type="dxa" w:w="9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0%</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Complete</w:t>
            </w:r>
          </w:p>
        </w:tc>
        <w:tc>
          <w:tcPr>
            <w:tcW w:type="dxa" w:w="37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Stacked model has the best AUC, 0.877</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5</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SHAP-guided adaptive pair refinement</w:t>
            </w:r>
          </w:p>
        </w:tc>
        <w:tc>
          <w:tcPr>
            <w:tcW w:type="dxa" w:w="9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0%</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Built, tested, replaced</w:t>
            </w:r>
          </w:p>
        </w:tc>
        <w:tc>
          <w:tcPr>
            <w:tcW w:type="dxa" w:w="37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SHAP ranking found 33% of planted pairs vs 73% for the score test; SHAP kept for per-person explanations</w:t>
            </w:r>
          </w:p>
        </w:tc>
      </w:tr>
      <w:tr>
        <w:trPr>
          <w:cantSplit/>
        </w:trPr>
        <w:tc>
          <w:tcPr>
            <w:tcW w:type="dxa" w:w="4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6</w:t>
            </w:r>
          </w:p>
        </w:tc>
        <w:tc>
          <w:tcPr>
            <w:tcW w:type="dxa" w:w="27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Benchmark: AUC-ROC, F1, EDR@K, DeLong, McNemar</w:t>
            </w:r>
          </w:p>
        </w:tc>
        <w:tc>
          <w:tcPr>
            <w:tcW w:type="dxa" w:w="95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center"/>
            </w:pPr>
            <w:r>
              <w:rPr>
                <w:sz w:val="20"/>
                <w:szCs w:val="20"/>
              </w:rPr>
              <w:t xml:space="preserve">10%</w:t>
            </w:r>
          </w:p>
        </w:tc>
        <w:tc>
          <w:tcPr>
            <w:tcW w:type="dxa" w:w="15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Complete</w:t>
            </w:r>
          </w:p>
        </w:tc>
        <w:tc>
          <w:tcPr>
            <w:tcW w:type="dxa" w:w="37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17 models, 15 experiments (E0–E13), Holm-corrected tests</w:t>
            </w:r>
          </w:p>
        </w:tc>
      </w:tr>
    </w:tbl>
    <w:p>
      <w:pPr>
        <w:pStyle w:val="Heading2"/>
        <w:keepNext/>
      </w:pPr>
      <w:r>
        <w:t xml:space="preserve">2.1 Work Beyond the Approved Plan</w:t>
      </w:r>
    </w:p>
    <w:p>
      <w:pPr>
        <w:pStyle w:val="ListParagraph"/>
        <w:numPr>
          <w:ilvl w:val="0"/>
          <w:numId w:val="2"/>
        </w:numPr>
        <w:spacing w:after="80" w:line="276"/>
        <w:jc w:val="both"/>
      </w:pPr>
      <w:r>
        <w:rPr>
          <w:b/>
          <w:bCs/>
        </w:rPr>
        <w:t xml:space="preserve">QAOA for pair selection</w:t>
      </w:r>
      <w:r>
        <w:t xml:space="preserve"> in two formulations, with readout correction, post-selection and zero-noise extrapolation, tested on a noise model of IBM's 156-qubit Kingston processor.</w:t>
      </w:r>
    </w:p>
    <w:p>
      <w:pPr>
        <w:pStyle w:val="ListParagraph"/>
        <w:numPr>
          <w:ilvl w:val="0"/>
          <w:numId w:val="2"/>
        </w:numPr>
        <w:spacing w:after="80" w:line="276"/>
        <w:jc w:val="both"/>
      </w:pPr>
      <w:r>
        <w:rPr>
          <w:b/>
          <w:bCs/>
        </w:rPr>
        <w:t xml:space="preserve">Clinical factors and the IDRS</w:t>
      </w:r>
      <w:r>
        <w:t xml:space="preserve">, so the value of genetics is measured against what Indian clinics already use.</w:t>
      </w:r>
    </w:p>
    <w:p>
      <w:pPr>
        <w:pStyle w:val="ListParagraph"/>
        <w:numPr>
          <w:ilvl w:val="0"/>
          <w:numId w:val="2"/>
        </w:numPr>
        <w:spacing w:after="80" w:line="276"/>
        <w:jc w:val="both"/>
      </w:pPr>
      <w:r>
        <w:rPr>
          <w:b/>
          <w:bCs/>
        </w:rPr>
        <w:t xml:space="preserve">Validation on real genomes</w:t>
      </w:r>
      <w:r>
        <w:t xml:space="preserve"> of five ancestries, and </w:t>
      </w:r>
      <w:r>
        <w:rPr>
          <w:b/>
          <w:bCs/>
        </w:rPr>
        <w:t xml:space="preserve">fairness</w:t>
      </w:r>
      <w:r>
        <w:t xml:space="preserve"> across five South Asian populations and both sexes.</w:t>
      </w:r>
    </w:p>
    <w:p>
      <w:pPr>
        <w:pStyle w:val="ListParagraph"/>
        <w:numPr>
          <w:ilvl w:val="0"/>
          <w:numId w:val="2"/>
        </w:numPr>
        <w:spacing w:after="80" w:line="276"/>
        <w:jc w:val="both"/>
      </w:pPr>
      <w:r>
        <w:rPr>
          <w:b/>
          <w:bCs/>
        </w:rPr>
        <w:t xml:space="preserve">Robustness</w:t>
      </w:r>
      <w:r>
        <w:t xml:space="preserve"> of every conclusion to the simulator's assumptions.</w:t>
      </w:r>
    </w:p>
    <w:p>
      <w:pPr>
        <w:pStyle w:val="ListParagraph"/>
        <w:numPr>
          <w:ilvl w:val="0"/>
          <w:numId w:val="2"/>
        </w:numPr>
        <w:spacing w:after="80" w:line="276"/>
        <w:jc w:val="both"/>
      </w:pPr>
      <w:r>
        <w:rPr>
          <w:b/>
          <w:bCs/>
        </w:rPr>
        <w:t xml:space="preserve">LD imputation</w:t>
      </w:r>
      <w:r>
        <w:t xml:space="preserve"> of variants missing from consumer DNA files, built from the South Asian reference genomes.</w:t>
      </w:r>
    </w:p>
    <w:p>
      <w:pPr>
        <w:pStyle w:val="ListParagraph"/>
        <w:numPr>
          <w:ilvl w:val="0"/>
          <w:numId w:val="2"/>
        </w:numPr>
        <w:spacing w:after="80" w:line="276"/>
        <w:jc w:val="both"/>
      </w:pPr>
      <w:r>
        <w:rPr>
          <w:b/>
          <w:bCs/>
        </w:rPr>
        <w:t xml:space="preserve">A complete application:</w:t>
      </w:r>
      <w:r>
        <w:t xml:space="preserve"> dashboard, REST API, PDF report, clinician view, model card and Docker image.</w:t>
      </w:r>
    </w:p>
    <w:p>
      <w:pPr>
        <w:pStyle w:val="ListParagraph"/>
        <w:numPr>
          <w:ilvl w:val="0"/>
          <w:numId w:val="2"/>
        </w:numPr>
        <w:spacing w:after="80" w:line="276"/>
        <w:jc w:val="both"/>
      </w:pPr>
      <w:r>
        <w:rPr>
          <w:b/>
          <w:bCs/>
        </w:rPr>
        <w:t xml:space="preserve">Automated tests and continuous integration</w:t>
      </w:r>
      <w:r>
        <w:t xml:space="preserve"> on GitHub.</w:t>
      </w:r>
    </w:p>
    <w:p>
      <w:pPr>
        <w:pStyle w:val="Heading2"/>
        <w:keepNext/>
      </w:pPr>
      <w:r>
        <w:t xml:space="preserve">2.2 Progress Since the Previous Mentor Review (21 October)</w:t>
      </w:r>
    </w:p>
    <w:p>
      <w:pPr>
        <w:keepNext/>
        <w:spacing w:after="80" w:before="120"/>
      </w:pPr>
      <w:r>
        <w:rPr>
          <w:b/>
          <w:bCs/>
          <w:sz w:val="22"/>
          <w:szCs w:val="22"/>
        </w:rPr>
        <w:t xml:space="preserve">Table 3: </w:t>
      </w:r>
      <w:r>
        <w:rPr>
          <w:sz w:val="22"/>
          <w:szCs w:val="22"/>
        </w:rPr>
        <w:t xml:space="preserve">Features added since the previous review</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386"/>
      </w:tblGrid>
      <w:tr>
        <w:trPr>
          <w:cantSplit/>
          <w:tblHeader/>
        </w:trPr>
        <w:tc>
          <w:tcPr>
            <w:tcW w:type="dxa" w:w="19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Feature</w:t>
            </w:r>
          </w:p>
        </w:tc>
        <w:tc>
          <w:tcPr>
            <w:tcW w:type="dxa" w:w="41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What it does</w:t>
            </w:r>
          </w:p>
        </w:tc>
        <w:tc>
          <w:tcPr>
            <w:tcW w:type="dxa" w:w="338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Result</w:t>
            </w:r>
          </w:p>
        </w:tc>
      </w:tr>
      <w:tr>
        <w:trPr>
          <w:cantSplit/>
        </w:trPr>
        <w:tc>
          <w:tcPr>
            <w:tcW w:type="dxa" w:w="19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LD imputation (E13)</w:t>
            </w:r>
          </w:p>
        </w:tc>
        <w:tc>
          <w:tcPr>
            <w:tcW w:type="dxa" w:w="41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Predicts each variant missing from a DNA file from its best-correlated measured neighbour</w:t>
            </w:r>
          </w:p>
        </w:tc>
        <w:tc>
          <w:tcPr>
            <w:tcW w:type="dxa" w:w="3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Percentile error 13 → 6 points at 45% coverage</w:t>
            </w:r>
          </w:p>
        </w:tc>
      </w:tr>
      <w:tr>
        <w:trPr>
          <w:cantSplit/>
        </w:trPr>
        <w:tc>
          <w:tcPr>
            <w:tcW w:type="dxa" w:w="19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Error mitigation (E7b)</w:t>
            </w:r>
          </w:p>
        </w:tc>
        <w:tc>
          <w:tcPr>
            <w:tcW w:type="dxa" w:w="41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Readout correction, post-selection and zero-noise extrapolation for QAOA</w:t>
            </w:r>
          </w:p>
        </w:tc>
        <w:tc>
          <w:tcPr>
            <w:tcW w:type="dxa" w:w="3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XY QAOA 0.31 → 0.75 on the IBM noise model</w:t>
            </w:r>
          </w:p>
        </w:tc>
      </w:tr>
      <w:tr>
        <w:trPr>
          <w:cantSplit/>
        </w:trPr>
        <w:tc>
          <w:tcPr>
            <w:tcW w:type="dxa" w:w="19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Fairness (E11)</w:t>
            </w:r>
          </w:p>
        </w:tc>
        <w:tc>
          <w:tcPr>
            <w:tcW w:type="dxa" w:w="41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Accuracy, calibration and screening yield per South Asian population and sex</w:t>
            </w:r>
          </w:p>
        </w:tc>
        <w:tc>
          <w:tcPr>
            <w:tcW w:type="dxa" w:w="3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Genetics helps in every group; AUC 0.84–0.92</w:t>
            </w:r>
          </w:p>
        </w:tc>
      </w:tr>
      <w:tr>
        <w:trPr>
          <w:cantSplit/>
        </w:trPr>
        <w:tc>
          <w:tcPr>
            <w:tcW w:type="dxa" w:w="19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Robustness (E12)</w:t>
            </w:r>
          </w:p>
        </w:tc>
        <w:tc>
          <w:tcPr>
            <w:tcW w:type="dxa" w:w="41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13 simulator settings, one assumption changed at a time</w:t>
            </w:r>
          </w:p>
        </w:tc>
        <w:tc>
          <w:tcPr>
            <w:tcW w:type="dxa" w:w="3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Genetics beats clinical factors in 13 of 13</w:t>
            </w:r>
          </w:p>
        </w:tc>
      </w:tr>
      <w:tr>
        <w:trPr>
          <w:cantSplit/>
        </w:trPr>
        <w:tc>
          <w:tcPr>
            <w:tcW w:type="dxa" w:w="19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PDF report</w:t>
            </w:r>
          </w:p>
        </w:tc>
        <w:tc>
          <w:tcPr>
            <w:tcW w:type="dxa" w:w="41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One-page report from the dashboard and the API (</w:t>
            </w:r>
            <w:r>
              <w:rPr>
                <w:rFonts w:ascii="Consolas" w:cs="Consolas" w:eastAsia="Consolas" w:hAnsi="Consolas"/>
                <w:sz w:val="17"/>
                <w:szCs w:val="17"/>
              </w:rPr>
              <w:t xml:space="preserve">POST /v1/report.pdf</w:t>
            </w:r>
            <w:r>
              <w:rPr>
                <w:sz w:val="20"/>
                <w:szCs w:val="20"/>
              </w:rPr>
              <w:t xml:space="preserve">)</w:t>
            </w:r>
          </w:p>
        </w:tc>
        <w:tc>
          <w:tcPr>
            <w:tcW w:type="dxa" w:w="3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Tested from inside Docker</w:t>
            </w:r>
          </w:p>
        </w:tc>
      </w:tr>
      <w:tr>
        <w:trPr>
          <w:cantSplit/>
        </w:trPr>
        <w:tc>
          <w:tcPr>
            <w:tcW w:type="dxa" w:w="19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Docker image</w:t>
            </w:r>
          </w:p>
        </w:tc>
        <w:tc>
          <w:tcPr>
            <w:tcW w:type="dxa" w:w="41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Dashboard and API in containers (</w:t>
            </w:r>
            <w:r>
              <w:rPr>
                <w:rFonts w:ascii="Consolas" w:cs="Consolas" w:eastAsia="Consolas" w:hAnsi="Consolas"/>
                <w:sz w:val="17"/>
                <w:szCs w:val="17"/>
              </w:rPr>
              <w:t xml:space="preserve">docker compose up</w:t>
            </w:r>
            <w:r>
              <w:rPr>
                <w:sz w:val="20"/>
                <w:szCs w:val="20"/>
              </w:rPr>
              <w:t xml:space="preserve">)</w:t>
            </w:r>
          </w:p>
        </w:tc>
        <w:tc>
          <w:tcPr>
            <w:tcW w:type="dxa" w:w="3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1.3 GB image, health checks pass</w:t>
            </w:r>
          </w:p>
        </w:tc>
      </w:tr>
      <w:tr>
        <w:trPr>
          <w:cantSplit/>
        </w:trPr>
        <w:tc>
          <w:tcPr>
            <w:tcW w:type="dxa" w:w="19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IBM rehearsal mode</w:t>
            </w:r>
          </w:p>
        </w:tc>
        <w:tc>
          <w:tcPr>
            <w:tcW w:type="dxa" w:w="41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Runs the hardware script locally on the Kingston noise model</w:t>
            </w:r>
          </w:p>
        </w:tc>
        <w:tc>
          <w:tcPr>
            <w:tcW w:type="dxa" w:w="3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Ready for the panel run</w:t>
            </w:r>
          </w:p>
        </w:tc>
      </w:tr>
    </w:tbl>
    <w:p>
      <w:pPr>
        <w:pStyle w:val="Heading1"/>
        <w:pageBreakBefore/>
        <w:jc w:val="left"/>
      </w:pPr>
      <w:r>
        <w:t xml:space="preserve">CHAPTER 3: SYSTEM ARCHITECTURE</w:t>
      </w:r>
    </w:p>
    <w:p>
      <w:pPr>
        <w:spacing w:after="120" w:before="0" w:line="276"/>
        <w:jc w:val="both"/>
      </w:pPr>
      <w:r>
        <w:t xml:space="preserve">Figure 1 shows the system. Three inputs feed eight stages; the two purple stages use quantum circuits, and each is compared against a classical control. Table 4 lists the module and main technique of each stage.</w:t>
      </w:r>
    </w:p>
    <w:p>
      <w:pPr>
        <w:keepNext/>
        <w:spacing w:after="60" w:before="120"/>
        <w:jc w:val="center"/>
      </w:pPr>
      <w:r>
        <w:drawing>
          <wp:inline distT="0" distB="0" distL="0" distR="0">
            <wp:extent cx="5905500" cy="3429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29000"/>
                    </a:xfrm>
                    <a:prstGeom prst="rect">
                      <a:avLst/>
                    </a:prstGeom>
                  </pic:spPr>
                </pic:pic>
              </a:graphicData>
            </a:graphic>
          </wp:inline>
        </w:drawing>
      </w:r>
    </w:p>
    <w:p>
      <w:pPr>
        <w:spacing w:after="200"/>
        <w:jc w:val="center"/>
      </w:pPr>
      <w:r>
        <w:rPr>
          <w:b/>
          <w:bCs/>
          <w:sz w:val="21"/>
          <w:szCs w:val="21"/>
        </w:rPr>
        <w:t xml:space="preserve">Figure 1: </w:t>
      </w:r>
      <w:r>
        <w:rPr>
          <w:i/>
          <w:iCs/>
          <w:sz w:val="21"/>
          <w:szCs w:val="21"/>
        </w:rPr>
        <w:t xml:space="preserve">QGenomix architecture: inputs, the eight stages S1–S8, and the quantum stages (purple)</w:t>
      </w:r>
    </w:p>
    <w:p>
      <w:pPr>
        <w:keepNext/>
        <w:spacing w:after="80" w:before="120"/>
      </w:pPr>
      <w:r>
        <w:rPr>
          <w:b/>
          <w:bCs/>
          <w:sz w:val="22"/>
          <w:szCs w:val="22"/>
        </w:rPr>
        <w:t xml:space="preserve">Table 4: </w:t>
      </w:r>
      <w:r>
        <w:rPr>
          <w:sz w:val="22"/>
          <w:szCs w:val="22"/>
        </w:rPr>
        <w:t xml:space="preserve">Stages, code modules and techniques</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2050"/>
        <w:gridCol w:w="2300"/>
        <w:gridCol w:w="5036"/>
      </w:tblGrid>
      <w:tr>
        <w:trPr>
          <w:cantSplit/>
          <w:tblHeader/>
        </w:trPr>
        <w:tc>
          <w:tcPr>
            <w:tcW w:type="dxa" w:w="205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Stage</w:t>
            </w:r>
          </w:p>
        </w:tc>
        <w:tc>
          <w:tcPr>
            <w:tcW w:type="dxa" w:w="23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Module (src/qgenomix)</w:t>
            </w:r>
          </w:p>
        </w:tc>
        <w:tc>
          <w:tcPr>
            <w:tcW w:type="dxa" w:w="503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Technique</w:t>
            </w:r>
          </w:p>
        </w:tc>
      </w:tr>
      <w:tr>
        <w:trPr>
          <w:cantSplit/>
        </w:trPr>
        <w:tc>
          <w:tcPr>
            <w:tcW w:type="dxa" w:w="20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S1 Data preparation</w:t>
            </w:r>
          </w:p>
        </w:tc>
        <w:tc>
          <w:tcPr>
            <w:tcW w:type="dxa" w:w="2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data</w:t>
            </w:r>
          </w:p>
        </w:tc>
        <w:tc>
          <w:tcPr>
            <w:tcW w:type="dxa" w:w="50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PLINK 2 QC (MAF, HWE, missingness), PCA, PRS scoring, haplotype library (2,710 blocks), LD panel</w:t>
            </w:r>
          </w:p>
        </w:tc>
      </w:tr>
      <w:tr>
        <w:trPr>
          <w:cantSplit/>
        </w:trPr>
        <w:tc>
          <w:tcPr>
            <w:tcW w:type="dxa" w:w="20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S2 Cohort and simulator</w:t>
            </w:r>
          </w:p>
        </w:tc>
        <w:tc>
          <w:tcPr>
            <w:tcW w:type="dxa" w:w="2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data.cohort, sim, clinical</w:t>
            </w:r>
          </w:p>
        </w:tc>
        <w:tc>
          <w:tcPr>
            <w:tcW w:type="dxa" w:w="50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Haplotype-mosaic cohort; liability-threshold outcome model, 11% prevalence; IDRS</w:t>
            </w:r>
          </w:p>
        </w:tc>
      </w:tr>
      <w:tr>
        <w:trPr>
          <w:cantSplit/>
        </w:trPr>
        <w:tc>
          <w:tcPr>
            <w:tcW w:type="dxa" w:w="20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S3 Interaction search</w:t>
            </w:r>
          </w:p>
        </w:tc>
        <w:tc>
          <w:tcPr>
            <w:tcW w:type="dxa" w:w="2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search.relevance</w:t>
            </w:r>
          </w:p>
        </w:tc>
        <w:tc>
          <w:tcPr>
            <w:tcW w:type="dxa" w:w="50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Vectorised Rao score test for 1,263 pairs, refitted in every cross-validation fold</w:t>
            </w:r>
          </w:p>
        </w:tc>
      </w:tr>
      <w:tr>
        <w:trPr>
          <w:cantSplit/>
        </w:trPr>
        <w:tc>
          <w:tcPr>
            <w:tcW w:type="dxa" w:w="20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S4 Pair selection</w:t>
            </w:r>
          </w:p>
        </w:tc>
        <w:tc>
          <w:tcPr>
            <w:tcW w:type="dxa" w:w="2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search.qubo, solvers, qaoa, mitigation</w:t>
            </w:r>
          </w:p>
        </w:tc>
        <w:tc>
          <w:tcPr>
            <w:tcW w:type="dxa" w:w="50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QUBO of relevance minus SNP overlap; simulated annealing with swap polish; QAOA in Qiskit with error mitigation</w:t>
            </w:r>
          </w:p>
        </w:tc>
      </w:tr>
      <w:tr>
        <w:trPr>
          <w:cantSplit/>
        </w:trPr>
        <w:tc>
          <w:tcPr>
            <w:tcW w:type="dxa" w:w="20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S5 Quantum encoder</w:t>
            </w:r>
          </w:p>
        </w:tc>
        <w:tc>
          <w:tcPr>
            <w:tcW w:type="dxa" w:w="2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quantum</w:t>
            </w:r>
          </w:p>
        </w:tc>
        <w:tc>
          <w:tcPr>
            <w:tcW w:type="dxa" w:w="50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8-qubit data re-uploading circuit (RY/RZ rotations, CZ ring), 4 layers, 64 parameters; fidelity kernel</w:t>
            </w:r>
          </w:p>
        </w:tc>
      </w:tr>
      <w:tr>
        <w:trPr>
          <w:cantSplit/>
        </w:trPr>
        <w:tc>
          <w:tcPr>
            <w:tcW w:type="dxa" w:w="20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S6 Model zoo</w:t>
            </w:r>
          </w:p>
        </w:tc>
        <w:tc>
          <w:tcPr>
            <w:tcW w:type="dxa" w:w="2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models.zoo</w:t>
            </w:r>
          </w:p>
        </w:tc>
        <w:tc>
          <w:tcPr>
            <w:tcW w:type="dxa" w:w="50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IDRS, BMI rule, logistic regression, random forest, SVM, XGBoost, quantum heads, quantum-kernel SVC, stacking</w:t>
            </w:r>
          </w:p>
        </w:tc>
      </w:tr>
      <w:tr>
        <w:trPr>
          <w:cantSplit/>
        </w:trPr>
        <w:tc>
          <w:tcPr>
            <w:tcW w:type="dxa" w:w="20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S7 Evaluation</w:t>
            </w:r>
          </w:p>
        </w:tc>
        <w:tc>
          <w:tcPr>
            <w:tcW w:type="dxa" w:w="2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eval, pipeline</w:t>
            </w:r>
          </w:p>
        </w:tc>
        <w:tc>
          <w:tcPr>
            <w:tcW w:type="dxa" w:w="50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AUC, average precision, F1, Brier, EDR@K, lean-case capture; DeLong, McNemar, Holm; E0–E13</w:t>
            </w:r>
          </w:p>
        </w:tc>
      </w:tr>
      <w:tr>
        <w:trPr>
          <w:cantSplit/>
        </w:trPr>
        <w:tc>
          <w:tcPr>
            <w:tcW w:type="dxa" w:w="20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S8 Application</w:t>
            </w:r>
          </w:p>
        </w:tc>
        <w:tc>
          <w:tcPr>
            <w:tcW w:type="dxa" w:w="23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app, data.impute</w:t>
            </w:r>
          </w:p>
        </w:tc>
        <w:tc>
          <w:tcPr>
            <w:tcW w:type="dxa" w:w="50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Genotype parser, LD imputation, calibrated model, FastAPI, Streamlit, PDF report, Docker</w:t>
            </w:r>
          </w:p>
        </w:tc>
      </w:tr>
    </w:tbl>
    <w:p>
      <w:pPr>
        <w:pStyle w:val="Heading1"/>
        <w:pageBreakBefore/>
        <w:jc w:val="left"/>
      </w:pPr>
      <w:r>
        <w:t xml:space="preserve">CHAPTER 4: IMPLEMENTATION</w:t>
      </w:r>
    </w:p>
    <w:p>
      <w:pPr>
        <w:pStyle w:val="Heading2"/>
        <w:keepNext/>
      </w:pPr>
      <w:r>
        <w:t xml:space="preserve">4.1 Data</w:t>
      </w:r>
    </w:p>
    <w:p>
      <w:pPr>
        <w:spacing w:after="120" w:before="0" w:line="276"/>
        <w:jc w:val="both"/>
      </w:pPr>
      <w:r>
        <w:t xml:space="preserve">PLINK 2 [6] processed the 1000 Genomes phase 3 release [7]: 84 million variants in 2,504 people from 26 populations. From it we computed the five components of D-PRISM [5] (1.34 million variants), the five mechanism scores of [4] (β-cell, lipodystrophy, liver/lipid, obesity, proinsulin), and the dosages of their 62 SNPs. The 489 South Asian samples (Gujarati, Punjabi, Bengali, Sri Lankan Tamil and Telugu) give 978 phased haplotypes. A synthetic person is assembled by drawing each one-megabase block of the genome from a random South Asian haplotype, which keeps real allele frequencies and local linkage while allowing a cohort of any size.</w:t>
      </w:r>
    </w:p>
    <w:p>
      <w:pPr>
        <w:pStyle w:val="Heading2"/>
        <w:keepNext/>
      </w:pPr>
      <w:r>
        <w:t xml:space="preserve">4.2 Outcome Simulator</w:t>
      </w:r>
    </w:p>
    <w:p>
      <w:pPr>
        <w:spacing w:after="120" w:before="0" w:line="276"/>
        <w:jc w:val="both"/>
      </w:pPr>
      <w:r>
        <w:t xml:space="preserve">Each person's liability to T2D is a weighted sum of the D-PRISM background (10% of variance), the five mechanism scores (6.9%), a β-cell × lipodystrophy interaction (2.0%), ten planted SNP-pair interactions (4.0%), age (7%), BMI (4%), waist, activity and family history (4.5% together) and noise. The top 11% become cases, close to the national prevalence [1]. The IDRS is computed from the simulated clinical factors exactly as published [3]. The simulator reproduces the lean phenotype: 25% of cases are lean, and people high on both the β-cell and lipodystrophy scores have a 37% case rate against 10% for everyone else, despite a lower average BMI.</w:t>
      </w:r>
    </w:p>
    <w:p>
      <w:pPr>
        <w:pStyle w:val="Heading2"/>
        <w:keepNext/>
      </w:pPr>
      <w:r>
        <w:t xml:space="preserve">4.3 Interaction Search and QUBO Selection</w:t>
      </w:r>
    </w:p>
    <w:p>
      <w:pPr>
        <w:spacing w:after="120" w:before="0" w:line="276"/>
        <w:jc w:val="both"/>
      </w:pPr>
      <w:r>
        <w:t xml:space="preserve">For each of the 1,263 pairs of SNPs from different mechanisms, a Rao score test asks whether the pair's product term improves a logistic model that already contains all main effects and covariates; it is vectorised over all pairs (about 7 seconds per fold). The 200 strongest pairs enter a QUBO that rewards relevance and penalises pairs sharing a SNP or a linkage block, with a penalty that forces exactly 48 pairs [8]. Simulated annealing with a swap-polishing step solves it; top-K ranking and mRMR [9] are the classical controls.</w:t>
      </w:r>
    </w:p>
    <w:p>
      <w:pPr>
        <w:pStyle w:val="Heading2"/>
        <w:keepNext/>
      </w:pPr>
      <w:r>
        <w:t xml:space="preserve">4.4 Quantum Circuits</w:t>
      </w:r>
    </w:p>
    <w:p>
      <w:pPr>
        <w:spacing w:after="120" w:before="0" w:line="276"/>
        <w:jc w:val="both"/>
      </w:pPr>
      <w:r>
        <w:rPr>
          <w:b/>
          <w:bCs/>
        </w:rPr>
        <w:t xml:space="preserve">QAOA</w:t>
      </w:r>
      <w:r>
        <w:t xml:space="preserve"> [10]. A 12-pair sub-problem (choose 4 of 12) is solved with QAOA in Qiskit. Besides the textbook penalty formulation we implemented a constraint-preserving XY mixer [11] that starts from a Dicke state, prepared with the Bärtschi–Eidenbenz circuit [12], so it only explores valid selections.</w:t>
      </w:r>
    </w:p>
    <w:p>
      <w:pPr>
        <w:spacing w:after="120" w:before="0" w:line="276"/>
        <w:jc w:val="both"/>
      </w:pPr>
      <w:r>
        <w:rPr>
          <w:b/>
          <w:bCs/>
        </w:rPr>
        <w:t xml:space="preserve">Encoder.</w:t>
      </w:r>
      <w:r>
        <w:t xml:space="preserve"> Each 8-qubit circuit takes 4 SNP pairs, places the two dosages of a pair on two qubits and re-uploads the data [13] over 4 layers of RY/RZ rotations and a CZ ring. Twelve circuits cover 48 pairs and give 96 features. Our exact PyTorch statevector simulator matches PennyLane to 10</w:t>
      </w:r>
      <w:r>
        <w:rPr>
          <w:vertAlign w:val="superscript"/>
        </w:rPr>
        <w:t xml:space="preserve">−6</w:t>
      </w:r>
      <w:r>
        <w:t xml:space="preserve"> and trains 7× faster. Controls: the same circuit without CZ gates (no entanglement) and a classical network of similar size. A quantum-kernel SVC [14] is also tested.</w:t>
      </w:r>
    </w:p>
    <w:p>
      <w:pPr>
        <w:pStyle w:val="Heading2"/>
        <w:keepNext/>
      </w:pPr>
      <w:r>
        <w:t xml:space="preserve">4.5 Error Mitigation</w:t>
      </w:r>
    </w:p>
    <w:p>
      <w:pPr>
        <w:spacing w:after="120" w:before="0" w:line="276"/>
        <w:jc w:val="both"/>
      </w:pPr>
      <w:r>
        <w:t xml:space="preserve">Real quantum processors are noisy: after routing to IBM's heavy-hex layout the QAOA circuits need 220–700 two-qubit gates. Three standard, inexpensive techniques are applied to the same shots. </w:t>
      </w:r>
      <w:r>
        <w:rPr>
          <w:b/>
          <w:bCs/>
        </w:rPr>
        <w:t xml:space="preserve">Readout correction</w:t>
      </w:r>
      <w:r>
        <w:t xml:space="preserve"> measures two calibration circuits and inverts each qubit's 2 × 2 assignment matrix [15]. </w:t>
      </w:r>
      <w:r>
        <w:rPr>
          <w:b/>
          <w:bCs/>
        </w:rPr>
        <w:t xml:space="preserve">Post-selection</w:t>
      </w:r>
      <w:r>
        <w:t xml:space="preserve"> keeps only samples that select exactly four pairs; for the XY circuit any other count is a detected error, because the circuit conserves it [16]. </w:t>
      </w:r>
      <w:r>
        <w:rPr>
          <w:b/>
          <w:bCs/>
        </w:rPr>
        <w:t xml:space="preserve">Zero-noise extrapolation</w:t>
      </w:r>
      <w:r>
        <w:t xml:space="preserve"> runs the circuit at noise scales 1, 3 and 5 by unitary folding and extrapolates the quality back to zero noise [17]. The same code drives the hardware run.</w:t>
      </w:r>
    </w:p>
    <w:p>
      <w:pPr>
        <w:pStyle w:val="Heading2"/>
        <w:keepNext/>
      </w:pPr>
      <w:r>
        <w:t xml:space="preserve">4.6 Evaluation Protocol</w:t>
      </w:r>
    </w:p>
    <w:p>
      <w:pPr>
        <w:spacing w:after="120" w:before="0" w:line="276"/>
        <w:jc w:val="both"/>
      </w:pPr>
      <w:r>
        <w:t xml:space="preserve">Every experiment holds out 20% of people as a test set. All selection and fitting happens inside 5-fold cross-validation on the remaining 80%, so no test information leaks into the choice of pairs. Results are averaged over 3 seeds. AUCs are compared with DeLong's test [18], classifications with McNemar's test, both Holm-corrected. EDR@10 is the share of the 10 planted pairs found in a method's top 10. Lean-case capture is the share of lean cases (BMI &lt; 23) among the top 20% of predicted risk, with exactly 20% flagged.</w:t>
      </w:r>
    </w:p>
    <w:p>
      <w:pPr>
        <w:pStyle w:val="Heading2"/>
        <w:keepNext/>
      </w:pPr>
      <w:r>
        <w:t xml:space="preserve">4.7 LD Imputation for Consumer DNA Files</w:t>
      </w:r>
    </w:p>
    <w:p>
      <w:pPr>
        <w:spacing w:after="120" w:before="0" w:line="276"/>
        <w:jc w:val="both"/>
      </w:pPr>
      <w:r>
        <w:t xml:space="preserve">Consumer chips measure about 600,000 SNPs, so a typical 23andMe or AncestryDNA file contains only about half of the 1.34 million D-PRISM variants. Filling a missing variant with the population average pulls every score towards the middle and hides high-risk people. QGenomix instead predicts each missing variant from its best-correlated measured neighbour (its "tag"), using linkage disequilibrium measured in the 489 South Asian genomes: the dosage is the reference mean plus a regression slope times the tag's deviation from its mean. For each of 1.46 million variants the panel stores the six best tags within 500 kb; the median best tag has r² = 0.90. The panel builds in about two minutes and imputes a genome in about one second, with no external software.</w:t>
      </w:r>
    </w:p>
    <w:p>
      <w:pPr>
        <w:pStyle w:val="Heading2"/>
        <w:keepNext/>
      </w:pPr>
      <w:r>
        <w:t xml:space="preserve">4.8 Application</w:t>
      </w:r>
    </w:p>
    <w:p>
      <w:pPr>
        <w:spacing w:after="120" w:before="0" w:line="276"/>
        <w:jc w:val="both"/>
      </w:pPr>
      <w:r>
        <w:t xml:space="preserve">The deployed model (XGBoost on clinical factors, PRS, mechanism scores, SNP dosages and quantum features) is trained on 16,000 synthetic people and calibrated on 4,000 more (AUC 0.876). The app reads a 23andMe or AncestryDNA file, checks the genome build, imputes missing variants, and reports the risk tier and percentile, the IDRS, mechanism percentiles, "missed by BMI" and "missed by IDRS" flags, the interacting SNP pairs the person carries ranked by SHAP [19], live lifestyle what-ifs, and a one-page PDF. A clinician view ranks a synthetic cohort. The same service is exposed as a REST API, and both run from one Docker image. Uploaded files are processed in memory and never stored.</w:t>
      </w:r>
    </w:p>
    <w:p>
      <w:pPr>
        <w:pStyle w:val="Heading1"/>
        <w:pageBreakBefore/>
        <w:jc w:val="left"/>
      </w:pPr>
      <w:r>
        <w:t xml:space="preserve">CHAPTER 5: RESULTS</w:t>
      </w:r>
    </w:p>
    <w:p>
      <w:pPr>
        <w:spacing w:after="120" w:before="0" w:line="276"/>
        <w:jc w:val="both"/>
      </w:pPr>
      <w:r>
        <w:t xml:space="preserve">Table 5 summarises the experiments. All use 10,000 synthetic South Asians unless stated; outcomes are simulated, genotypes are real.</w:t>
      </w:r>
    </w:p>
    <w:p>
      <w:pPr>
        <w:keepNext/>
        <w:spacing w:after="80" w:before="120"/>
      </w:pPr>
      <w:r>
        <w:rPr>
          <w:b/>
          <w:bCs/>
          <w:sz w:val="22"/>
          <w:szCs w:val="22"/>
        </w:rPr>
        <w:t xml:space="preserve">Table 5: </w:t>
      </w:r>
      <w:r>
        <w:rPr>
          <w:sz w:val="22"/>
          <w:szCs w:val="22"/>
        </w:rPr>
        <w:t xml:space="preserve">Experiments and results</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750"/>
        <w:gridCol w:w="3000"/>
        <w:gridCol w:w="5636"/>
      </w:tblGrid>
      <w:tr>
        <w:trPr>
          <w:cantSplit/>
          <w:tblHeader/>
        </w:trPr>
        <w:tc>
          <w:tcPr>
            <w:tcW w:type="dxa" w:w="75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center"/>
            </w:pPr>
            <w:r>
              <w:rPr>
                <w:b/>
                <w:bCs/>
                <w:sz w:val="20"/>
                <w:szCs w:val="20"/>
              </w:rPr>
              <w:t xml:space="preserve">Exp.</w:t>
            </w:r>
          </w:p>
        </w:tc>
        <w:tc>
          <w:tcPr>
            <w:tcW w:type="dxa" w:w="30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Question</w:t>
            </w:r>
          </w:p>
        </w:tc>
        <w:tc>
          <w:tcPr>
            <w:tcW w:type="dxa" w:w="563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Result</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E0</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Does the simulated cohort behave like the population?</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Prevalence 11%; 25% of cases lean; β-cell + lipodystrophy high group: 37% case rate at lower BMI</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E1</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Which predictor is most accurate?</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IDRS 0.761, clinical 0.812, PRS 0.736, clinical + genetics 0.874, stacked 0.877; quantum 0.866–0.871</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E2</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Does the search find planted pairs?</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Score test 70–84% in its top 10 at δ = 0.2; PLINK BOOST [20] 40–48%</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E3</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How many people are needed?</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24% of pairs at 2,500 people, 78% at 10,000, 92% at 20,000, 100% at 40,000</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E4</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Does it invent pairs when none exist?</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18 of 20 null runs report nothing; 5.4% of p-values below 0.05; λ = 1.05</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E5</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Does entanglement help?</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Entangled 0.866, no entanglement 0.871, classical twin 0.870: no</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E6</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Is QUBO selection better than top-K?</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62 distinct SNPs vs 49, 26% fewer redundant pairs, best objective in 61% of 70 runs</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E7</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Does QAOA solve the selection?</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Ideal: XY mixer 0.76 → 0.83 (depth 1 → 6), penalty 0.30 → 0.66; with IBM noise both ≈ 0.3</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E7b</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Can error mitigation recover it?</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XY depth 1: 0.31 → 0.75 (noise-free 0.76); penalty: 0.23 → 0.69</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E8</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Who catches lean cases?</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Top 20%: BMI rule 0%, IDRS 30%, clinical 35%, with genetics 58%</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E9</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Does it work on real genomes?</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AUC 0.881 South Asian; 0.85–0.87 East Asian, European, American; 0.792 African</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E10</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Are the app's what-ifs right?</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Waist −5 cm: −28% vs true −28%; exercise −32% vs −40%</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E11</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Is it fair across populations?</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Genetic-model AUC 0.84–0.92 across five populations; gain over clinical +0.05 to +0.08</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E12</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Robust to simulator assumptions?</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Genetics beats clinical in 13/13 settings and beats IDRS on lean cases in 13/13</w:t>
            </w:r>
          </w:p>
        </w:tc>
      </w:tr>
      <w:tr>
        <w:trPr>
          <w:cantSplit/>
        </w:trPr>
        <w:tc>
          <w:tcPr>
            <w:tcW w:type="dxa" w:w="75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center"/>
            </w:pPr>
            <w:r>
              <w:rPr>
                <w:sz w:val="20"/>
                <w:szCs w:val="20"/>
              </w:rPr>
              <w:t xml:space="preserve">E13</w:t>
            </w:r>
          </w:p>
        </w:tc>
        <w:tc>
          <w:tcPr>
            <w:tcW w:type="dxa" w:w="3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Partial consumer DNA files?</w:t>
            </w:r>
          </w:p>
        </w:tc>
        <w:tc>
          <w:tcPr>
            <w:tcW w:type="dxa" w:w="563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45% coverage: PRS r 0.949 → 0.982; high-risk kept 54% → 80%</w:t>
            </w:r>
          </w:p>
        </w:tc>
      </w:tr>
    </w:tbl>
    <w:p>
      <w:pPr>
        <w:pStyle w:val="Heading2"/>
        <w:keepNext/>
      </w:pPr>
      <w:r>
        <w:t xml:space="preserve">5.1 Genetics Adds to Clinical Screening</w:t>
      </w:r>
    </w:p>
    <w:p>
      <w:pPr>
        <w:spacing w:after="120" w:before="0" w:line="276"/>
        <w:jc w:val="both"/>
      </w:pPr>
      <w:r>
        <w:t xml:space="preserve">Figure 2 compares all 17 predictors. Adding the PRS and mechanism scores to the clinical factors raises AUC from 0.812 to 0.874; DeLong's test gives p ≤ 4×10</w:t>
      </w:r>
      <w:r>
        <w:rPr>
          <w:vertAlign w:val="superscript"/>
        </w:rPr>
        <w:t xml:space="preserve">−6</w:t>
      </w:r>
      <w:r>
        <w:t xml:space="preserve"> after Holm correction in each seed. The stacked hybrid is the most accurate model (0.877), but its margin over the additive model is not significant.</w:t>
      </w:r>
    </w:p>
    <w:p>
      <w:pPr>
        <w:keepNext/>
        <w:spacing w:after="60" w:before="120"/>
        <w:jc w:val="center"/>
      </w:pPr>
      <w:r>
        <w:drawing>
          <wp:inline distT="0" distB="0" distL="0" distR="0">
            <wp:extent cx="4953000" cy="30384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038475"/>
                    </a:xfrm>
                    <a:prstGeom prst="rect">
                      <a:avLst/>
                    </a:prstGeom>
                  </pic:spPr>
                </pic:pic>
              </a:graphicData>
            </a:graphic>
          </wp:inline>
        </w:drawing>
      </w:r>
    </w:p>
    <w:p>
      <w:pPr>
        <w:spacing w:after="200"/>
        <w:jc w:val="center"/>
      </w:pPr>
      <w:r>
        <w:rPr>
          <w:b/>
          <w:bCs/>
          <w:sz w:val="21"/>
          <w:szCs w:val="21"/>
        </w:rPr>
        <w:t xml:space="preserve">Figure 2: </w:t>
      </w:r>
      <w:r>
        <w:rPr>
          <w:i/>
          <w:iCs/>
          <w:sz w:val="21"/>
          <w:szCs w:val="21"/>
        </w:rPr>
        <w:t xml:space="preserve">E1 benchmark: test AUC of the 17 predictors (mean ± sd over 3 seeds)</w:t>
      </w:r>
    </w:p>
    <w:p>
      <w:pPr>
        <w:pStyle w:val="Heading2"/>
        <w:keepNext/>
      </w:pPr>
      <w:r>
        <w:t xml:space="preserve">5.2 The Lean Blind Spot</w:t>
      </w:r>
    </w:p>
    <w:p>
      <w:pPr>
        <w:spacing w:after="120" w:before="0" w:line="276"/>
        <w:jc w:val="both"/>
      </w:pPr>
      <w:r>
        <w:t xml:space="preserve">Figure 3 is the main clinical result. Among lean people who develop diabetes, a BMI rule flags none by construction, the IDRS flags 30% and a clinical-factor model 35%. Adding genetics raises this to 58%: genetic information helps most for exactly the people current screening misses.</w:t>
      </w:r>
    </w:p>
    <w:p>
      <w:pPr>
        <w:keepNext/>
        <w:spacing w:after="60" w:before="120"/>
        <w:jc w:val="center"/>
      </w:pPr>
      <w:r>
        <w:drawing>
          <wp:inline distT="0" distB="0" distL="0" distR="0">
            <wp:extent cx="5334000" cy="23622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362200"/>
                    </a:xfrm>
                    <a:prstGeom prst="rect">
                      <a:avLst/>
                    </a:prstGeom>
                  </pic:spPr>
                </pic:pic>
              </a:graphicData>
            </a:graphic>
          </wp:inline>
        </w:drawing>
      </w:r>
    </w:p>
    <w:p>
      <w:pPr>
        <w:spacing w:after="200"/>
        <w:jc w:val="center"/>
      </w:pPr>
      <w:r>
        <w:rPr>
          <w:b/>
          <w:bCs/>
          <w:sz w:val="21"/>
          <w:szCs w:val="21"/>
        </w:rPr>
        <w:t xml:space="preserve">Figure 3: </w:t>
      </w:r>
      <w:r>
        <w:rPr>
          <w:i/>
          <w:iCs/>
          <w:sz w:val="21"/>
          <w:szCs w:val="21"/>
        </w:rPr>
        <w:t xml:space="preserve">E8: share of all cases and of lean cases caught when the top 20% by risk are screened</w:t>
      </w:r>
    </w:p>
    <w:p>
      <w:pPr>
        <w:pStyle w:val="Heading2"/>
        <w:keepNext/>
      </w:pPr>
      <w:r>
        <w:t xml:space="preserve">5.3 Finding Interactions</w:t>
      </w:r>
    </w:p>
    <w:p>
      <w:pPr>
        <w:spacing w:after="120" w:before="0" w:line="276"/>
        <w:jc w:val="both"/>
      </w:pPr>
      <w:r>
        <w:t xml:space="preserve">The score test recovers most planted pairs at 10,000 people and nearly all at 20,000 (E2, E3), well ahead of PLINK's BOOST. Under the null it is calibrated (λ = 1.05) and 18 of 20 runs report nothing (E4). QUBO selection covers more distinct SNPs and wastes fewer slots on redundant "shadow" pairs than top-K (E6).</w:t>
      </w:r>
    </w:p>
    <w:p>
      <w:pPr>
        <w:pStyle w:val="Heading2"/>
        <w:keepNext/>
      </w:pPr>
      <w:r>
        <w:t xml:space="preserve">5.4 Robustness to the Simulator's Assumptions</w:t>
      </w:r>
    </w:p>
    <w:p>
      <w:pPr>
        <w:spacing w:after="120" w:before="0" w:line="276"/>
        <w:jc w:val="both"/>
      </w:pPr>
      <w:r>
        <w:t xml:space="preserve">Because outcomes are simulated, a fair question is whether the conclusions depend on our parameter choices. E12 changes one assumption at a time across 13 settings (Figure 4). Genetics beats clinical factors in 13 of 13 settings (gain 0.039 to 0.072 AUC) and catches more lean cases than the IDRS in 13 of 13. Interaction discovery, in contrast, depends strongly on effect size (EDR@10 from 0.25 to 0.95), which is reported as a limit.</w:t>
      </w:r>
    </w:p>
    <w:p>
      <w:pPr>
        <w:keepNext/>
        <w:spacing w:after="60" w:before="120"/>
        <w:jc w:val="center"/>
      </w:pPr>
      <w:r>
        <w:drawing>
          <wp:inline distT="0" distB="0" distL="0" distR="0">
            <wp:extent cx="5905500" cy="21907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spacing w:after="200"/>
        <w:jc w:val="center"/>
      </w:pPr>
      <w:r>
        <w:rPr>
          <w:b/>
          <w:bCs/>
          <w:sz w:val="21"/>
          <w:szCs w:val="21"/>
        </w:rPr>
        <w:t xml:space="preserve">Figure 4: </w:t>
      </w:r>
      <w:r>
        <w:rPr>
          <w:i/>
          <w:iCs/>
          <w:sz w:val="21"/>
          <w:szCs w:val="21"/>
        </w:rPr>
        <w:t xml:space="preserve">E12: the main conclusions under thirteen alternative simulator settings</w:t>
      </w:r>
    </w:p>
    <w:p>
      <w:pPr>
        <w:pStyle w:val="Heading2"/>
        <w:keepNext/>
      </w:pPr>
      <w:r>
        <w:t xml:space="preserve">5.5 Fairness Across South Asian Populations</w:t>
      </w:r>
    </w:p>
    <w:p>
      <w:pPr>
        <w:spacing w:after="120" w:before="0" w:line="276"/>
        <w:jc w:val="both"/>
      </w:pPr>
      <w:r>
        <w:t xml:space="preserve">E11 trains on synthetic people and tests on the 489 real South Asian genomes of 1000 Genomes (Figure 5). The genetic model improves on clinical factors in every population and in both sexes. Accuracy is lowest in the Punjabi samples (AUC 0.84) and highest in the Sri Lankan Tamil samples (0.92); with about 100 people per group these differences are within sampling noise. Predicted risks run about 11% high on real genomes, equally in every group, so local recalibration, not a group-specific fix, is the remedy.</w:t>
      </w:r>
    </w:p>
    <w:p>
      <w:pPr>
        <w:keepNext/>
        <w:spacing w:after="60" w:before="120"/>
        <w:jc w:val="center"/>
      </w:pPr>
      <w:r>
        <w:drawing>
          <wp:inline distT="0" distB="0" distL="0" distR="0">
            <wp:extent cx="5905500" cy="22098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209800"/>
                    </a:xfrm>
                    <a:prstGeom prst="rect">
                      <a:avLst/>
                    </a:prstGeom>
                  </pic:spPr>
                </pic:pic>
              </a:graphicData>
            </a:graphic>
          </wp:inline>
        </w:drawing>
      </w:r>
    </w:p>
    <w:p>
      <w:pPr>
        <w:spacing w:after="200"/>
        <w:jc w:val="center"/>
      </w:pPr>
      <w:r>
        <w:rPr>
          <w:b/>
          <w:bCs/>
          <w:sz w:val="21"/>
          <w:szCs w:val="21"/>
        </w:rPr>
        <w:t xml:space="preserve">Figure 5: </w:t>
      </w:r>
      <w:r>
        <w:rPr>
          <w:i/>
          <w:iCs/>
          <w:sz w:val="21"/>
          <w:szCs w:val="21"/>
        </w:rPr>
        <w:t xml:space="preserve">E11: accuracy, cases caught and calibration by population and sex</w:t>
      </w:r>
    </w:p>
    <w:p>
      <w:pPr>
        <w:pStyle w:val="Heading2"/>
        <w:keepNext/>
      </w:pPr>
      <w:r>
        <w:t xml:space="preserve">5.6 Consumer DNA Files</w:t>
      </w:r>
    </w:p>
    <w:p>
      <w:pPr>
        <w:spacing w:after="120" w:before="0" w:line="276"/>
        <w:jc w:val="both"/>
      </w:pPr>
      <w:r>
        <w:t xml:space="preserve">E13 holds out 100 real South Asian genomes, builds the LD panel from the other 389, and masks each genome to 25%, 45% or 65% coverage (Figure 6). At 45%, typical of a consumer chip, LD imputation raises the PRS correlation with the full genome from 0.949 to 0.982, cuts the error in the reported risk percentile from 13.2 to 6.3 points, and keeps 80% of truly high-risk people flagged, against 54% with average filling.</w:t>
      </w:r>
    </w:p>
    <w:p>
      <w:pPr>
        <w:keepNext/>
        <w:spacing w:after="60" w:before="120"/>
        <w:jc w:val="center"/>
      </w:pPr>
      <w:r>
        <w:drawing>
          <wp:inline distT="0" distB="0" distL="0" distR="0">
            <wp:extent cx="5905500" cy="21336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33600"/>
                    </a:xfrm>
                    <a:prstGeom prst="rect">
                      <a:avLst/>
                    </a:prstGeom>
                  </pic:spPr>
                </pic:pic>
              </a:graphicData>
            </a:graphic>
          </wp:inline>
        </w:drawing>
      </w:r>
    </w:p>
    <w:p>
      <w:pPr>
        <w:spacing w:after="200"/>
        <w:jc w:val="center"/>
      </w:pPr>
      <w:r>
        <w:rPr>
          <w:b/>
          <w:bCs/>
          <w:sz w:val="21"/>
          <w:szCs w:val="21"/>
        </w:rPr>
        <w:t xml:space="preserve">Figure 6: </w:t>
      </w:r>
      <w:r>
        <w:rPr>
          <w:i/>
          <w:iCs/>
          <w:sz w:val="21"/>
          <w:szCs w:val="21"/>
        </w:rPr>
        <w:t xml:space="preserve">E13: partial DNA files, average filling against LD imputation</w:t>
      </w:r>
    </w:p>
    <w:p>
      <w:pPr>
        <w:pStyle w:val="Heading2"/>
        <w:keepNext/>
      </w:pPr>
      <w:r>
        <w:t xml:space="preserve">5.7 Quantum Results and Error Mitigation</w:t>
      </w:r>
    </w:p>
    <w:p>
      <w:pPr>
        <w:spacing w:after="120" w:before="0" w:line="276"/>
        <w:jc w:val="both"/>
      </w:pPr>
      <w:r>
        <w:t xml:space="preserve">Every quantum component was tested against a matched classical control, and none gave a significant gain (E1, E5, E7). On an ideal simulator the constraint-preserving XY mixer clearly beats the textbook penalty form. Under IBM Kingston noise both fall to about 0.3. Error mitigation (Figure 7) recovers most of the loss: for the XY circuit at depth 1 the approximation ratio rises from 0.31 to 0.75, against 0.76 noise-free and 0.68 for a random valid choice. Post-selection does most of the work, which is exactly what the conserved pair count makes possible. The penalty form only reaches the level of a random valid choice (0.69), because even noise-free it has no edge once invalid samples are discarded. An 8-qubit encoder can be simulated exactly, so no speed-up is claimed; the contribution is a controlled test of where quantum methods stand on this problem.</w:t>
      </w:r>
    </w:p>
    <w:p>
      <w:pPr>
        <w:keepNext/>
        <w:spacing w:after="60" w:before="120"/>
        <w:jc w:val="center"/>
      </w:pPr>
      <w:r>
        <w:drawing>
          <wp:inline distT="0" distB="0" distL="0" distR="0">
            <wp:extent cx="5715000" cy="27051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705100"/>
                    </a:xfrm>
                    <a:prstGeom prst="rect">
                      <a:avLst/>
                    </a:prstGeom>
                  </pic:spPr>
                </pic:pic>
              </a:graphicData>
            </a:graphic>
          </wp:inline>
        </w:drawing>
      </w:r>
    </w:p>
    <w:p>
      <w:pPr>
        <w:spacing w:after="200"/>
        <w:jc w:val="center"/>
      </w:pPr>
      <w:r>
        <w:rPr>
          <w:b/>
          <w:bCs/>
          <w:sz w:val="21"/>
          <w:szCs w:val="21"/>
        </w:rPr>
        <w:t xml:space="preserve">Figure 7: </w:t>
      </w:r>
      <w:r>
        <w:rPr>
          <w:i/>
          <w:iCs/>
          <w:sz w:val="21"/>
          <w:szCs w:val="21"/>
        </w:rPr>
        <w:t xml:space="preserve">E7b: QAOA quality on the IBM Kingston noise model after each mitigation stage</w:t>
      </w:r>
    </w:p>
    <w:p>
      <w:pPr>
        <w:pStyle w:val="Heading2"/>
        <w:keepNext/>
      </w:pPr>
      <w:r>
        <w:t xml:space="preserve">5.8 Real Genomes and Lifestyle What-ifs</w:t>
      </w:r>
    </w:p>
    <w:p>
      <w:pPr>
        <w:spacing w:after="120" w:before="0" w:line="276"/>
        <w:jc w:val="both"/>
      </w:pPr>
      <w:r>
        <w:t xml:space="preserve">On real 1000 Genomes samples the clinical-plus-genetic model reaches AUC 0.881 in South Asians and 0.792 in Africans (E9), the expected loss for a South Asian-trained model. The app's lifestyle what-ifs match the simulator's true effect: waist −5 cm −28% predicted against −28% true; regular exercise −32% against −40% (conservative) (E10).</w:t>
      </w:r>
    </w:p>
    <w:p>
      <w:pPr>
        <w:pStyle w:val="Heading1"/>
        <w:pageBreakBefore/>
        <w:jc w:val="left"/>
      </w:pPr>
      <w:r>
        <w:t xml:space="preserve">CHAPTER 6: WORKING PROTOTYPE</w:t>
      </w:r>
    </w:p>
    <w:p>
      <w:pPr>
        <w:spacing w:after="120" w:before="0" w:line="276"/>
        <w:jc w:val="both"/>
      </w:pPr>
      <w:r>
        <w:t xml:space="preserve">Figure 8 shows the dashboard report for a synthetic demo persona: a 34-year-old woman with BMI 21.6. QGenomix rates her high risk (84th percentile) while the IDRS rates her moderate and the BMI rule does not flag her. Her β-cell and lipodystrophy scores are both high, and the what-if table shows exercise and a smaller waist cutting her risk from 23% to 6%. Figure 9 is the PDF report the same page produces.</w:t>
      </w:r>
    </w:p>
    <w:p>
      <w:pPr>
        <w:keepNext/>
        <w:spacing w:after="60" w:before="120"/>
        <w:jc w:val="center"/>
      </w:pPr>
      <w:r>
        <w:drawing>
          <wp:inline distT="0" distB="0" distL="0" distR="0">
            <wp:extent cx="4286250" cy="43624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4362450"/>
                    </a:xfrm>
                    <a:prstGeom prst="rect">
                      <a:avLst/>
                    </a:prstGeom>
                  </pic:spPr>
                </pic:pic>
              </a:graphicData>
            </a:graphic>
          </wp:inline>
        </w:drawing>
      </w:r>
    </w:p>
    <w:p>
      <w:pPr>
        <w:spacing w:after="200"/>
        <w:jc w:val="center"/>
      </w:pPr>
      <w:r>
        <w:rPr>
          <w:b/>
          <w:bCs/>
          <w:sz w:val="21"/>
          <w:szCs w:val="21"/>
        </w:rPr>
        <w:t xml:space="preserve">Figure 8: </w:t>
      </w:r>
      <w:r>
        <w:rPr>
          <w:i/>
          <w:iCs/>
          <w:sz w:val="21"/>
          <w:szCs w:val="21"/>
        </w:rPr>
        <w:t xml:space="preserve">Dashboard report for a lean, high-genetic-risk demo persona (synthetic genome)</w:t>
      </w:r>
    </w:p>
    <w:p>
      <w:pPr>
        <w:keepNext/>
        <w:spacing w:after="60" w:before="120"/>
        <w:jc w:val="center"/>
      </w:pPr>
      <w:r>
        <w:drawing>
          <wp:inline distT="0" distB="0" distL="0" distR="0">
            <wp:extent cx="4095750" cy="57912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5791200"/>
                    </a:xfrm>
                    <a:prstGeom prst="rect">
                      <a:avLst/>
                    </a:prstGeom>
                  </pic:spPr>
                </pic:pic>
              </a:graphicData>
            </a:graphic>
          </wp:inline>
        </w:drawing>
      </w:r>
    </w:p>
    <w:p>
      <w:pPr>
        <w:spacing w:after="200"/>
        <w:jc w:val="center"/>
      </w:pPr>
      <w:r>
        <w:rPr>
          <w:b/>
          <w:bCs/>
          <w:sz w:val="21"/>
          <w:szCs w:val="21"/>
        </w:rPr>
        <w:t xml:space="preserve">Figure 9: </w:t>
      </w:r>
      <w:r>
        <w:rPr>
          <w:i/>
          <w:iCs/>
          <w:sz w:val="21"/>
          <w:szCs w:val="21"/>
        </w:rPr>
        <w:t xml:space="preserve">The one-page PDF report (download button and POST /v1/report.pdf)</w:t>
      </w:r>
    </w:p>
    <w:p>
      <w:pPr>
        <w:spacing w:after="120" w:before="0" w:line="276"/>
        <w:jc w:val="both"/>
      </w:pPr>
      <w:r>
        <w:t xml:space="preserve">The clinician view (Figure 10) ranks a synthetic cohort by risk and filters people who are high risk but would be missed by BMI screening or by the IDRS.</w:t>
      </w:r>
    </w:p>
    <w:p>
      <w:pPr>
        <w:keepNext/>
        <w:spacing w:after="60" w:before="120"/>
        <w:jc w:val="center"/>
      </w:pPr>
      <w:r>
        <w:drawing>
          <wp:inline distT="0" distB="0" distL="0" distR="0">
            <wp:extent cx="5334000" cy="29813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81325"/>
                    </a:xfrm>
                    <a:prstGeom prst="rect">
                      <a:avLst/>
                    </a:prstGeom>
                  </pic:spPr>
                </pic:pic>
              </a:graphicData>
            </a:graphic>
          </wp:inline>
        </w:drawing>
      </w:r>
    </w:p>
    <w:p>
      <w:pPr>
        <w:spacing w:after="200"/>
        <w:jc w:val="center"/>
      </w:pPr>
      <w:r>
        <w:rPr>
          <w:b/>
          <w:bCs/>
          <w:sz w:val="21"/>
          <w:szCs w:val="21"/>
        </w:rPr>
        <w:t xml:space="preserve">Figure 10: </w:t>
      </w:r>
      <w:r>
        <w:rPr>
          <w:i/>
          <w:iCs/>
          <w:sz w:val="21"/>
          <w:szCs w:val="21"/>
        </w:rPr>
        <w:t xml:space="preserve">Clinician view of a 200-person synthetic cohort</w:t>
      </w:r>
    </w:p>
    <w:p>
      <w:pPr>
        <w:pStyle w:val="Heading2"/>
        <w:keepNext/>
      </w:pPr>
      <w:r>
        <w:t xml:space="preserve">6.1 Running the Demo</w:t>
      </w:r>
    </w:p>
    <w:p>
      <w:pPr>
        <w:pStyle w:val="ListParagraph"/>
        <w:numPr>
          <w:ilvl w:val="0"/>
          <w:numId w:val="2"/>
        </w:numPr>
        <w:spacing w:after="80" w:line="276"/>
        <w:jc w:val="left"/>
      </w:pPr>
      <w:r>
        <w:rPr>
          <w:rFonts w:ascii="Consolas" w:cs="Consolas" w:eastAsia="Consolas" w:hAnsi="Consolas"/>
          <w:sz w:val="21"/>
          <w:szCs w:val="21"/>
        </w:rPr>
        <w:t xml:space="preserve">make app</w:t>
      </w:r>
      <w:r>
        <w:t xml:space="preserve"> starts the dashboard at localhost:8501; adding </w:t>
      </w:r>
      <w:r>
        <w:rPr>
          <w:rFonts w:ascii="Consolas" w:cs="Consolas" w:eastAsia="Consolas" w:hAnsi="Consolas"/>
          <w:sz w:val="21"/>
          <w:szCs w:val="21"/>
        </w:rPr>
        <w:t xml:space="preserve">?persona=asha_lean_high&amp;autorun=1</w:t>
      </w:r>
      <w:r>
        <w:t xml:space="preserve"> opens the report above.</w:t>
      </w:r>
    </w:p>
    <w:p>
      <w:pPr>
        <w:pStyle w:val="ListParagraph"/>
        <w:numPr>
          <w:ilvl w:val="0"/>
          <w:numId w:val="2"/>
        </w:numPr>
        <w:spacing w:after="80" w:line="276"/>
        <w:jc w:val="left"/>
      </w:pPr>
      <w:r>
        <w:rPr>
          <w:rFonts w:ascii="Consolas" w:cs="Consolas" w:eastAsia="Consolas" w:hAnsi="Consolas"/>
          <w:sz w:val="21"/>
          <w:szCs w:val="21"/>
        </w:rPr>
        <w:t xml:space="preserve">make api</w:t>
      </w:r>
      <w:r>
        <w:t xml:space="preserve"> starts the REST service: </w:t>
      </w:r>
      <w:r>
        <w:rPr>
          <w:rFonts w:ascii="Consolas" w:cs="Consolas" w:eastAsia="Consolas" w:hAnsi="Consolas"/>
          <w:sz w:val="21"/>
          <w:szCs w:val="21"/>
        </w:rPr>
        <w:t xml:space="preserve">POST /v1/profile</w:t>
      </w:r>
      <w:r>
        <w:t xml:space="preserve"> returns the report as JSON and </w:t>
      </w:r>
      <w:r>
        <w:rPr>
          <w:rFonts w:ascii="Consolas" w:cs="Consolas" w:eastAsia="Consolas" w:hAnsi="Consolas"/>
          <w:sz w:val="21"/>
          <w:szCs w:val="21"/>
        </w:rPr>
        <w:t xml:space="preserve">POST /v1/report.pdf</w:t>
      </w:r>
      <w:r>
        <w:t xml:space="preserve"> as a PDF.</w:t>
      </w:r>
    </w:p>
    <w:p>
      <w:pPr>
        <w:pStyle w:val="ListParagraph"/>
        <w:numPr>
          <w:ilvl w:val="0"/>
          <w:numId w:val="2"/>
        </w:numPr>
        <w:spacing w:after="80" w:line="276"/>
        <w:jc w:val="left"/>
      </w:pPr>
      <w:r>
        <w:rPr>
          <w:rFonts w:ascii="Consolas" w:cs="Consolas" w:eastAsia="Consolas" w:hAnsi="Consolas"/>
          <w:sz w:val="21"/>
          <w:szCs w:val="21"/>
        </w:rPr>
        <w:t xml:space="preserve">docker compose up</w:t>
      </w:r>
      <w:r>
        <w:t xml:space="preserve"> runs the dashboard and the API in containers on any machine with Docker.</w:t>
      </w:r>
    </w:p>
    <w:p>
      <w:pPr>
        <w:pStyle w:val="ListParagraph"/>
        <w:numPr>
          <w:ilvl w:val="0"/>
          <w:numId w:val="2"/>
        </w:numPr>
        <w:spacing w:after="80" w:line="276"/>
        <w:jc w:val="left"/>
      </w:pPr>
      <w:r>
        <w:t xml:space="preserve">Three synthetic personas are included: a lean woman at high genetic risk, an obese man at high risk, and a low-risk young woman.</w:t>
      </w:r>
    </w:p>
    <w:p>
      <w:pPr>
        <w:pStyle w:val="ListParagraph"/>
        <w:numPr>
          <w:ilvl w:val="0"/>
          <w:numId w:val="2"/>
        </w:numPr>
        <w:spacing w:after="80" w:line="276"/>
        <w:jc w:val="left"/>
      </w:pPr>
      <w:r>
        <w:rPr>
          <w:rFonts w:ascii="Consolas" w:cs="Consolas" w:eastAsia="Consolas" w:hAnsi="Consolas"/>
          <w:sz w:val="21"/>
          <w:szCs w:val="21"/>
        </w:rPr>
        <w:t xml:space="preserve">make rehearse-ibm</w:t>
      </w:r>
      <w:r>
        <w:t xml:space="preserve"> runs the quantum-hardware script locally on the IBM Kingston noise model.</w:t>
      </w:r>
    </w:p>
    <w:p>
      <w:pPr>
        <w:pStyle w:val="Heading1"/>
        <w:pageBreakBefore/>
        <w:jc w:val="left"/>
      </w:pPr>
      <w:r>
        <w:t xml:space="preserve">CHAPTER 7: TESTING, QUALITY AND REPRODUCIBILITY</w:t>
      </w:r>
    </w:p>
    <w:p>
      <w:pPr>
        <w:pStyle w:val="ListParagraph"/>
        <w:numPr>
          <w:ilvl w:val="0"/>
          <w:numId w:val="2"/>
        </w:numPr>
        <w:spacing w:after="80" w:line="276"/>
        <w:jc w:val="both"/>
      </w:pPr>
      <w:r>
        <w:rPr>
          <w:b/>
          <w:bCs/>
        </w:rPr>
        <w:t xml:space="preserve">38 automated tests:</w:t>
      </w:r>
      <w:r>
        <w:t xml:space="preserve"> unit tests (QUBO, score test, metrics, simulator, IDRS, LD imputation, PLINK file decoding, readout correction, post-selection, extrapolation), equivalence tests (our simulator against PennyLane, our QAOA against Qiskit, the Dicke circuit, circuit folding), an end-to-end pipeline test, and parser, API and PDF tests including partial chip files, duplicate positions and wrong genome builds.</w:t>
      </w:r>
    </w:p>
    <w:p>
      <w:pPr>
        <w:pStyle w:val="ListParagraph"/>
        <w:numPr>
          <w:ilvl w:val="0"/>
          <w:numId w:val="2"/>
        </w:numPr>
        <w:spacing w:after="80" w:line="276"/>
        <w:jc w:val="both"/>
      </w:pPr>
      <w:r>
        <w:rPr>
          <w:b/>
          <w:bCs/>
        </w:rPr>
        <w:t xml:space="preserve">Continuous integration:</w:t>
      </w:r>
      <w:r>
        <w:t xml:space="preserve"> GitHub Actions installs the project from scratch and runs the linter and all tests on every push.</w:t>
      </w:r>
    </w:p>
    <w:p>
      <w:pPr>
        <w:pStyle w:val="ListParagraph"/>
        <w:numPr>
          <w:ilvl w:val="0"/>
          <w:numId w:val="2"/>
        </w:numPr>
        <w:spacing w:after="80" w:line="276"/>
        <w:jc w:val="both"/>
      </w:pPr>
      <w:r>
        <w:rPr>
          <w:b/>
          <w:bCs/>
        </w:rPr>
        <w:t xml:space="preserve">Reproducibility:</w:t>
      </w:r>
      <w:r>
        <w:t xml:space="preserve"> one YAML file holds every parameter and each result stores its hash; a re-run matches the stored result bit for bit; re-running the data pipeline from raw downloads reproduced every processed file; the imputation code reproduces PLINK's PRS exactly (r = 1.000).</w:t>
      </w:r>
    </w:p>
    <w:p>
      <w:pPr>
        <w:pStyle w:val="ListParagraph"/>
        <w:numPr>
          <w:ilvl w:val="0"/>
          <w:numId w:val="2"/>
        </w:numPr>
        <w:spacing w:after="80" w:line="276"/>
        <w:jc w:val="both"/>
      </w:pPr>
      <w:r>
        <w:rPr>
          <w:b/>
          <w:bCs/>
        </w:rPr>
        <w:t xml:space="preserve">Code:</w:t>
      </w:r>
      <w:r>
        <w:t xml:space="preserve"> 41 modules (4,053 lines), 9 scripts, one </w:t>
      </w:r>
      <w:r>
        <w:rPr>
          <w:rFonts w:ascii="Consolas" w:cs="Consolas" w:eastAsia="Consolas" w:hAnsi="Consolas"/>
          <w:sz w:val="21"/>
          <w:szCs w:val="21"/>
        </w:rPr>
        <w:t xml:space="preserve">make</w:t>
      </w:r>
      <w:r>
        <w:t xml:space="preserve"> command per step, and a Docker image.</w:t>
      </w:r>
    </w:p>
    <w:p>
      <w:pPr>
        <w:spacing w:after="120" w:before="80" w:line="276"/>
        <w:jc w:val="both"/>
      </w:pPr>
      <w:r>
        <w:t xml:space="preserve">Testing found the problems in Table 6, all fixed and covered by tests.</w:t>
      </w:r>
    </w:p>
    <w:p>
      <w:pPr>
        <w:keepNext/>
        <w:spacing w:after="80" w:before="120"/>
      </w:pPr>
      <w:r>
        <w:rPr>
          <w:b/>
          <w:bCs/>
          <w:sz w:val="22"/>
          <w:szCs w:val="22"/>
        </w:rPr>
        <w:t xml:space="preserve">Table 6: </w:t>
      </w:r>
      <w:r>
        <w:rPr>
          <w:sz w:val="22"/>
          <w:szCs w:val="22"/>
        </w:rPr>
        <w:t xml:space="preserve">Problems found in testing and their fixes</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3186"/>
      </w:tblGrid>
      <w:tr>
        <w:trPr>
          <w:cantSplit/>
          <w:tblHeader/>
        </w:trPr>
        <w:tc>
          <w:tcPr>
            <w:tcW w:type="dxa" w:w="33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Problem</w:t>
            </w:r>
          </w:p>
        </w:tc>
        <w:tc>
          <w:tcPr>
            <w:tcW w:type="dxa" w:w="29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Effect</w:t>
            </w:r>
          </w:p>
        </w:tc>
        <w:tc>
          <w:tcPr>
            <w:tcW w:type="dxa" w:w="318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Fix</w:t>
            </w:r>
          </w:p>
        </w:tc>
      </w:tr>
      <w:tr>
        <w:trPr>
          <w:cantSplit/>
        </w:trPr>
        <w:tc>
          <w:tcPr>
            <w:tcW w:type="dxa" w:w="33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PLINK ran out of memory on 84 million variants</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Data step crashed</w:t>
            </w:r>
          </w:p>
        </w:tc>
        <w:tc>
          <w:tcPr>
            <w:tcW w:type="dxa" w:w="31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Extraction split into parts with a memory cap</w:t>
            </w:r>
          </w:p>
        </w:tc>
      </w:tr>
      <w:tr>
        <w:trPr>
          <w:cantSplit/>
        </w:trPr>
        <w:tc>
          <w:tcPr>
            <w:tcW w:type="dxa" w:w="33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Interaction p-values depended on the CPU thread count</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Small differences between machines</w:t>
            </w:r>
          </w:p>
        </w:tc>
        <w:tc>
          <w:tcPr>
            <w:tcW w:type="dxa" w:w="31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Tighter solver tolerance; all experiments re-run</w:t>
            </w:r>
          </w:p>
        </w:tc>
      </w:tr>
      <w:tr>
        <w:trPr>
          <w:cantSplit/>
        </w:trPr>
        <w:tc>
          <w:tcPr>
            <w:tcW w:type="dxa" w:w="33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Duplicate positions in 23andMe files</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App crashed</w:t>
            </w:r>
          </w:p>
        </w:tc>
        <w:tc>
          <w:tcPr>
            <w:tcW w:type="dxa" w:w="31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De-duplication and a regression test</w:t>
            </w:r>
          </w:p>
        </w:tc>
      </w:tr>
      <w:tr>
        <w:trPr>
          <w:cantSplit/>
        </w:trPr>
        <w:tc>
          <w:tcPr>
            <w:tcW w:type="dxa" w:w="33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Consumer files cover about 45% of PRS variants</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Scores pulled to average; high-risk people missed</w:t>
            </w:r>
          </w:p>
        </w:tc>
        <w:tc>
          <w:tcPr>
            <w:tcW w:type="dxa" w:w="31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LD imputation (E13)</w:t>
            </w:r>
          </w:p>
        </w:tc>
      </w:tr>
      <w:tr>
        <w:trPr>
          <w:cantSplit/>
        </w:trPr>
        <w:tc>
          <w:tcPr>
            <w:tcW w:type="dxa" w:w="33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Ties in coarse scores (IDRS moves in steps of 10)</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More than 20% flagged, IDRS capture inflated</w:t>
            </w:r>
          </w:p>
        </w:tc>
        <w:tc>
          <w:tcPr>
            <w:tcW w:type="dxa" w:w="31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Exactly 20% flagged, ties broken at random</w:t>
            </w:r>
          </w:p>
        </w:tc>
      </w:tr>
      <w:tr>
        <w:trPr>
          <w:cantSplit/>
        </w:trPr>
        <w:tc>
          <w:tcPr>
            <w:tcW w:type="dxa" w:w="33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Step-shaped (isotonic) calibration</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Some risks shown as 0%</w:t>
            </w:r>
          </w:p>
        </w:tc>
        <w:tc>
          <w:tcPr>
            <w:tcW w:type="dxa" w:w="31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Smooth Platt calibration</w:t>
            </w:r>
          </w:p>
        </w:tc>
      </w:tr>
    </w:tbl>
    <w:p>
      <w:pPr>
        <w:pStyle w:val="Heading1"/>
        <w:pageBreakBefore/>
        <w:jc w:val="left"/>
      </w:pPr>
      <w:r>
        <w:t xml:space="preserve">CHAPTER 8: PLAN FOR THE FINAL PANEL EVALUATION</w:t>
      </w:r>
    </w:p>
    <w:p>
      <w:pPr>
        <w:spacing w:after="120" w:before="0" w:line="276"/>
        <w:jc w:val="both"/>
      </w:pPr>
      <w:r>
        <w:t xml:space="preserve">The final panel evaluation is about 15 days away (around 9 November 2026). The system is complete; two features have been kept for the panel because each needs an account in the team's own name, and each is already built and rehearsed (Table 7).</w:t>
      </w:r>
    </w:p>
    <w:p>
      <w:pPr>
        <w:keepNext/>
        <w:spacing w:after="80" w:before="120"/>
      </w:pPr>
      <w:r>
        <w:rPr>
          <w:b/>
          <w:bCs/>
          <w:sz w:val="22"/>
          <w:szCs w:val="22"/>
        </w:rPr>
        <w:t xml:space="preserve">Table 7: </w:t>
      </w:r>
      <w:r>
        <w:rPr>
          <w:sz w:val="22"/>
          <w:szCs w:val="22"/>
        </w:rPr>
        <w:t xml:space="preserve">Features kept for the final panel</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3486"/>
        <w:gridCol w:w="1000"/>
      </w:tblGrid>
      <w:tr>
        <w:trPr>
          <w:cantSplit/>
          <w:tblHeader/>
        </w:trPr>
        <w:tc>
          <w:tcPr>
            <w:tcW w:type="dxa" w:w="20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Feature</w:t>
            </w:r>
          </w:p>
        </w:tc>
        <w:tc>
          <w:tcPr>
            <w:tcW w:type="dxa" w:w="29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What is ready</w:t>
            </w:r>
          </w:p>
        </w:tc>
        <w:tc>
          <w:tcPr>
            <w:tcW w:type="dxa" w:w="348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What remains</w:t>
            </w:r>
          </w:p>
        </w:tc>
        <w:tc>
          <w:tcPr>
            <w:tcW w:type="dxa" w:w="10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Effort</w:t>
            </w:r>
          </w:p>
        </w:tc>
      </w:tr>
      <w:tr>
        <w:trPr>
          <w:cantSplit/>
        </w:trPr>
        <w:tc>
          <w:tcPr>
            <w:tcW w:type="dxa" w:w="20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Run on a real IBM quantum computer</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rFonts w:ascii="Consolas" w:cs="Consolas" w:eastAsia="Consolas" w:hAnsi="Consolas"/>
                <w:sz w:val="17"/>
                <w:szCs w:val="17"/>
              </w:rPr>
              <w:t xml:space="preserve">scripts/run_ibm.py</w:t>
            </w:r>
            <w:r>
              <w:rPr>
                <w:sz w:val="20"/>
                <w:szCs w:val="20"/>
              </w:rPr>
              <w:t xml:space="preserve"> with error mitigation, dynamical decoupling and twirling; rehearsed on the Kingston noise model</w:t>
            </w:r>
          </w:p>
        </w:tc>
        <w:tc>
          <w:tcPr>
            <w:tcW w:type="dxa" w:w="34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Create a free IBM Quantum account, save the key locally, run one batched job (about 2 of the 10 free QPU minutes), add the result to Figure 7</w:t>
            </w:r>
          </w:p>
        </w:tc>
        <w:tc>
          <w:tcPr>
            <w:tcW w:type="dxa" w:w="1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1 day</w:t>
            </w:r>
          </w:p>
        </w:tc>
      </w:tr>
      <w:tr>
        <w:trPr>
          <w:cantSplit/>
        </w:trPr>
        <w:tc>
          <w:tcPr>
            <w:tcW w:type="dxa" w:w="20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Public online demo</w:t>
            </w:r>
          </w:p>
        </w:tc>
        <w:tc>
          <w:tcPr>
            <w:tcW w:type="dxa" w:w="29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Docker image and compose file; health checks pass</w:t>
            </w:r>
          </w:p>
        </w:tc>
        <w:tc>
          <w:tcPr>
            <w:tcW w:type="dxa" w:w="34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Deploy the image to a free host (for example Hugging Face Spaces) under a team account; put the link on the slides</w:t>
            </w:r>
          </w:p>
        </w:tc>
        <w:tc>
          <w:tcPr>
            <w:tcW w:type="dxa" w:w="1000"/>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1 day</w:t>
            </w:r>
          </w:p>
        </w:tc>
      </w:tr>
    </w:tbl>
    <w:p>
      <w:pPr>
        <w:pStyle w:val="Heading2"/>
        <w:keepNext/>
      </w:pPr>
      <w:r>
        <w:t xml:space="preserve">8.1 Timeline</w:t>
      </w:r>
    </w:p>
    <w:p>
      <w:pPr>
        <w:keepNext/>
        <w:spacing w:after="80" w:before="120"/>
      </w:pPr>
      <w:r>
        <w:rPr>
          <w:b/>
          <w:bCs/>
          <w:sz w:val="22"/>
          <w:szCs w:val="22"/>
        </w:rPr>
        <w:t xml:space="preserve">Table 8: </w:t>
      </w:r>
      <w:r>
        <w:rPr>
          <w:sz w:val="22"/>
          <w:szCs w:val="22"/>
        </w:rPr>
        <w:t xml:space="preserve">Schedule to the final panel</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2000"/>
        <w:gridCol w:w="7386"/>
      </w:tblGrid>
      <w:tr>
        <w:trPr>
          <w:cantSplit/>
          <w:tblHeader/>
        </w:trPr>
        <w:tc>
          <w:tcPr>
            <w:tcW w:type="dxa" w:w="2000"/>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Dates</w:t>
            </w:r>
          </w:p>
        </w:tc>
        <w:tc>
          <w:tcPr>
            <w:tcW w:type="dxa" w:w="7386"/>
            <w:tcBorders>
              <w:top w:val="single" w:color="8A9AA4" w:sz="4"/>
              <w:left w:val="single" w:color="8A9AA4" w:sz="4"/>
              <w:bottom w:val="single" w:color="8A9AA4" w:sz="4"/>
              <w:right w:val="single" w:color="8A9AA4" w:sz="4"/>
            </w:tcBorders>
            <w:shd w:fill="DCE5EA" w:color="auto" w:val="clear"/>
            <w:tcMar>
              <w:top w:type="dxa" w:w="60"/>
              <w:left w:type="dxa" w:w="100"/>
              <w:bottom w:type="dxa" w:w="60"/>
              <w:right w:type="dxa" w:w="100"/>
            </w:tcMar>
            <w:vAlign w:val="center"/>
          </w:tcPr>
          <w:p>
            <w:pPr>
              <w:spacing w:after="0" w:line="250"/>
              <w:jc w:val="left"/>
            </w:pPr>
            <w:r>
              <w:rPr>
                <w:b/>
                <w:bCs/>
                <w:sz w:val="20"/>
                <w:szCs w:val="20"/>
              </w:rPr>
              <w:t xml:space="preserve">Work</w:t>
            </w:r>
          </w:p>
        </w:tc>
      </w:tr>
      <w:tr>
        <w:trPr>
          <w:cantSplit/>
        </w:trPr>
        <w:tc>
          <w:tcPr>
            <w:tcW w:type="dxa" w:w="20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26–29 October</w:t>
            </w:r>
          </w:p>
        </w:tc>
        <w:tc>
          <w:tcPr>
            <w:tcW w:type="dxa" w:w="7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IBM hardware run and analysis; public demo deployment; update figures and report</w:t>
            </w:r>
          </w:p>
        </w:tc>
      </w:tr>
      <w:tr>
        <w:trPr>
          <w:cantSplit/>
        </w:trPr>
        <w:tc>
          <w:tcPr>
            <w:tcW w:type="dxa" w:w="20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30 Oct – 4 Nov</w:t>
            </w:r>
          </w:p>
        </w:tc>
        <w:tc>
          <w:tcPr>
            <w:tcW w:type="dxa" w:w="7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Final report in the Thapar format; IEEE-format paper draft; slides; three-minute demo video</w:t>
            </w:r>
          </w:p>
        </w:tc>
      </w:tr>
      <w:tr>
        <w:trPr>
          <w:cantSplit/>
        </w:trPr>
        <w:tc>
          <w:tcPr>
            <w:tcW w:type="dxa" w:w="2000"/>
            <w:tcBorders>
              <w:top w:val="single" w:color="8A9AA4" w:sz="4"/>
              <w:left w:val="single" w:color="8A9AA4" w:sz="4"/>
              <w:bottom w:val="single" w:color="8A9AA4" w:sz="4"/>
              <w:right w:val="single" w:color="8A9AA4" w:sz="4"/>
            </w:tcBorders>
            <w:shd w:fill="F3F6F8" w:color="auto" w:val="clear"/>
            <w:tcMar>
              <w:top w:type="dxa" w:w="60"/>
              <w:left w:type="dxa" w:w="100"/>
              <w:bottom w:type="dxa" w:w="60"/>
              <w:right w:type="dxa" w:w="100"/>
            </w:tcMar>
            <w:vAlign w:val="center"/>
          </w:tcPr>
          <w:p>
            <w:pPr>
              <w:spacing w:after="0" w:line="250"/>
              <w:jc w:val="left"/>
            </w:pPr>
            <w:r>
              <w:rPr>
                <w:sz w:val="20"/>
                <w:szCs w:val="20"/>
              </w:rPr>
              <w:t xml:space="preserve">5–9 November</w:t>
            </w:r>
          </w:p>
        </w:tc>
        <w:tc>
          <w:tcPr>
            <w:tcW w:type="dxa" w:w="7386"/>
            <w:tcBorders>
              <w:top w:val="single" w:color="8A9AA4" w:sz="4"/>
              <w:left w:val="single" w:color="8A9AA4" w:sz="4"/>
              <w:bottom w:val="single" w:color="8A9AA4" w:sz="4"/>
              <w:right w:val="single" w:color="8A9AA4" w:sz="4"/>
            </w:tcBorders>
            <w:tcMar>
              <w:top w:type="dxa" w:w="60"/>
              <w:left w:type="dxa" w:w="100"/>
              <w:bottom w:type="dxa" w:w="60"/>
              <w:right w:type="dxa" w:w="100"/>
            </w:tcMar>
            <w:vAlign w:val="center"/>
          </w:tcPr>
          <w:p>
            <w:pPr>
              <w:spacing w:after="0" w:line="250"/>
              <w:jc w:val="left"/>
            </w:pPr>
            <w:r>
              <w:rPr>
                <w:sz w:val="20"/>
                <w:szCs w:val="20"/>
              </w:rPr>
              <w:t xml:space="preserve">Full test run on a clean machine; timed rehearsal with each member presenting one part</w:t>
            </w:r>
          </w:p>
        </w:tc>
      </w:tr>
    </w:tbl>
    <w:p>
      <w:pPr>
        <w:pStyle w:val="Heading2"/>
        <w:keepNext/>
      </w:pPr>
      <w:r>
        <w:t xml:space="preserve">8.2 Support Requested from the Mentor</w:t>
      </w:r>
    </w:p>
    <w:p>
      <w:pPr>
        <w:pStyle w:val="ListParagraph"/>
        <w:numPr>
          <w:ilvl w:val="0"/>
          <w:numId w:val="2"/>
        </w:numPr>
        <w:spacing w:after="80" w:line="276"/>
        <w:jc w:val="both"/>
      </w:pPr>
      <w:r>
        <w:t xml:space="preserve">Feedback on the emphasis for the panel: the clinical result, the quantum study, or the application.</w:t>
      </w:r>
    </w:p>
    <w:p>
      <w:pPr>
        <w:pStyle w:val="ListParagraph"/>
        <w:numPr>
          <w:ilvl w:val="0"/>
          <w:numId w:val="2"/>
        </w:numPr>
        <w:spacing w:after="80" w:line="276"/>
        <w:jc w:val="both"/>
      </w:pPr>
      <w:r>
        <w:t xml:space="preserve">Guidance on applying for GenomeIndia data through the Indian Biological Data Centre, to validate on real Indian patients after the course.</w:t>
      </w:r>
    </w:p>
    <w:p>
      <w:pPr>
        <w:pStyle w:val="ListParagraph"/>
        <w:numPr>
          <w:ilvl w:val="0"/>
          <w:numId w:val="2"/>
        </w:numPr>
        <w:spacing w:after="80" w:line="276"/>
        <w:jc w:val="both"/>
      </w:pPr>
      <w:r>
        <w:t xml:space="preserve">Advice on a suitable conference or journal for the paper.</w:t>
      </w:r>
    </w:p>
    <w:p>
      <w:pPr>
        <w:pStyle w:val="Heading1"/>
        <w:pageBreakBefore/>
        <w:jc w:val="left"/>
      </w:pPr>
      <w:r>
        <w:t xml:space="preserve">CHAPTER 9: CONCLUSION</w:t>
      </w:r>
    </w:p>
    <w:p>
      <w:pPr>
        <w:spacing w:after="120" w:before="0" w:line="276"/>
        <w:jc w:val="both"/>
      </w:pPr>
      <w:r>
        <w:t xml:space="preserve">QGenomix is a complete, tested system built around a clear clinical question. On simulated outcomes over real genotypes, genetic scores add substantially to India's screening questionnaire and nearly double the share of lean diabetes cases caught (30% → 58%); the finding survives 13 of 13 alternative simulator settings and holds in every South Asian population tested. The interaction search finds planted gene pairs reliably and stays quiet when there are none. The application turns a consumer DNA file into a calibrated, explained report, with LD imputation for partial files. The quantum methods are implemented with care and with classical controls; they show no advantage yet, and error mitigation recovers most of the quality that hardware noise destroys. The main limit is that outcomes are simulated; validation on a consented Indian cohort is the next step beyond this course.</w:t>
      </w:r>
    </w:p>
    <w:p>
      <w:pPr>
        <w:spacing w:after="120" w:before="120" w:line="276"/>
        <w:jc w:val="both"/>
      </w:pPr>
      <w:r>
        <w:rPr>
          <w:b/>
          <w:bCs/>
        </w:rPr>
        <w:t xml:space="preserve">Code:</w:t>
      </w:r>
      <w:r>
        <w:t xml:space="preserve"> https://github.com/coderboic/QGenomix (README, model card and handover notes in </w:t>
      </w:r>
      <w:r>
        <w:rPr>
          <w:rFonts w:ascii="Consolas" w:cs="Consolas" w:eastAsia="Consolas" w:hAnsi="Consolas"/>
          <w:sz w:val="21"/>
          <w:szCs w:val="21"/>
        </w:rPr>
        <w:t xml:space="preserve">docs/</w:t>
      </w:r>
      <w:r>
        <w:t xml:space="preserve">).</w:t>
      </w:r>
    </w:p>
    <w:p>
      <w:pPr>
        <w:pStyle w:val="Heading1"/>
        <w:pageBreakBefore/>
        <w:jc w:val="left"/>
      </w:pPr>
      <w:r>
        <w:t xml:space="preserve">REFERENCES</w:t>
      </w:r>
    </w:p>
    <w:p>
      <w:pPr>
        <w:tabs>
          <w:tab w:val="left" w:pos="560"/>
        </w:tabs>
        <w:spacing w:after="80" w:line="260"/>
        <w:ind w:left="560" w:hanging="560"/>
      </w:pPr>
      <w:r>
        <w:rPr>
          <w:sz w:val="22"/>
          <w:szCs w:val="22"/>
        </w:rPr>
        <w:t xml:space="preserve">[1]	</w:t>
      </w:r>
      <w:r>
        <w:rPr>
          <w:sz w:val="22"/>
          <w:szCs w:val="22"/>
        </w:rPr>
        <w:t xml:space="preserve">R. M. Anjana et al., "Metabolic non-communicable disease health report of India: the ICMR-INDIAB national cross-sectional study (ICMR-INDIAB-17)," Lancet Diabetes Endocrinol., vol. 11, no. 7, pp. 474–489, 2023.</w:t>
      </w:r>
    </w:p>
    <w:p>
      <w:pPr>
        <w:tabs>
          <w:tab w:val="left" w:pos="560"/>
        </w:tabs>
        <w:spacing w:after="80" w:line="260"/>
        <w:ind w:left="560" w:hanging="560"/>
      </w:pPr>
      <w:r>
        <w:rPr>
          <w:sz w:val="22"/>
          <w:szCs w:val="22"/>
        </w:rPr>
        <w:t xml:space="preserve">[2]	</w:t>
      </w:r>
      <w:r>
        <w:rPr>
          <w:sz w:val="22"/>
          <w:szCs w:val="22"/>
        </w:rPr>
        <w:t xml:space="preserve">K. M. V. Narayan and A. M. Kanaya, "Why are South Asians prone to type 2 diabetes? A hypothesis based on underexplored pathways," Diabetologia, vol. 63, pp. 1103–1109, 2020.</w:t>
      </w:r>
    </w:p>
    <w:p>
      <w:pPr>
        <w:tabs>
          <w:tab w:val="left" w:pos="560"/>
        </w:tabs>
        <w:spacing w:after="80" w:line="260"/>
        <w:ind w:left="560" w:hanging="560"/>
      </w:pPr>
      <w:r>
        <w:rPr>
          <w:sz w:val="22"/>
          <w:szCs w:val="22"/>
        </w:rPr>
        <w:t xml:space="preserve">[3]	</w:t>
      </w:r>
      <w:r>
        <w:rPr>
          <w:sz w:val="22"/>
          <w:szCs w:val="22"/>
        </w:rPr>
        <w:t xml:space="preserve">V. Mohan, R. Deepa, M. Deepa, S. Somannavar and M. Datta, "A simplified Indian Diabetes Risk Score for screening for undiagnosed diabetic subjects," J. Assoc. Physicians India, vol. 53, pp. 759–763, 2005.</w:t>
      </w:r>
    </w:p>
    <w:p>
      <w:pPr>
        <w:tabs>
          <w:tab w:val="left" w:pos="560"/>
        </w:tabs>
        <w:spacing w:after="80" w:line="260"/>
        <w:ind w:left="560" w:hanging="560"/>
      </w:pPr>
      <w:r>
        <w:rPr>
          <w:sz w:val="22"/>
          <w:szCs w:val="22"/>
        </w:rPr>
        <w:t xml:space="preserve">[4]	</w:t>
      </w:r>
      <w:r>
        <w:rPr>
          <w:sz w:val="22"/>
          <w:szCs w:val="22"/>
        </w:rPr>
        <w:t xml:space="preserve">D. P. Loesch et al., Nature Communications, 2025, doi: 10.1038/s41467-025-56695-z (mechanism scores PGS005115–PGS005119).</w:t>
      </w:r>
    </w:p>
    <w:p>
      <w:pPr>
        <w:tabs>
          <w:tab w:val="left" w:pos="560"/>
        </w:tabs>
        <w:spacing w:after="80" w:line="260"/>
        <w:ind w:left="560" w:hanging="560"/>
      </w:pPr>
      <w:r>
        <w:rPr>
          <w:sz w:val="22"/>
          <w:szCs w:val="22"/>
        </w:rPr>
        <w:t xml:space="preserve">[5]	</w:t>
      </w:r>
      <w:r>
        <w:rPr>
          <w:sz w:val="22"/>
          <w:szCs w:val="22"/>
        </w:rPr>
        <w:t xml:space="preserve">A. Huerta-Chagoya et al., medRxiv, 2025, doi: 10.1101/2025.07.21.25331778 (D-PRISM scores PGS005373–PGS005377).</w:t>
      </w:r>
    </w:p>
    <w:p>
      <w:pPr>
        <w:tabs>
          <w:tab w:val="left" w:pos="560"/>
        </w:tabs>
        <w:spacing w:after="80" w:line="260"/>
        <w:ind w:left="560" w:hanging="560"/>
      </w:pPr>
      <w:r>
        <w:rPr>
          <w:sz w:val="22"/>
          <w:szCs w:val="22"/>
        </w:rPr>
        <w:t xml:space="preserve">[6]	</w:t>
      </w:r>
      <w:r>
        <w:rPr>
          <w:sz w:val="22"/>
          <w:szCs w:val="22"/>
        </w:rPr>
        <w:t xml:space="preserve">C. C. Chang et al., "Second-generation PLINK: rising to the challenge of larger and richer datasets," GigaScience, vol. 4, art. 7, 2015.</w:t>
      </w:r>
    </w:p>
    <w:p>
      <w:pPr>
        <w:tabs>
          <w:tab w:val="left" w:pos="560"/>
        </w:tabs>
        <w:spacing w:after="80" w:line="260"/>
        <w:ind w:left="560" w:hanging="560"/>
      </w:pPr>
      <w:r>
        <w:rPr>
          <w:sz w:val="22"/>
          <w:szCs w:val="22"/>
        </w:rPr>
        <w:t xml:space="preserve">[7]	</w:t>
      </w:r>
      <w:r>
        <w:rPr>
          <w:sz w:val="22"/>
          <w:szCs w:val="22"/>
        </w:rPr>
        <w:t xml:space="preserve">1000 Genomes Project Consortium, "A global reference for human genetic variation," Nature, vol. 526, pp. 68–74, 2015.</w:t>
      </w:r>
    </w:p>
    <w:p>
      <w:pPr>
        <w:tabs>
          <w:tab w:val="left" w:pos="560"/>
        </w:tabs>
        <w:spacing w:after="80" w:line="260"/>
        <w:ind w:left="560" w:hanging="560"/>
      </w:pPr>
      <w:r>
        <w:rPr>
          <w:sz w:val="22"/>
          <w:szCs w:val="22"/>
        </w:rPr>
        <w:t xml:space="preserve">[8]	</w:t>
      </w:r>
      <w:r>
        <w:rPr>
          <w:sz w:val="22"/>
          <w:szCs w:val="22"/>
        </w:rPr>
        <w:t xml:space="preserve">A. Lucas, "Ising formulations of many NP problems," Frontiers in Physics, vol. 2, art. 5, 2014.</w:t>
      </w:r>
    </w:p>
    <w:p>
      <w:pPr>
        <w:tabs>
          <w:tab w:val="left" w:pos="560"/>
        </w:tabs>
        <w:spacing w:after="80" w:line="260"/>
        <w:ind w:left="560" w:hanging="560"/>
      </w:pPr>
      <w:r>
        <w:rPr>
          <w:sz w:val="22"/>
          <w:szCs w:val="22"/>
        </w:rPr>
        <w:t xml:space="preserve">[9]	</w:t>
      </w:r>
      <w:r>
        <w:rPr>
          <w:sz w:val="22"/>
          <w:szCs w:val="22"/>
        </w:rPr>
        <w:t xml:space="preserve">H. Peng, F. Long and C. Ding, "Feature selection based on mutual information: criteria of max-dependency, max-relevance, and min-redundancy," IEEE Trans. Pattern Anal. Mach. Intell., vol. 27, no. 8, pp. 1226–1238, 2005.</w:t>
      </w:r>
    </w:p>
    <w:p>
      <w:pPr>
        <w:tabs>
          <w:tab w:val="left" w:pos="560"/>
        </w:tabs>
        <w:spacing w:after="80" w:line="260"/>
        <w:ind w:left="560" w:hanging="560"/>
      </w:pPr>
      <w:r>
        <w:rPr>
          <w:sz w:val="22"/>
          <w:szCs w:val="22"/>
        </w:rPr>
        <w:t xml:space="preserve">[10]	</w:t>
      </w:r>
      <w:r>
        <w:rPr>
          <w:sz w:val="22"/>
          <w:szCs w:val="22"/>
        </w:rPr>
        <w:t xml:space="preserve">E. Farhi, J. Goldstone and S. Gutmann, "A quantum approximate optimization algorithm," arXiv:1411.4028, 2014.</w:t>
      </w:r>
    </w:p>
    <w:p>
      <w:pPr>
        <w:tabs>
          <w:tab w:val="left" w:pos="560"/>
        </w:tabs>
        <w:spacing w:after="80" w:line="260"/>
        <w:ind w:left="560" w:hanging="560"/>
      </w:pPr>
      <w:r>
        <w:rPr>
          <w:sz w:val="22"/>
          <w:szCs w:val="22"/>
        </w:rPr>
        <w:t xml:space="preserve">[11]	</w:t>
      </w:r>
      <w:r>
        <w:rPr>
          <w:sz w:val="22"/>
          <w:szCs w:val="22"/>
        </w:rPr>
        <w:t xml:space="preserve">S. Hadfield et al., "From the quantum approximate optimization algorithm to a quantum alternating operator ansatz," Algorithms, vol. 12, no. 2, art. 34, 2019.</w:t>
      </w:r>
    </w:p>
    <w:p>
      <w:pPr>
        <w:tabs>
          <w:tab w:val="left" w:pos="560"/>
        </w:tabs>
        <w:spacing w:after="80" w:line="260"/>
        <w:ind w:left="560" w:hanging="560"/>
      </w:pPr>
      <w:r>
        <w:rPr>
          <w:sz w:val="22"/>
          <w:szCs w:val="22"/>
        </w:rPr>
        <w:t xml:space="preserve">[12]	</w:t>
      </w:r>
      <w:r>
        <w:rPr>
          <w:sz w:val="22"/>
          <w:szCs w:val="22"/>
        </w:rPr>
        <w:t xml:space="preserve">A. Bärtschi and S. Eidenbenz, "Deterministic preparation of Dicke states," in Fundamentals of Computation Theory (FCT), LNCS 11651, pp. 126–139, 2019.</w:t>
      </w:r>
    </w:p>
    <w:p>
      <w:pPr>
        <w:tabs>
          <w:tab w:val="left" w:pos="560"/>
        </w:tabs>
        <w:spacing w:after="80" w:line="260"/>
        <w:ind w:left="560" w:hanging="560"/>
      </w:pPr>
      <w:r>
        <w:rPr>
          <w:sz w:val="22"/>
          <w:szCs w:val="22"/>
        </w:rPr>
        <w:t xml:space="preserve">[13]	</w:t>
      </w:r>
      <w:r>
        <w:rPr>
          <w:sz w:val="22"/>
          <w:szCs w:val="22"/>
        </w:rPr>
        <w:t xml:space="preserve">A. Pérez-Salinas, A. Cervera-Lierta, E. Gil-Fuster and J. I. Latorre, "Data re-uploading for a universal quantum classifier," Quantum, vol. 4, art. 226, 2020.</w:t>
      </w:r>
    </w:p>
    <w:p>
      <w:pPr>
        <w:tabs>
          <w:tab w:val="left" w:pos="560"/>
        </w:tabs>
        <w:spacing w:after="80" w:line="260"/>
        <w:ind w:left="560" w:hanging="560"/>
      </w:pPr>
      <w:r>
        <w:rPr>
          <w:sz w:val="22"/>
          <w:szCs w:val="22"/>
        </w:rPr>
        <w:t xml:space="preserve">[14]	</w:t>
      </w:r>
      <w:r>
        <w:rPr>
          <w:sz w:val="22"/>
          <w:szCs w:val="22"/>
        </w:rPr>
        <w:t xml:space="preserve">V. Havlíček et al., "Supervised learning with quantum-enhanced feature spaces," Nature, vol. 567, pp. 209–212, 2019.</w:t>
      </w:r>
    </w:p>
    <w:p>
      <w:pPr>
        <w:tabs>
          <w:tab w:val="left" w:pos="560"/>
        </w:tabs>
        <w:spacing w:after="80" w:line="260"/>
        <w:ind w:left="560" w:hanging="560"/>
      </w:pPr>
      <w:r>
        <w:rPr>
          <w:sz w:val="22"/>
          <w:szCs w:val="22"/>
        </w:rPr>
        <w:t xml:space="preserve">[15]	</w:t>
      </w:r>
      <w:r>
        <w:rPr>
          <w:sz w:val="22"/>
          <w:szCs w:val="22"/>
        </w:rPr>
        <w:t xml:space="preserve">S. Bravyi, S. Sheldon, A. Kandala, D. C. Mckay and J. M. Gambetta, "Mitigating measurement errors in multiqubit experiments," Phys. Rev. A, vol. 103, art. 042605, 2021.</w:t>
      </w:r>
    </w:p>
    <w:p>
      <w:pPr>
        <w:tabs>
          <w:tab w:val="left" w:pos="560"/>
        </w:tabs>
        <w:spacing w:after="80" w:line="260"/>
        <w:ind w:left="560" w:hanging="560"/>
      </w:pPr>
      <w:r>
        <w:rPr>
          <w:sz w:val="22"/>
          <w:szCs w:val="22"/>
        </w:rPr>
        <w:t xml:space="preserve">[16]	</w:t>
      </w:r>
      <w:r>
        <w:rPr>
          <w:sz w:val="22"/>
          <w:szCs w:val="22"/>
        </w:rPr>
        <w:t xml:space="preserve">X. Bonet-Monroig, R. Sagastizabal, M. Singh and T. E. O'Brien, "Low-cost error mitigation by symmetry verification," Phys. Rev. A, vol. 98, art. 062339, 2018.</w:t>
      </w:r>
    </w:p>
    <w:p>
      <w:pPr>
        <w:tabs>
          <w:tab w:val="left" w:pos="560"/>
        </w:tabs>
        <w:spacing w:after="80" w:line="260"/>
        <w:ind w:left="560" w:hanging="560"/>
      </w:pPr>
      <w:r>
        <w:rPr>
          <w:sz w:val="22"/>
          <w:szCs w:val="22"/>
        </w:rPr>
        <w:t xml:space="preserve">[17]	</w:t>
      </w:r>
      <w:r>
        <w:rPr>
          <w:sz w:val="22"/>
          <w:szCs w:val="22"/>
        </w:rPr>
        <w:t xml:space="preserve">K. Temme, S. Bravyi and J. M. Gambetta, "Error mitigation for short-depth quantum circuits," Phys. Rev. Lett., vol. 119, art. 180509, 2017.</w:t>
      </w:r>
    </w:p>
    <w:p>
      <w:pPr>
        <w:tabs>
          <w:tab w:val="left" w:pos="560"/>
        </w:tabs>
        <w:spacing w:after="80" w:line="260"/>
        <w:ind w:left="560" w:hanging="560"/>
      </w:pPr>
      <w:r>
        <w:rPr>
          <w:sz w:val="22"/>
          <w:szCs w:val="22"/>
        </w:rPr>
        <w:t xml:space="preserve">[18]	</w:t>
      </w:r>
      <w:r>
        <w:rPr>
          <w:sz w:val="22"/>
          <w:szCs w:val="22"/>
        </w:rPr>
        <w:t xml:space="preserve">E. R. DeLong, D. M. DeLong and D. L. Clarke-Pearson, "Comparing the areas under two or more correlated receiver operating characteristic curves: a nonparametric approach," Biometrics, vol. 44, no. 3, pp. 837–845, 1988.</w:t>
      </w:r>
    </w:p>
    <w:p>
      <w:pPr>
        <w:tabs>
          <w:tab w:val="left" w:pos="560"/>
        </w:tabs>
        <w:spacing w:after="80" w:line="260"/>
        <w:ind w:left="560" w:hanging="560"/>
      </w:pPr>
      <w:r>
        <w:rPr>
          <w:sz w:val="22"/>
          <w:szCs w:val="22"/>
        </w:rPr>
        <w:t xml:space="preserve">[19]	</w:t>
      </w:r>
      <w:r>
        <w:rPr>
          <w:sz w:val="22"/>
          <w:szCs w:val="22"/>
        </w:rPr>
        <w:t xml:space="preserve">S. M. Lundberg and S.-I. Lee, "A unified approach to interpreting model predictions," in Advances in Neural Information Processing Systems (NeurIPS), 2017.</w:t>
      </w:r>
    </w:p>
    <w:p>
      <w:pPr>
        <w:tabs>
          <w:tab w:val="left" w:pos="560"/>
        </w:tabs>
        <w:spacing w:after="80" w:line="260"/>
        <w:ind w:left="560" w:hanging="560"/>
      </w:pPr>
      <w:r>
        <w:rPr>
          <w:sz w:val="22"/>
          <w:szCs w:val="22"/>
        </w:rPr>
        <w:t xml:space="preserve">[20]	</w:t>
      </w:r>
      <w:r>
        <w:rPr>
          <w:sz w:val="22"/>
          <w:szCs w:val="22"/>
        </w:rPr>
        <w:t xml:space="preserve">X. Wan et al., "BOOST: A fast approach to detecting gene-gene interactions in genome-wide case-control studies," Am. J. Hum. Genet., vol. 87, no. 3, pp. 325–340, 2010.</w:t>
      </w:r>
    </w:p>
    <w:p>
      <w:pPr>
        <w:pStyle w:val="Heading1"/>
        <w:pageBreakBefore/>
        <w:jc w:val="center"/>
      </w:pPr>
      <w:r>
        <w:t xml:space="preserve">MENTOR'S REMARKS</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9386"/>
      </w:tblGrid>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r>
        <w:trPr>
          <w:trHeight w:val="480" w:hRule="exact"/>
        </w:trPr>
        <w:tc>
          <w:tcPr>
            <w:tcW w:type="dxa" w:w="9386"/>
            <w:tcBorders>
              <w:top w:val="none" w:color="FFFFFF" w:sz="0"/>
              <w:left w:val="none" w:color="FFFFFF" w:sz="0"/>
              <w:bottom w:val="single" w:color="8A9AA4" w:sz="4"/>
              <w:right w:val="none" w:color="FFFFFF" w:sz="0"/>
            </w:tcBorders>
          </w:tcPr>
          <w:p/>
        </w:tc>
      </w:tr>
    </w:tbl>
    <w:p>
      <w:pPr>
        <w:spacing w:after="0" w:before="360"/>
      </w:pPr>
      <w:r>
        <w:t xml:space="preserve">Faculty Mentor: </w:t>
      </w:r>
      <w:r>
        <w:t xml:space="preserve">________________________________________</w:t>
      </w:r>
    </w:p>
    <w:p>
      <w:pPr>
        <w:spacing w:before="120"/>
      </w:pPr>
      <w:r>
        <w:t xml:space="preserve">Dr. Husanbir Singh Pannu, Assistant Professor, CSED, TIET, Patiala</w:t>
      </w:r>
    </w:p>
    <w:p>
      <w:pPr>
        <w:spacing w:after="0" w:before="360"/>
      </w:pPr>
      <w:r>
        <w:t xml:space="preserve">Signature: </w:t>
      </w:r>
      <w:r>
        <w:t xml:space="preserve">________________________________________</w:t>
      </w:r>
    </w:p>
    <w:p>
      <w:pPr>
        <w:spacing w:after="0" w:before="360"/>
      </w:pPr>
      <w:r>
        <w:t xml:space="preserve">Date: </w:t>
      </w:r>
      <w:r>
        <w:t xml:space="preserve">________________________________________</w:t>
      </w:r>
    </w:p>
    <w:sectPr>
      <w:footerReference w:type="default" r:id="rId6"/>
      <w:pgSz w:w="11906" w:h="16838" w:orient="portrait"/>
      <w:pgMar w:top="1440" w:right="1080" w:bottom="130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00" w:before="24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6d805e042732bfc286889c4364f0a5b0191f2fd.png"/><Relationship Id="rId9" Type="http://schemas.openxmlformats.org/officeDocument/2006/relationships/image" Target="media/48e6e16634e3257006415cf9c1abf97a357be8c0.png"/><Relationship Id="rId10" Type="http://schemas.openxmlformats.org/officeDocument/2006/relationships/image" Target="media/c8697aa9cc1bae1dc3409b374a70c7580ee9071e.png"/><Relationship Id="rId11" Type="http://schemas.openxmlformats.org/officeDocument/2006/relationships/image" Target="media/56e21c24a855342f4b75fa97ef752f31b1e06ccf.png"/><Relationship Id="rId12" Type="http://schemas.openxmlformats.org/officeDocument/2006/relationships/image" Target="media/4b6552e66d6eded947a241c74eff9d94fa7c3e40.png"/><Relationship Id="rId13" Type="http://schemas.openxmlformats.org/officeDocument/2006/relationships/image" Target="media/ce882a9694a8379f2cea2b6b56d159ba47116dfd.png"/><Relationship Id="rId14" Type="http://schemas.openxmlformats.org/officeDocument/2006/relationships/image" Target="media/8c00746932c93568b180afb99b3ed9718505523c.png"/><Relationship Id="rId15" Type="http://schemas.openxmlformats.org/officeDocument/2006/relationships/image" Target="media/fdf310a77f4633ac7b4d226baedd1cbb05c35e95.png"/><Relationship Id="rId16" Type="http://schemas.openxmlformats.org/officeDocument/2006/relationships/image" Target="media/08d2a3962bad0fa47dc89f4b476a9553ca342c4e.png"/><Relationship Id="rId17" Type="http://schemas.openxmlformats.org/officeDocument/2006/relationships/image" Target="media/20b9f4ffa11393c7556aab9ea43bd46c9c51691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QGenomix Mentor Evaluation Report</dc:title>
  <dc:creator>QGenomix team</dc:creator>
  <cp:lastModifiedBy>Un-named</cp:lastModifiedBy>
  <cp:revision>1</cp:revision>
  <dcterms:created xsi:type="dcterms:W3CDTF">2026-10-24T19:58:10.517Z</dcterms:created>
  <dcterms:modified xsi:type="dcterms:W3CDTF">2026-10-24T19:58:10.517Z</dcterms:modified>
</cp:coreProperties>
</file>

<file path=docProps/custom.xml><?xml version="1.0" encoding="utf-8"?>
<Properties xmlns="http://schemas.openxmlformats.org/officeDocument/2006/custom-properties" xmlns:vt="http://schemas.openxmlformats.org/officeDocument/2006/docPropsVTypes"/>
</file>