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line="276"/>
        <w:jc w:val="center"/>
      </w:pPr>
      <w:r>
        <w:rPr>
          <w:b/>
          <w:bCs/>
          <w:sz w:val="32"/>
          <w:szCs w:val="32"/>
        </w:rPr>
        <w:t xml:space="preserve">QGenomix: Quantum-Classical Hybrid Framework</w:t>
      </w:r>
    </w:p>
    <w:p>
      <w:pPr>
        <w:spacing w:after="160" w:line="276"/>
        <w:jc w:val="center"/>
      </w:pPr>
      <w:r>
        <w:rPr>
          <w:b/>
          <w:bCs/>
          <w:sz w:val="32"/>
          <w:szCs w:val="32"/>
        </w:rPr>
        <w:t xml:space="preserve">for Polygenic Disease Risk Prediction</w:t>
      </w:r>
    </w:p>
    <w:p>
      <w:pPr>
        <w:spacing w:after="360" w:line="276"/>
        <w:jc w:val="center"/>
      </w:pPr>
      <w:r>
        <w:rPr>
          <w:i/>
          <w:iCs/>
          <w:sz w:val="26"/>
          <w:szCs w:val="26"/>
        </w:rPr>
        <w:t xml:space="preserve">Focus: early-onset type 2 diabetes in lean South Asians</w:t>
      </w:r>
    </w:p>
    <w:p>
      <w:pPr>
        <w:spacing w:after="80" w:line="276"/>
        <w:jc w:val="center"/>
      </w:pPr>
      <w:r>
        <w:rPr>
          <w:b/>
          <w:bCs/>
          <w:sz w:val="26"/>
          <w:szCs w:val="26"/>
        </w:rPr>
        <w:t xml:space="preserve">Capstone Project Report</w:t>
      </w:r>
    </w:p>
    <w:p>
      <w:pPr>
        <w:spacing w:after="440" w:line="276"/>
        <w:jc w:val="center"/>
      </w:pPr>
      <w:r>
        <w:rPr>
          <w:b/>
          <w:bCs/>
          <w:sz w:val="24"/>
          <w:szCs w:val="24"/>
        </w:rPr>
        <w:t xml:space="preserve">MENTOR EVALUATION</w:t>
      </w:r>
    </w:p>
    <w:p>
      <w:pPr>
        <w:spacing w:after="120" w:line="276"/>
        <w:jc w:val="center"/>
      </w:pPr>
      <w:r>
        <w:t xml:space="preserve">Submitted by:</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rPr>
          <w:cantSplit/>
          <w:tblHeader/>
        </w:trPr>
        <w:tc>
          <w:tcPr>
            <w:tcW w:type="dxa" w:w="18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Roll No.</w:t>
            </w:r>
          </w:p>
        </w:tc>
        <w:tc>
          <w:tcPr>
            <w:tcW w:type="dxa" w:w="3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Name</w:t>
            </w:r>
          </w:p>
        </w:tc>
      </w:tr>
      <w:tr>
        <w:trPr>
          <w:cantSplit/>
        </w:trPr>
        <w:tc>
          <w:tcPr>
            <w:tcW w:type="dxa" w:w="1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102303452</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Aritro Chowdhury</w:t>
            </w:r>
          </w:p>
        </w:tc>
      </w:tr>
      <w:tr>
        <w:trPr>
          <w:cantSplit/>
        </w:trPr>
        <w:tc>
          <w:tcPr>
            <w:tcW w:type="dxa" w:w="1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102303017</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Suyash Gupta</w:t>
            </w:r>
          </w:p>
        </w:tc>
      </w:tr>
      <w:tr>
        <w:trPr>
          <w:cantSplit/>
        </w:trPr>
        <w:tc>
          <w:tcPr>
            <w:tcW w:type="dxa" w:w="1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102303286</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Rishabh Sharma</w:t>
            </w:r>
          </w:p>
        </w:tc>
      </w:tr>
      <w:tr>
        <w:trPr>
          <w:cantSplit/>
        </w:trPr>
        <w:tc>
          <w:tcPr>
            <w:tcW w:type="dxa" w:w="1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102315073</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Akshat Ahuja</w:t>
            </w:r>
          </w:p>
        </w:tc>
      </w:tr>
      <w:tr>
        <w:trPr>
          <w:cantSplit/>
        </w:trPr>
        <w:tc>
          <w:tcPr>
            <w:tcW w:type="dxa" w:w="1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102303455</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Anshh Pasriccha</w:t>
            </w:r>
          </w:p>
        </w:tc>
      </w:tr>
    </w:tbl>
    <w:p>
      <w:pPr>
        <w:spacing w:after="240"/>
      </w:pPr>
    </w:p>
    <w:p>
      <w:pPr>
        <w:spacing w:after="80" w:line="276"/>
        <w:jc w:val="center"/>
      </w:pPr>
      <w:r>
        <w:t xml:space="preserve">BE Third Year, COE</w:t>
      </w:r>
    </w:p>
    <w:p>
      <w:pPr>
        <w:spacing w:after="400" w:line="276"/>
        <w:jc w:val="center"/>
      </w:pPr>
      <w:r>
        <w:t xml:space="preserve">CPG No: 218</w:t>
      </w:r>
    </w:p>
    <w:p>
      <w:pPr>
        <w:spacing w:after="80" w:line="276"/>
        <w:jc w:val="center"/>
      </w:pPr>
      <w:r>
        <w:t xml:space="preserve">Under the Mentorship of</w:t>
      </w:r>
    </w:p>
    <w:p>
      <w:pPr>
        <w:spacing w:after="80" w:line="276"/>
        <w:jc w:val="center"/>
      </w:pPr>
      <w:r>
        <w:rPr>
          <w:b/>
          <w:bCs/>
        </w:rPr>
        <w:t xml:space="preserve">Dr. Husanbir Singh Pannu</w:t>
      </w:r>
    </w:p>
    <w:p>
      <w:pPr>
        <w:spacing w:after="560" w:line="276"/>
        <w:jc w:val="center"/>
      </w:pPr>
      <w:r>
        <w:t xml:space="preserve">Assistant Professor, CSED</w:t>
      </w:r>
    </w:p>
    <w:p>
      <w:pPr>
        <w:spacing w:after="80" w:line="276"/>
        <w:jc w:val="center"/>
      </w:pPr>
      <w:r>
        <w:rPr>
          <w:b/>
          <w:bCs/>
        </w:rPr>
        <w:t xml:space="preserve">Computer Science and Engineering Department</w:t>
      </w:r>
    </w:p>
    <w:p>
      <w:pPr>
        <w:spacing w:after="200" w:line="276"/>
        <w:jc w:val="center"/>
      </w:pPr>
      <w:r>
        <w:rPr>
          <w:b/>
          <w:bCs/>
        </w:rPr>
        <w:t xml:space="preserve">Thapar Institute of Engineering and Technology, Patiala</w:t>
      </w:r>
    </w:p>
    <w:p>
      <w:pPr>
        <w:spacing w:after="80" w:line="276"/>
        <w:jc w:val="center"/>
      </w:pPr>
      <w:r>
        <w:t xml:space="preserve">October 2026</w:t>
      </w:r>
    </w:p>
    <w:p>
      <w:pPr>
        <w:pStyle w:val="Heading1"/>
        <w:pageBreakBefore/>
        <w:jc w:val="center"/>
      </w:pPr>
      <w:r>
        <w:t xml:space="preserve">ABSTRACT</w:t>
      </w:r>
    </w:p>
    <w:p>
      <w:pPr>
        <w:spacing w:after="120" w:before="0" w:line="276"/>
        <w:jc w:val="both"/>
      </w:pPr>
      <w:r>
        <w:t xml:space="preserve">Type 2 diabetes (T2D) affects an estimated 101 million adults in India. South Asians develop it younger and at a lower body weight than Europeans, so screening that relies on body-mass index (BMI) misses many lean people at risk, and the Indian Diabetes Risk Score (IDRS), the questionnaire used in Indian practice, cannot see inherited risk. QGenomix is a quantum-classical hybrid framework that asks two questions: how much do polygenic risk scores add to clinical screening for South Asians, and do genetic variants from two diabetes mechanisms, insulin production (β-cell) and fat distribution (lipodystrophy), interact?</w:t>
      </w:r>
    </w:p>
    <w:p>
      <w:pPr>
        <w:spacing w:after="120" w:before="0" w:line="276"/>
        <w:jc w:val="both"/>
      </w:pPr>
      <w:r>
        <w:t xml:space="preserve">The system uses the real genotypes of all 2,504 people in the 1000 Genomes Project, the South Asian-trained D-PRISM polygenic score with five published mechanism scores, and 10,000 synthetic South Asians built from the 978 real South Asian haplotypes, with simulated outcomes so that every discovery claim can be checked against a known truth. Candidate gene pairs are scored with a vectorised score test; a non-redundant set is chosen by solving a QUBO with simulated annealing and with the Quantum Approximate Optimisation Algorithm (QAOA), including a constraint-preserving circuit tested with error mitigation on an IBM noise model; the chosen pairs are encoded by an 8-qubit variational quantum circuit. Seventeen predictors are compared in fifteen experiments, and every quantum component is tested against a matched classical control.</w:t>
      </w:r>
    </w:p>
    <w:p>
      <w:pPr>
        <w:spacing w:after="120" w:before="0" w:line="276"/>
        <w:jc w:val="both"/>
      </w:pPr>
      <w:r>
        <w:t xml:space="preserve">Genetic scores raise the AUC of clinical screening from 0.812 to 0.874 and nearly double the share of lean diabetes cases caught in the top 20% of risk (IDRS 30%, genetic model 58%); the result holds in 13 of 13 alternative simulator settings and in all five South Asian populations of 1000 Genomes. The interaction search recovers 70–84% of planted gene pairs, against 40–48% for PLINK's BOOST. The quantum components work as designed but show no significant advantage; error mitigation recovers most of the quality lost to hardware noise. The work is delivered as a tested application that reads consumer DNA files, fills in missing variants by LD imputation, explains each prediction and produces a PDF report.</w:t>
      </w:r>
    </w:p>
    <w:p>
      <w:pPr>
        <w:spacing w:after="120" w:before="120" w:line="276"/>
        <w:jc w:val="both"/>
      </w:pPr>
      <w:r>
        <w:rPr>
          <w:b/>
          <w:bCs/>
        </w:rPr>
        <w:t xml:space="preserve">Keywords:</w:t>
      </w:r>
      <w:r>
        <w:t xml:space="preserve"> type 2 diabetes, South Asians, polygenic risk score, gene–gene interaction, QUBO, QAOA, variational quantum circuit, error mitigation, genotype imputation, explainable machine learning.</w:t>
      </w:r>
    </w:p>
    <w:p>
      <w:pPr>
        <w:pStyle w:val="Heading1"/>
        <w:pageBreakBefore/>
        <w:jc w:val="center"/>
      </w:pPr>
      <w:r>
        <w:t xml:space="preserve">DECLARATION</w:t>
      </w:r>
    </w:p>
    <w:p>
      <w:pPr>
        <w:spacing w:after="360" w:before="0" w:line="276"/>
        <w:jc w:val="both"/>
      </w:pPr>
      <w:r>
        <w:t xml:space="preserve">We hereby declare that the design principles and working prototype model of the project entitled </w:t>
      </w:r>
      <w:r>
        <w:rPr>
          <w:b/>
          <w:bCs/>
        </w:rPr>
        <w:t xml:space="preserve">QGenomix: Quantum-Classical Hybrid Framework for Polygenic Disease Risk Prediction</w:t>
      </w:r>
      <w:r>
        <w:t xml:space="preserve"> is an authentic record of our own work carried out in the Computer Science and Engineering Department, TIET, Patiala, under the guidance of Dr. Husanbir Singh Pannu during the 6th Semester (2025–26).</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00"/>
      </w:tblGrid>
      <w:tr>
        <w:trPr>
          <w:cantSplit/>
          <w:tblHeader/>
        </w:trPr>
        <w:tc>
          <w:tcPr>
            <w:tcW w:type="dxa" w:w="2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Roll No.</w:t>
            </w:r>
          </w:p>
        </w:tc>
        <w:tc>
          <w:tcPr>
            <w:tcW w:type="dxa" w:w="35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Name</w:t>
            </w:r>
          </w:p>
        </w:tc>
        <w:tc>
          <w:tcPr>
            <w:tcW w:type="dxa" w:w="3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Signature</w:t>
            </w:r>
          </w:p>
        </w:tc>
      </w:tr>
      <w:tr>
        <w:trPr>
          <w:cantSplit/>
        </w:trPr>
        <w:tc>
          <w:tcPr>
            <w:tcW w:type="dxa" w:w="2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102303452</w:t>
            </w:r>
          </w:p>
        </w:tc>
        <w:tc>
          <w:tcPr>
            <w:tcW w:type="dxa" w:w="3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Aritro Chowdhury</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_______________</w:t>
            </w:r>
          </w:p>
        </w:tc>
      </w:tr>
      <w:tr>
        <w:trPr>
          <w:cantSplit/>
        </w:trPr>
        <w:tc>
          <w:tcPr>
            <w:tcW w:type="dxa" w:w="2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102303017</w:t>
            </w:r>
          </w:p>
        </w:tc>
        <w:tc>
          <w:tcPr>
            <w:tcW w:type="dxa" w:w="3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Suyash Gupta</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_______________</w:t>
            </w:r>
          </w:p>
        </w:tc>
      </w:tr>
      <w:tr>
        <w:trPr>
          <w:cantSplit/>
        </w:trPr>
        <w:tc>
          <w:tcPr>
            <w:tcW w:type="dxa" w:w="2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102303286</w:t>
            </w:r>
          </w:p>
        </w:tc>
        <w:tc>
          <w:tcPr>
            <w:tcW w:type="dxa" w:w="3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Rishabh Sharma</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_______________</w:t>
            </w:r>
          </w:p>
        </w:tc>
      </w:tr>
      <w:tr>
        <w:trPr>
          <w:cantSplit/>
        </w:trPr>
        <w:tc>
          <w:tcPr>
            <w:tcW w:type="dxa" w:w="2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102315073</w:t>
            </w:r>
          </w:p>
        </w:tc>
        <w:tc>
          <w:tcPr>
            <w:tcW w:type="dxa" w:w="3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Akshat Ahuja</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_______________</w:t>
            </w:r>
          </w:p>
        </w:tc>
      </w:tr>
      <w:tr>
        <w:trPr>
          <w:cantSplit/>
        </w:trPr>
        <w:tc>
          <w:tcPr>
            <w:tcW w:type="dxa" w:w="2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102303455</w:t>
            </w:r>
          </w:p>
        </w:tc>
        <w:tc>
          <w:tcPr>
            <w:tcW w:type="dxa" w:w="3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Anshh Pasriccha</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_______________</w:t>
            </w:r>
          </w:p>
        </w:tc>
      </w:tr>
    </w:tbl>
    <w:p>
      <w:pPr>
        <w:spacing w:after="480" w:before="360" w:line="276"/>
        <w:jc w:val="both"/>
      </w:pPr>
      <w:r>
        <w:t xml:space="preserve">Date: ________________</w:t>
      </w:r>
    </w:p>
    <w:p>
      <w:pPr>
        <w:spacing w:after="200" w:before="0" w:line="276"/>
        <w:jc w:val="both"/>
      </w:pPr>
      <w:r>
        <w:rPr>
          <w:b/>
          <w:bCs/>
        </w:rPr>
        <w:t xml:space="preserve">Counter Signed By:</w:t>
      </w:r>
    </w:p>
    <w:p>
      <w:pPr>
        <w:spacing w:after="80" w:before="0" w:line="276"/>
        <w:jc w:val="both"/>
      </w:pPr>
      <w:r>
        <w:t xml:space="preserve">Faculty Mentor: Dr. Husanbir Singh Pannu          Co-Mentor: N/A</w:t>
      </w:r>
    </w:p>
    <w:p>
      <w:pPr>
        <w:spacing w:after="80" w:before="0" w:line="276"/>
        <w:jc w:val="both"/>
      </w:pPr>
      <w:r>
        <w:t xml:space="preserve">Designation: Assistant Professor, CSED, TIET, Patiala</w:t>
      </w:r>
    </w:p>
    <w:p>
      <w:pPr>
        <w:spacing w:after="0" w:before="480"/>
      </w:pPr>
      <w:r>
        <w:t xml:space="preserve">Signature: </w:t>
      </w:r>
      <w:r>
        <w:t xml:space="preserve">____________________________________</w:t>
      </w:r>
    </w:p>
    <w:p>
      <w:pPr>
        <w:spacing w:after="0" w:before="240"/>
      </w:pPr>
      <w:r>
        <w:t xml:space="preserve">Date: </w:t>
      </w:r>
      <w:r>
        <w:t xml:space="preserve">____________________________________</w:t>
      </w:r>
    </w:p>
    <w:p>
      <w:pPr>
        <w:pStyle w:val="Heading1"/>
        <w:pageBreakBefore/>
        <w:jc w:val="center"/>
      </w:pPr>
      <w:r>
        <w:t xml:space="preserve">ACKNOWLEDGEMENT</w:t>
      </w:r>
    </w:p>
    <w:p>
      <w:pPr>
        <w:spacing w:after="120" w:before="0" w:line="276"/>
        <w:jc w:val="both"/>
      </w:pPr>
      <w:r>
        <w:t xml:space="preserve">We would like to express our sincere gratitude to our mentor Dr. Husanbir Singh Pannu, whose technical guidance, critical feedback, and consistent encouragement have been indispensable throughout this project. His deep expertise in machine learning and research methodology has shaped the direction of QGenomix at every stage.</w:t>
      </w:r>
    </w:p>
    <w:p>
      <w:pPr>
        <w:spacing w:after="120" w:before="0" w:line="276"/>
        <w:jc w:val="both"/>
      </w:pPr>
      <w:r>
        <w:t xml:space="preserve">We are also grateful to the Head of the Computer Science and Engineering Department, the faculty, and the staff at TIET, Patiala for providing the infrastructure and academic environment that made this work possible. We thank our fellow students for their peer review and collaborative discussions that strengthened our approach.</w:t>
      </w:r>
    </w:p>
    <w:p>
      <w:pPr>
        <w:spacing w:after="120" w:before="0" w:line="276"/>
        <w:jc w:val="both"/>
      </w:pPr>
      <w:r>
        <w:t xml:space="preserve">Finally, we thank our families for their unwavering support and patience through the demands of this capstone project.</w:t>
      </w:r>
    </w:p>
    <w:p>
      <w:pPr>
        <w:spacing w:after="360" w:before="360" w:line="276"/>
        <w:jc w:val="both"/>
      </w:pPr>
      <w:r>
        <w:t xml:space="preserve">Date: ________________</w:t>
      </w:r>
    </w:p>
    <w:p>
      <w:pPr>
        <w:spacing w:after="40" w:before="0" w:line="276"/>
        <w:jc w:val="right"/>
      </w:pPr>
      <w:r>
        <w:t xml:space="preserve">Aritro Chowdhury (102303452)</w:t>
      </w:r>
    </w:p>
    <w:p>
      <w:pPr>
        <w:spacing w:after="40" w:before="0" w:line="276"/>
        <w:jc w:val="right"/>
      </w:pPr>
      <w:r>
        <w:t xml:space="preserve">Suyash Gupta (102303017)</w:t>
      </w:r>
    </w:p>
    <w:p>
      <w:pPr>
        <w:spacing w:after="40" w:before="0" w:line="276"/>
        <w:jc w:val="right"/>
      </w:pPr>
      <w:r>
        <w:t xml:space="preserve">Rishabh Sharma (102303286)</w:t>
      </w:r>
    </w:p>
    <w:p>
      <w:pPr>
        <w:spacing w:after="40" w:before="0" w:line="276"/>
        <w:jc w:val="right"/>
      </w:pPr>
      <w:r>
        <w:t xml:space="preserve">Akshat Ahuja (102315073)</w:t>
      </w:r>
    </w:p>
    <w:p>
      <w:pPr>
        <w:spacing w:after="40" w:before="0" w:line="276"/>
        <w:jc w:val="right"/>
      </w:pPr>
      <w:r>
        <w:t xml:space="preserve">Anshh Pasriccha (102303455)</w:t>
      </w:r>
    </w:p>
    <w:p>
      <w:pPr>
        <w:pStyle w:val="Heading1"/>
        <w:pageBreakBefore/>
        <w:jc w:val="center"/>
      </w:pPr>
      <w:r>
        <w:t xml:space="preserve">TABLE OF CONTENTS</w:t>
      </w:r>
    </w:p>
    <w:p>
      <w:pPr>
        <w:tabs>
          <w:tab w:val="right" w:pos="9386" w:leader="dot"/>
        </w:tabs>
        <w:spacing w:after="80" w:before="80"/>
        <w:ind w:left="0"/>
      </w:pPr>
      <w:r>
        <w:rPr>
          <w:b/>
          <w:bCs/>
          <w:sz w:val="22"/>
          <w:szCs w:val="22"/>
        </w:rPr>
        <w:t xml:space="preserve">ABSTRACT</w:t>
      </w:r>
      <w:r>
        <w:rPr>
          <w:sz w:val="22"/>
          <w:szCs w:val="22"/>
        </w:rPr>
        <w:t xml:space="preserve">	ii</w:t>
      </w:r>
    </w:p>
    <w:p>
      <w:pPr>
        <w:tabs>
          <w:tab w:val="right" w:pos="9386" w:leader="dot"/>
        </w:tabs>
        <w:spacing w:after="80" w:before="80"/>
        <w:ind w:left="0"/>
      </w:pPr>
      <w:r>
        <w:rPr>
          <w:b/>
          <w:bCs/>
          <w:sz w:val="22"/>
          <w:szCs w:val="22"/>
        </w:rPr>
        <w:t xml:space="preserve">DECLARATION</w:t>
      </w:r>
      <w:r>
        <w:rPr>
          <w:sz w:val="22"/>
          <w:szCs w:val="22"/>
        </w:rPr>
        <w:t xml:space="preserve">	iii</w:t>
      </w:r>
    </w:p>
    <w:p>
      <w:pPr>
        <w:tabs>
          <w:tab w:val="right" w:pos="9386" w:leader="dot"/>
        </w:tabs>
        <w:spacing w:after="80" w:before="80"/>
        <w:ind w:left="0"/>
      </w:pPr>
      <w:r>
        <w:rPr>
          <w:b/>
          <w:bCs/>
          <w:sz w:val="22"/>
          <w:szCs w:val="22"/>
        </w:rPr>
        <w:t xml:space="preserve">ACKNOWLEDGEMENT</w:t>
      </w:r>
      <w:r>
        <w:rPr>
          <w:sz w:val="22"/>
          <w:szCs w:val="22"/>
        </w:rPr>
        <w:t xml:space="preserve">	iv</w:t>
      </w:r>
    </w:p>
    <w:p>
      <w:pPr>
        <w:tabs>
          <w:tab w:val="right" w:pos="9386" w:leader="dot"/>
        </w:tabs>
        <w:spacing w:after="80" w:before="80"/>
        <w:ind w:left="0"/>
      </w:pPr>
      <w:r>
        <w:rPr>
          <w:b/>
          <w:bCs/>
          <w:sz w:val="22"/>
          <w:szCs w:val="22"/>
        </w:rPr>
        <w:t xml:space="preserve">LIST OF FIGURES</w:t>
      </w:r>
      <w:r>
        <w:rPr>
          <w:sz w:val="22"/>
          <w:szCs w:val="22"/>
        </w:rPr>
        <w:t xml:space="preserve">	vii</w:t>
      </w:r>
    </w:p>
    <w:p>
      <w:pPr>
        <w:tabs>
          <w:tab w:val="right" w:pos="9386" w:leader="dot"/>
        </w:tabs>
        <w:spacing w:after="80" w:before="80"/>
        <w:ind w:left="0"/>
      </w:pPr>
      <w:r>
        <w:rPr>
          <w:b/>
          <w:bCs/>
          <w:sz w:val="22"/>
          <w:szCs w:val="22"/>
        </w:rPr>
        <w:t xml:space="preserve">LIST OF TABLES</w:t>
      </w:r>
      <w:r>
        <w:rPr>
          <w:sz w:val="22"/>
          <w:szCs w:val="22"/>
        </w:rPr>
        <w:t xml:space="preserve">	viii</w:t>
      </w:r>
    </w:p>
    <w:p>
      <w:pPr>
        <w:tabs>
          <w:tab w:val="right" w:pos="9386" w:leader="dot"/>
        </w:tabs>
        <w:spacing w:after="80" w:before="80"/>
        <w:ind w:left="0"/>
      </w:pPr>
      <w:r>
        <w:rPr>
          <w:b/>
          <w:bCs/>
          <w:sz w:val="22"/>
          <w:szCs w:val="22"/>
        </w:rPr>
        <w:t xml:space="preserve">LIST OF ABBREVIATIONS</w:t>
      </w:r>
      <w:r>
        <w:rPr>
          <w:sz w:val="22"/>
          <w:szCs w:val="22"/>
        </w:rPr>
        <w:t xml:space="preserve">	ix</w:t>
      </w:r>
    </w:p>
    <w:p>
      <w:pPr>
        <w:tabs>
          <w:tab w:val="right" w:pos="9386" w:leader="dot"/>
        </w:tabs>
        <w:spacing w:after="80" w:before="80"/>
        <w:ind w:left="0"/>
      </w:pPr>
      <w:r>
        <w:rPr>
          <w:b/>
          <w:bCs/>
          <w:sz w:val="22"/>
          <w:szCs w:val="22"/>
        </w:rPr>
        <w:t xml:space="preserve">CHAPTER 1: INTRODUCTION</w:t>
      </w:r>
      <w:r>
        <w:rPr>
          <w:sz w:val="22"/>
          <w:szCs w:val="22"/>
        </w:rPr>
        <w:t xml:space="preserve">	1</w:t>
      </w:r>
    </w:p>
    <w:p>
      <w:pPr>
        <w:tabs>
          <w:tab w:val="right" w:pos="9386" w:leader="dot"/>
        </w:tabs>
        <w:spacing w:after="40" w:before="0"/>
        <w:ind w:left="440"/>
      </w:pPr>
      <w:r>
        <w:rPr>
          <w:sz w:val="22"/>
          <w:szCs w:val="22"/>
        </w:rPr>
        <w:t xml:space="preserve">1.1 Project Overview</w:t>
      </w:r>
      <w:r>
        <w:rPr>
          <w:sz w:val="22"/>
          <w:szCs w:val="22"/>
        </w:rPr>
        <w:t xml:space="preserve">	1</w:t>
      </w:r>
    </w:p>
    <w:p>
      <w:pPr>
        <w:tabs>
          <w:tab w:val="right" w:pos="9386" w:leader="dot"/>
        </w:tabs>
        <w:spacing w:after="40" w:before="0"/>
        <w:ind w:left="440"/>
      </w:pPr>
      <w:r>
        <w:rPr>
          <w:sz w:val="22"/>
          <w:szCs w:val="22"/>
        </w:rPr>
        <w:t xml:space="preserve">1.2 Need Analysis</w:t>
      </w:r>
      <w:r>
        <w:rPr>
          <w:sz w:val="22"/>
          <w:szCs w:val="22"/>
        </w:rPr>
        <w:t xml:space="preserve">	1</w:t>
      </w:r>
    </w:p>
    <w:p>
      <w:pPr>
        <w:tabs>
          <w:tab w:val="right" w:pos="9386" w:leader="dot"/>
        </w:tabs>
        <w:spacing w:after="40" w:before="0"/>
        <w:ind w:left="440"/>
      </w:pPr>
      <w:r>
        <w:rPr>
          <w:sz w:val="22"/>
          <w:szCs w:val="22"/>
        </w:rPr>
        <w:t xml:space="preserve">1.3 Research Gaps</w:t>
      </w:r>
      <w:r>
        <w:rPr>
          <w:sz w:val="22"/>
          <w:szCs w:val="22"/>
        </w:rPr>
        <w:t xml:space="preserve">	1</w:t>
      </w:r>
    </w:p>
    <w:p>
      <w:pPr>
        <w:tabs>
          <w:tab w:val="right" w:pos="9386" w:leader="dot"/>
        </w:tabs>
        <w:spacing w:after="40" w:before="0"/>
        <w:ind w:left="440"/>
      </w:pPr>
      <w:r>
        <w:rPr>
          <w:sz w:val="22"/>
          <w:szCs w:val="22"/>
        </w:rPr>
        <w:t xml:space="preserve">1.4 Problem Definition and Scope</w:t>
      </w:r>
      <w:r>
        <w:rPr>
          <w:sz w:val="22"/>
          <w:szCs w:val="22"/>
        </w:rPr>
        <w:t xml:space="preserve">	2</w:t>
      </w:r>
    </w:p>
    <w:p>
      <w:pPr>
        <w:tabs>
          <w:tab w:val="right" w:pos="9386" w:leader="dot"/>
        </w:tabs>
        <w:spacing w:after="40" w:before="0"/>
        <w:ind w:left="440"/>
      </w:pPr>
      <w:r>
        <w:rPr>
          <w:sz w:val="22"/>
          <w:szCs w:val="22"/>
        </w:rPr>
        <w:t xml:space="preserve">1.5 Assumptions and Constraints</w:t>
      </w:r>
      <w:r>
        <w:rPr>
          <w:sz w:val="22"/>
          <w:szCs w:val="22"/>
        </w:rPr>
        <w:t xml:space="preserve">	2</w:t>
      </w:r>
    </w:p>
    <w:p>
      <w:pPr>
        <w:tabs>
          <w:tab w:val="right" w:pos="9386" w:leader="dot"/>
        </w:tabs>
        <w:spacing w:after="40" w:before="0"/>
        <w:ind w:left="440"/>
      </w:pPr>
      <w:r>
        <w:rPr>
          <w:sz w:val="22"/>
          <w:szCs w:val="22"/>
        </w:rPr>
        <w:t xml:space="preserve">1.6 Standards</w:t>
      </w:r>
      <w:r>
        <w:rPr>
          <w:sz w:val="22"/>
          <w:szCs w:val="22"/>
        </w:rPr>
        <w:t xml:space="preserve">	2</w:t>
      </w:r>
    </w:p>
    <w:p>
      <w:pPr>
        <w:tabs>
          <w:tab w:val="right" w:pos="9386" w:leader="dot"/>
        </w:tabs>
        <w:spacing w:after="40" w:before="0"/>
        <w:ind w:left="440"/>
      </w:pPr>
      <w:r>
        <w:rPr>
          <w:sz w:val="22"/>
          <w:szCs w:val="22"/>
        </w:rPr>
        <w:t xml:space="preserve">1.7 Approved Objectives</w:t>
      </w:r>
      <w:r>
        <w:rPr>
          <w:sz w:val="22"/>
          <w:szCs w:val="22"/>
        </w:rPr>
        <w:t xml:space="preserve">	3</w:t>
      </w:r>
    </w:p>
    <w:p>
      <w:pPr>
        <w:tabs>
          <w:tab w:val="right" w:pos="9386" w:leader="dot"/>
        </w:tabs>
        <w:spacing w:after="40" w:before="0"/>
        <w:ind w:left="440"/>
      </w:pPr>
      <w:r>
        <w:rPr>
          <w:sz w:val="22"/>
          <w:szCs w:val="22"/>
        </w:rPr>
        <w:t xml:space="preserve">1.8 Methodology</w:t>
      </w:r>
      <w:r>
        <w:rPr>
          <w:sz w:val="22"/>
          <w:szCs w:val="22"/>
        </w:rPr>
        <w:t xml:space="preserve">	3</w:t>
      </w:r>
    </w:p>
    <w:p>
      <w:pPr>
        <w:tabs>
          <w:tab w:val="right" w:pos="9386" w:leader="dot"/>
        </w:tabs>
        <w:spacing w:after="40" w:before="0"/>
        <w:ind w:left="440"/>
      </w:pPr>
      <w:r>
        <w:rPr>
          <w:sz w:val="22"/>
          <w:szCs w:val="22"/>
        </w:rPr>
        <w:t xml:space="preserve">1.9 Project Outcomes and Deliverables</w:t>
      </w:r>
      <w:r>
        <w:rPr>
          <w:sz w:val="22"/>
          <w:szCs w:val="22"/>
        </w:rPr>
        <w:t xml:space="preserve">	3</w:t>
      </w:r>
    </w:p>
    <w:p>
      <w:pPr>
        <w:tabs>
          <w:tab w:val="right" w:pos="9386" w:leader="dot"/>
        </w:tabs>
        <w:spacing w:after="40" w:before="0"/>
        <w:ind w:left="440"/>
      </w:pPr>
      <w:r>
        <w:rPr>
          <w:sz w:val="22"/>
          <w:szCs w:val="22"/>
        </w:rPr>
        <w:t xml:space="preserve">1.10 Novelty of Work</w:t>
      </w:r>
      <w:r>
        <w:rPr>
          <w:sz w:val="22"/>
          <w:szCs w:val="22"/>
        </w:rPr>
        <w:t xml:space="preserve">	4</w:t>
      </w:r>
    </w:p>
    <w:p>
      <w:pPr>
        <w:tabs>
          <w:tab w:val="right" w:pos="9386" w:leader="dot"/>
        </w:tabs>
        <w:spacing w:after="40" w:before="0"/>
        <w:ind w:left="440"/>
      </w:pPr>
      <w:r>
        <w:rPr>
          <w:sz w:val="22"/>
          <w:szCs w:val="22"/>
        </w:rPr>
        <w:t xml:space="preserve">1.11 Changes Since the Mid-Semester Evaluation</w:t>
      </w:r>
      <w:r>
        <w:rPr>
          <w:sz w:val="22"/>
          <w:szCs w:val="22"/>
        </w:rPr>
        <w:t xml:space="preserve">	4</w:t>
      </w:r>
    </w:p>
    <w:p>
      <w:pPr>
        <w:tabs>
          <w:tab w:val="right" w:pos="9386" w:leader="dot"/>
        </w:tabs>
        <w:spacing w:after="80" w:before="80"/>
        <w:ind w:left="0"/>
      </w:pPr>
      <w:r>
        <w:rPr>
          <w:b/>
          <w:bCs/>
          <w:sz w:val="22"/>
          <w:szCs w:val="22"/>
        </w:rPr>
        <w:t xml:space="preserve">CHAPTER 2: REQUIREMENT ANALYSIS</w:t>
      </w:r>
      <w:r>
        <w:rPr>
          <w:sz w:val="22"/>
          <w:szCs w:val="22"/>
        </w:rPr>
        <w:t xml:space="preserve">	5</w:t>
      </w:r>
    </w:p>
    <w:p>
      <w:pPr>
        <w:tabs>
          <w:tab w:val="right" w:pos="9386" w:leader="dot"/>
        </w:tabs>
        <w:spacing w:after="40" w:before="0"/>
        <w:ind w:left="440"/>
      </w:pPr>
      <w:r>
        <w:rPr>
          <w:sz w:val="22"/>
          <w:szCs w:val="22"/>
        </w:rPr>
        <w:t xml:space="preserve">2.1 Literature Survey</w:t>
      </w:r>
      <w:r>
        <w:rPr>
          <w:sz w:val="22"/>
          <w:szCs w:val="22"/>
        </w:rPr>
        <w:t xml:space="preserve">	5</w:t>
      </w:r>
    </w:p>
    <w:p>
      <w:pPr>
        <w:tabs>
          <w:tab w:val="right" w:pos="9386" w:leader="dot"/>
        </w:tabs>
        <w:spacing w:after="40" w:before="0"/>
        <w:ind w:left="440"/>
      </w:pPr>
      <w:r>
        <w:rPr>
          <w:sz w:val="22"/>
          <w:szCs w:val="22"/>
        </w:rPr>
        <w:t xml:space="preserve">2.2 Software Requirement Specification</w:t>
      </w:r>
      <w:r>
        <w:rPr>
          <w:sz w:val="22"/>
          <w:szCs w:val="22"/>
        </w:rPr>
        <w:t xml:space="preserve">	7</w:t>
      </w:r>
    </w:p>
    <w:p>
      <w:pPr>
        <w:tabs>
          <w:tab w:val="right" w:pos="9386" w:leader="dot"/>
        </w:tabs>
        <w:spacing w:after="40" w:before="0"/>
        <w:ind w:left="440"/>
      </w:pPr>
      <w:r>
        <w:rPr>
          <w:sz w:val="22"/>
          <w:szCs w:val="22"/>
        </w:rPr>
        <w:t xml:space="preserve">2.3 Cost Analysis</w:t>
      </w:r>
      <w:r>
        <w:rPr>
          <w:sz w:val="22"/>
          <w:szCs w:val="22"/>
        </w:rPr>
        <w:t xml:space="preserve">	8</w:t>
      </w:r>
    </w:p>
    <w:p>
      <w:pPr>
        <w:tabs>
          <w:tab w:val="right" w:pos="9386" w:leader="dot"/>
        </w:tabs>
        <w:spacing w:after="40" w:before="0"/>
        <w:ind w:left="440"/>
      </w:pPr>
      <w:r>
        <w:rPr>
          <w:sz w:val="22"/>
          <w:szCs w:val="22"/>
        </w:rPr>
        <w:t xml:space="preserve">2.4 Risk Analysis</w:t>
      </w:r>
      <w:r>
        <w:rPr>
          <w:sz w:val="22"/>
          <w:szCs w:val="22"/>
        </w:rPr>
        <w:t xml:space="preserve">	9</w:t>
      </w:r>
    </w:p>
    <w:p>
      <w:pPr>
        <w:tabs>
          <w:tab w:val="right" w:pos="9386" w:leader="dot"/>
        </w:tabs>
        <w:spacing w:after="80" w:before="80"/>
        <w:ind w:left="0"/>
      </w:pPr>
      <w:r>
        <w:rPr>
          <w:b/>
          <w:bCs/>
          <w:sz w:val="22"/>
          <w:szCs w:val="22"/>
        </w:rPr>
        <w:t xml:space="preserve">CHAPTER 3: METHODOLOGY ADOPTED</w:t>
      </w:r>
      <w:r>
        <w:rPr>
          <w:sz w:val="22"/>
          <w:szCs w:val="22"/>
        </w:rPr>
        <w:t xml:space="preserve">	10</w:t>
      </w:r>
    </w:p>
    <w:p>
      <w:pPr>
        <w:tabs>
          <w:tab w:val="right" w:pos="9386" w:leader="dot"/>
        </w:tabs>
        <w:spacing w:after="40" w:before="0"/>
        <w:ind w:left="440"/>
      </w:pPr>
      <w:r>
        <w:rPr>
          <w:sz w:val="22"/>
          <w:szCs w:val="22"/>
        </w:rPr>
        <w:t xml:space="preserve">3.1 Investigative Techniques</w:t>
      </w:r>
      <w:r>
        <w:rPr>
          <w:sz w:val="22"/>
          <w:szCs w:val="22"/>
        </w:rPr>
        <w:t xml:space="preserve">	10</w:t>
      </w:r>
    </w:p>
    <w:p>
      <w:pPr>
        <w:tabs>
          <w:tab w:val="right" w:pos="9386" w:leader="dot"/>
        </w:tabs>
        <w:spacing w:after="40" w:before="0"/>
        <w:ind w:left="440"/>
      </w:pPr>
      <w:r>
        <w:rPr>
          <w:sz w:val="22"/>
          <w:szCs w:val="22"/>
        </w:rPr>
        <w:t xml:space="preserve">3.2 Proposed Solution</w:t>
      </w:r>
      <w:r>
        <w:rPr>
          <w:sz w:val="22"/>
          <w:szCs w:val="22"/>
        </w:rPr>
        <w:t xml:space="preserve">	10</w:t>
      </w:r>
    </w:p>
    <w:p>
      <w:pPr>
        <w:tabs>
          <w:tab w:val="right" w:pos="9386" w:leader="dot"/>
        </w:tabs>
        <w:spacing w:after="40" w:before="0"/>
        <w:ind w:left="440"/>
      </w:pPr>
      <w:r>
        <w:rPr>
          <w:sz w:val="22"/>
          <w:szCs w:val="22"/>
        </w:rPr>
        <w:t xml:space="preserve">3.3 Work Breakdown Structure</w:t>
      </w:r>
      <w:r>
        <w:rPr>
          <w:sz w:val="22"/>
          <w:szCs w:val="22"/>
        </w:rPr>
        <w:t xml:space="preserve">	10</w:t>
      </w:r>
    </w:p>
    <w:p>
      <w:pPr>
        <w:tabs>
          <w:tab w:val="right" w:pos="9386" w:leader="dot"/>
        </w:tabs>
        <w:spacing w:after="40" w:before="0"/>
        <w:ind w:left="440"/>
      </w:pPr>
      <w:r>
        <w:rPr>
          <w:sz w:val="22"/>
          <w:szCs w:val="22"/>
        </w:rPr>
        <w:t xml:space="preserve">3.4 Tools and Technology</w:t>
      </w:r>
      <w:r>
        <w:rPr>
          <w:sz w:val="22"/>
          <w:szCs w:val="22"/>
        </w:rPr>
        <w:t xml:space="preserve">	11</w:t>
      </w:r>
    </w:p>
    <w:p>
      <w:pPr>
        <w:tabs>
          <w:tab w:val="right" w:pos="9386" w:leader="dot"/>
        </w:tabs>
        <w:spacing w:after="80" w:before="80"/>
        <w:ind w:left="0"/>
      </w:pPr>
      <w:r>
        <w:rPr>
          <w:b/>
          <w:bCs/>
          <w:sz w:val="22"/>
          <w:szCs w:val="22"/>
        </w:rPr>
        <w:t xml:space="preserve">CHAPTER 4: DESIGN SPECIFICATIONS</w:t>
      </w:r>
      <w:r>
        <w:rPr>
          <w:sz w:val="22"/>
          <w:szCs w:val="22"/>
        </w:rPr>
        <w:t xml:space="preserve">	12</w:t>
      </w:r>
    </w:p>
    <w:p>
      <w:pPr>
        <w:tabs>
          <w:tab w:val="right" w:pos="9386" w:leader="dot"/>
        </w:tabs>
        <w:spacing w:after="40" w:before="0"/>
        <w:ind w:left="440"/>
      </w:pPr>
      <w:r>
        <w:rPr>
          <w:sz w:val="22"/>
          <w:szCs w:val="22"/>
        </w:rPr>
        <w:t xml:space="preserve">4.1 System Architecture</w:t>
      </w:r>
      <w:r>
        <w:rPr>
          <w:sz w:val="22"/>
          <w:szCs w:val="22"/>
        </w:rPr>
        <w:t xml:space="preserve">	12</w:t>
      </w:r>
    </w:p>
    <w:p>
      <w:pPr>
        <w:tabs>
          <w:tab w:val="right" w:pos="9386" w:leader="dot"/>
        </w:tabs>
        <w:spacing w:after="40" w:before="0"/>
        <w:ind w:left="440"/>
      </w:pPr>
      <w:r>
        <w:rPr>
          <w:sz w:val="22"/>
          <w:szCs w:val="22"/>
        </w:rPr>
        <w:t xml:space="preserve">4.2 Design Level Diagrams</w:t>
      </w:r>
      <w:r>
        <w:rPr>
          <w:sz w:val="22"/>
          <w:szCs w:val="22"/>
        </w:rPr>
        <w:t xml:space="preserve">	13</w:t>
      </w:r>
    </w:p>
    <w:p>
      <w:pPr>
        <w:tabs>
          <w:tab w:val="right" w:pos="9386" w:leader="dot"/>
        </w:tabs>
        <w:spacing w:after="40" w:before="0"/>
        <w:ind w:left="440"/>
      </w:pPr>
      <w:r>
        <w:rPr>
          <w:sz w:val="22"/>
          <w:szCs w:val="22"/>
        </w:rPr>
        <w:t xml:space="preserve">4.3 Snapshots of Working Prototype</w:t>
      </w:r>
      <w:r>
        <w:rPr>
          <w:sz w:val="22"/>
          <w:szCs w:val="22"/>
        </w:rPr>
        <w:t xml:space="preserve">	14</w:t>
      </w:r>
    </w:p>
    <w:p>
      <w:pPr>
        <w:tabs>
          <w:tab w:val="right" w:pos="9386" w:leader="dot"/>
        </w:tabs>
        <w:spacing w:after="80" w:before="80"/>
        <w:ind w:left="0"/>
      </w:pPr>
      <w:r>
        <w:rPr>
          <w:b/>
          <w:bCs/>
          <w:sz w:val="22"/>
          <w:szCs w:val="22"/>
        </w:rPr>
        <w:t xml:space="preserve">CHAPTER 5: IMPLEMENTATION AND EXPERIMENTAL RESULTS</w:t>
      </w:r>
      <w:r>
        <w:rPr>
          <w:sz w:val="22"/>
          <w:szCs w:val="22"/>
        </w:rPr>
        <w:t xml:space="preserve">	17</w:t>
      </w:r>
    </w:p>
    <w:p>
      <w:pPr>
        <w:tabs>
          <w:tab w:val="right" w:pos="9386" w:leader="dot"/>
        </w:tabs>
        <w:spacing w:after="40" w:before="0"/>
        <w:ind w:left="440"/>
      </w:pPr>
      <w:r>
        <w:rPr>
          <w:sz w:val="22"/>
          <w:szCs w:val="22"/>
        </w:rPr>
        <w:t xml:space="preserve">5.1 Implementation</w:t>
      </w:r>
      <w:r>
        <w:rPr>
          <w:sz w:val="22"/>
          <w:szCs w:val="22"/>
        </w:rPr>
        <w:t xml:space="preserve">	17</w:t>
      </w:r>
    </w:p>
    <w:p>
      <w:pPr>
        <w:tabs>
          <w:tab w:val="right" w:pos="9386" w:leader="dot"/>
        </w:tabs>
        <w:spacing w:after="40" w:before="0"/>
        <w:ind w:left="440"/>
      </w:pPr>
      <w:r>
        <w:rPr>
          <w:sz w:val="22"/>
          <w:szCs w:val="22"/>
        </w:rPr>
        <w:t xml:space="preserve">5.2 Evaluation Protocol</w:t>
      </w:r>
      <w:r>
        <w:rPr>
          <w:sz w:val="22"/>
          <w:szCs w:val="22"/>
        </w:rPr>
        <w:t xml:space="preserve">	18</w:t>
      </w:r>
    </w:p>
    <w:p>
      <w:pPr>
        <w:tabs>
          <w:tab w:val="right" w:pos="9386" w:leader="dot"/>
        </w:tabs>
        <w:spacing w:after="40" w:before="0"/>
        <w:ind w:left="440"/>
      </w:pPr>
      <w:r>
        <w:rPr>
          <w:sz w:val="22"/>
          <w:szCs w:val="22"/>
        </w:rPr>
        <w:t xml:space="preserve">5.3 Data and Simulator Checks</w:t>
      </w:r>
      <w:r>
        <w:rPr>
          <w:sz w:val="22"/>
          <w:szCs w:val="22"/>
        </w:rPr>
        <w:t xml:space="preserve">	19</w:t>
      </w:r>
    </w:p>
    <w:p>
      <w:pPr>
        <w:tabs>
          <w:tab w:val="right" w:pos="9386" w:leader="dot"/>
        </w:tabs>
        <w:spacing w:after="40" w:before="0"/>
        <w:ind w:left="440"/>
      </w:pPr>
      <w:r>
        <w:rPr>
          <w:sz w:val="22"/>
          <w:szCs w:val="22"/>
        </w:rPr>
        <w:t xml:space="preserve">5.4 Prediction and the Lean Blind Spot</w:t>
      </w:r>
      <w:r>
        <w:rPr>
          <w:sz w:val="22"/>
          <w:szCs w:val="22"/>
        </w:rPr>
        <w:t xml:space="preserve">	19</w:t>
      </w:r>
    </w:p>
    <w:p>
      <w:pPr>
        <w:tabs>
          <w:tab w:val="right" w:pos="9386" w:leader="dot"/>
        </w:tabs>
        <w:spacing w:after="40" w:before="0"/>
        <w:ind w:left="440"/>
      </w:pPr>
      <w:r>
        <w:rPr>
          <w:sz w:val="22"/>
          <w:szCs w:val="22"/>
        </w:rPr>
        <w:t xml:space="preserve">5.5 Interaction Discovery</w:t>
      </w:r>
      <w:r>
        <w:rPr>
          <w:sz w:val="22"/>
          <w:szCs w:val="22"/>
        </w:rPr>
        <w:t xml:space="preserve">	20</w:t>
      </w:r>
    </w:p>
    <w:p>
      <w:pPr>
        <w:tabs>
          <w:tab w:val="right" w:pos="9386" w:leader="dot"/>
        </w:tabs>
        <w:spacing w:after="40" w:before="0"/>
        <w:ind w:left="440"/>
      </w:pPr>
      <w:r>
        <w:rPr>
          <w:sz w:val="22"/>
          <w:szCs w:val="22"/>
        </w:rPr>
        <w:t xml:space="preserve">5.6 Quantum Components</w:t>
      </w:r>
      <w:r>
        <w:rPr>
          <w:sz w:val="22"/>
          <w:szCs w:val="22"/>
        </w:rPr>
        <w:t xml:space="preserve">	21</w:t>
      </w:r>
    </w:p>
    <w:p>
      <w:pPr>
        <w:tabs>
          <w:tab w:val="right" w:pos="9386" w:leader="dot"/>
        </w:tabs>
        <w:spacing w:after="40" w:before="0"/>
        <w:ind w:left="440"/>
      </w:pPr>
      <w:r>
        <w:rPr>
          <w:sz w:val="22"/>
          <w:szCs w:val="22"/>
        </w:rPr>
        <w:t xml:space="preserve">5.7 Real Genomes, Fairness and Robustness</w:t>
      </w:r>
      <w:r>
        <w:rPr>
          <w:sz w:val="22"/>
          <w:szCs w:val="22"/>
        </w:rPr>
        <w:t xml:space="preserve">	22</w:t>
      </w:r>
    </w:p>
    <w:p>
      <w:pPr>
        <w:tabs>
          <w:tab w:val="right" w:pos="9386" w:leader="dot"/>
        </w:tabs>
        <w:spacing w:after="40" w:before="0"/>
        <w:ind w:left="440"/>
      </w:pPr>
      <w:r>
        <w:rPr>
          <w:sz w:val="22"/>
          <w:szCs w:val="22"/>
        </w:rPr>
        <w:t xml:space="preserve">5.8 Consumer DNA Files and Lifestyle What-ifs</w:t>
      </w:r>
      <w:r>
        <w:rPr>
          <w:sz w:val="22"/>
          <w:szCs w:val="22"/>
        </w:rPr>
        <w:t xml:space="preserve">	24</w:t>
      </w:r>
    </w:p>
    <w:p>
      <w:pPr>
        <w:tabs>
          <w:tab w:val="right" w:pos="9386" w:leader="dot"/>
        </w:tabs>
        <w:spacing w:after="40" w:before="0"/>
        <w:ind w:left="440"/>
      </w:pPr>
      <w:r>
        <w:rPr>
          <w:sz w:val="22"/>
          <w:szCs w:val="22"/>
        </w:rPr>
        <w:t xml:space="preserve">5.9 Testing and Validation</w:t>
      </w:r>
      <w:r>
        <w:rPr>
          <w:sz w:val="22"/>
          <w:szCs w:val="22"/>
        </w:rPr>
        <w:t xml:space="preserve">	24</w:t>
      </w:r>
    </w:p>
    <w:p>
      <w:pPr>
        <w:tabs>
          <w:tab w:val="right" w:pos="9386" w:leader="dot"/>
        </w:tabs>
        <w:spacing w:after="80" w:before="80"/>
        <w:ind w:left="0"/>
      </w:pPr>
      <w:r>
        <w:rPr>
          <w:b/>
          <w:bCs/>
          <w:sz w:val="22"/>
          <w:szCs w:val="22"/>
        </w:rPr>
        <w:t xml:space="preserve">CHAPTER 6: CONCLUSIONS AND FUTURE SCOPE</w:t>
      </w:r>
      <w:r>
        <w:rPr>
          <w:sz w:val="22"/>
          <w:szCs w:val="22"/>
        </w:rPr>
        <w:t xml:space="preserve">	26</w:t>
      </w:r>
    </w:p>
    <w:p>
      <w:pPr>
        <w:tabs>
          <w:tab w:val="right" w:pos="9386" w:leader="dot"/>
        </w:tabs>
        <w:spacing w:after="40" w:before="0"/>
        <w:ind w:left="440"/>
      </w:pPr>
      <w:r>
        <w:rPr>
          <w:sz w:val="22"/>
          <w:szCs w:val="22"/>
        </w:rPr>
        <w:t xml:space="preserve">6.1 Work Accomplished</w:t>
      </w:r>
      <w:r>
        <w:rPr>
          <w:sz w:val="22"/>
          <w:szCs w:val="22"/>
        </w:rPr>
        <w:t xml:space="preserve">	26</w:t>
      </w:r>
    </w:p>
    <w:p>
      <w:pPr>
        <w:tabs>
          <w:tab w:val="right" w:pos="9386" w:leader="dot"/>
        </w:tabs>
        <w:spacing w:after="40" w:before="0"/>
        <w:ind w:left="440"/>
      </w:pPr>
      <w:r>
        <w:rPr>
          <w:sz w:val="22"/>
          <w:szCs w:val="22"/>
        </w:rPr>
        <w:t xml:space="preserve">6.2 Conclusions</w:t>
      </w:r>
      <w:r>
        <w:rPr>
          <w:sz w:val="22"/>
          <w:szCs w:val="22"/>
        </w:rPr>
        <w:t xml:space="preserve">	26</w:t>
      </w:r>
    </w:p>
    <w:p>
      <w:pPr>
        <w:tabs>
          <w:tab w:val="right" w:pos="9386" w:leader="dot"/>
        </w:tabs>
        <w:spacing w:after="40" w:before="0"/>
        <w:ind w:left="440"/>
      </w:pPr>
      <w:r>
        <w:rPr>
          <w:sz w:val="22"/>
          <w:szCs w:val="22"/>
        </w:rPr>
        <w:t xml:space="preserve">6.3 Environmental / Social Benefits</w:t>
      </w:r>
      <w:r>
        <w:rPr>
          <w:sz w:val="22"/>
          <w:szCs w:val="22"/>
        </w:rPr>
        <w:t xml:space="preserve">	26</w:t>
      </w:r>
    </w:p>
    <w:p>
      <w:pPr>
        <w:tabs>
          <w:tab w:val="right" w:pos="9386" w:leader="dot"/>
        </w:tabs>
        <w:spacing w:after="40" w:before="0"/>
        <w:ind w:left="440"/>
      </w:pPr>
      <w:r>
        <w:rPr>
          <w:sz w:val="22"/>
          <w:szCs w:val="22"/>
        </w:rPr>
        <w:t xml:space="preserve">6.4 Future Work Plan</w:t>
      </w:r>
      <w:r>
        <w:rPr>
          <w:sz w:val="22"/>
          <w:szCs w:val="22"/>
        </w:rPr>
        <w:t xml:space="preserve">	27</w:t>
      </w:r>
    </w:p>
    <w:p>
      <w:pPr>
        <w:tabs>
          <w:tab w:val="right" w:pos="9386" w:leader="dot"/>
        </w:tabs>
        <w:spacing w:after="80" w:before="80"/>
        <w:ind w:left="0"/>
      </w:pPr>
      <w:r>
        <w:rPr>
          <w:b/>
          <w:bCs/>
          <w:sz w:val="22"/>
          <w:szCs w:val="22"/>
        </w:rPr>
        <w:t xml:space="preserve">APPENDIX A: REFERENCES</w:t>
      </w:r>
      <w:r>
        <w:rPr>
          <w:sz w:val="22"/>
          <w:szCs w:val="22"/>
        </w:rPr>
        <w:t xml:space="preserve">	28</w:t>
      </w:r>
    </w:p>
    <w:p>
      <w:pPr>
        <w:tabs>
          <w:tab w:val="right" w:pos="9386" w:leader="dot"/>
        </w:tabs>
        <w:spacing w:after="80" w:before="80"/>
        <w:ind w:left="0"/>
      </w:pPr>
      <w:r>
        <w:rPr>
          <w:b/>
          <w:bCs/>
          <w:sz w:val="22"/>
          <w:szCs w:val="22"/>
        </w:rPr>
        <w:t xml:space="preserve">MENTOR'S REMARKS</w:t>
      </w:r>
      <w:r>
        <w:rPr>
          <w:sz w:val="22"/>
          <w:szCs w:val="22"/>
        </w:rPr>
        <w:t xml:space="preserve">	30</w:t>
      </w:r>
    </w:p>
    <w:p>
      <w:pPr>
        <w:pStyle w:val="Heading1"/>
        <w:pageBreakBefore/>
        <w:jc w:val="center"/>
      </w:pPr>
      <w:r>
        <w:t xml:space="preserve">LIST OF FIGURES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300"/>
        <w:gridCol w:w="6886"/>
        <w:gridCol w:w="1200"/>
      </w:tblGrid>
      <w:tr>
        <w:trPr>
          <w:cantSplit/>
          <w:tblHeader/>
        </w:trPr>
        <w:tc>
          <w:tcPr>
            <w:tcW w:type="dxa" w:w="13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Figure No.</w:t>
            </w:r>
          </w:p>
        </w:tc>
        <w:tc>
          <w:tcPr>
            <w:tcW w:type="dxa" w:w="68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Caption</w:t>
            </w:r>
          </w:p>
        </w:tc>
        <w:tc>
          <w:tcPr>
            <w:tcW w:type="dxa" w:w="12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Page No.</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QGenomix architecture: inputs, the eight stages S1–S8, and the quantum stages (purple)</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12</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2</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Report generation: from a consumer DNA file and the questionnaire to the risk report</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13</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3</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The 8-qubit pair encoder (two of its four layers shown)</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13</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4</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Dashboard report for a lean, high-genetic-risk demo persona (synthetic genome)</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14</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5</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The one-page PDF report (download button and POST /v1/report.pdf)</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15</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6</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Clinician view of a 200-person synthetic cohort</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16</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7</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E0: genetic principal components, mechanism SNP frequencies, and the PRS of real and synthetic South Asians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19</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8</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E1 benchmark: test AUC of the 17 predictors (mean ± sd over 3 seeds)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19</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9</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E8: share of all cases and of lean cases caught when the top 20% by risk are screened</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20</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10</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E2: share of planted pairs found against their effect size, and power of the mechanism-level test</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20</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11</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E4: p-values under the null hypothesis and the strongest pair in each of 20 null runs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21</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12</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E5: test AUC of the classical twin and of the quantum encoder with and without entanglement (3 seeds)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21</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13</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E7: QAOA solution quality, constraint satisfaction and two-qubit gate cost, ideal and with IBM Kingston noise</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22</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14</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E7b: QAOA quality on the IBM Kingston noise model after each mitigation stage</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22</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15</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E9: models trained on synthetic South Asians, tested on real genomes of five ancestries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23</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16</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E11: accuracy, cases caught and calibration by South Asian population and sex</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23</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17</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E12: the main conclusions under thirteen alternative simulator settings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23</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18</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E13: partial DNA files, average filling against LD imputation</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24</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Figure 19</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E10: mean risk by genetic risk quintile before and after each change, app estimate against the true effect</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24</w:t>
            </w:r>
          </w:p>
        </w:tc>
      </w:tr>
    </w:tbl>
    <w:p>
      <w:pPr>
        <w:pStyle w:val="Heading1"/>
        <w:pageBreakBefore/>
        <w:jc w:val="center"/>
      </w:pPr>
      <w:r>
        <w:t xml:space="preserve">LIST OF TABLES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300"/>
        <w:gridCol w:w="6886"/>
        <w:gridCol w:w="1200"/>
      </w:tblGrid>
      <w:tr>
        <w:trPr>
          <w:cantSplit/>
          <w:tblHeader/>
        </w:trPr>
        <w:tc>
          <w:tcPr>
            <w:tcW w:type="dxa" w:w="13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Table No.</w:t>
            </w:r>
          </w:p>
        </w:tc>
        <w:tc>
          <w:tcPr>
            <w:tcW w:type="dxa" w:w="68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Caption</w:t>
            </w:r>
          </w:p>
        </w:tc>
        <w:tc>
          <w:tcPr>
            <w:tcW w:type="dxa" w:w="12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Page No.</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1</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Changes from the mid-semester plan</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4</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2</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Literature survey</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5</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3</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Functional requirements and where they are implemented</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7</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4</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Cost analysis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8</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5</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Risk analysis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9</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6</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Work breakdown and progress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7</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Tools and technologies used</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11</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8</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Stages, code modules and techniques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12</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9</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Experiments and results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18</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10</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Problems found in testing and their fixes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25</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11</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Status of the approved objectives</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26</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12</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Features kept for the final panel</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27</w:t>
            </w:r>
          </w:p>
        </w:tc>
      </w:tr>
      <w:tr>
        <w:trPr>
          <w:cantSplit/>
        </w:trPr>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Table 13</w:t>
            </w:r>
          </w:p>
        </w:tc>
        <w:tc>
          <w:tcPr>
            <w:tcW w:type="dxa" w:w="6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Schedule to the final panel</w:t>
            </w:r>
          </w:p>
        </w:tc>
        <w:tc>
          <w:tcPr>
            <w:tcW w:type="dxa" w:w="12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27</w:t>
            </w:r>
          </w:p>
        </w:tc>
      </w:tr>
    </w:tbl>
    <w:p>
      <w:pPr>
        <w:pStyle w:val="Heading1"/>
        <w:pageBreakBefore/>
        <w:jc w:val="center"/>
      </w:pPr>
      <w:r>
        <w:t xml:space="preserve">LIST OF ABBREVIATIONS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7386"/>
      </w:tblGrid>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API</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Application Programming Interface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AUC</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Area Under the ROC Curve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BMI</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Body-Mass Index</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CI</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Continuous Integration</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CV</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Cross-Validation</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CZ</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Controlled-Z (quantum gate)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D-PRISM</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South Asian-trained multi-ancestry polygenic score for type 2 diabetes (PGS005373–7)</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EDR@K</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Epistasis Detection Rate at K</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GRCh37</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Genome Reference Consortium human genome build 37</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GWAS</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Genome-Wide Association Study</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HWE</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Hardy–Weinberg Equilibrium</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IDRS</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Indian Diabetes Risk Score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LD</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Linkage Disequilibrium</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LR</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Logistic Regression</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MAF</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Minor Allele Frequency</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mRMR</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minimum Redundancy Maximum Relevance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OOF</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Out-of-Fold</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PCA</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Principal Component Analysis</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PGS</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Polygenic Score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PRS</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Polygenic Risk Score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QAOA</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Quantum Approximate Optimisation Algorithm</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QC</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Quality Control</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QSVC</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Quantum-kernel Support Vector Classifier</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QUBO</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Quadratic Unconstrained Binary Optimisation</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RF</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Random Forest</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ROC</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Receiver Operating Characteristic</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SA</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Simulated Annealing</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SAS</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South Asian (1000 Genomes super-population)</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SHAP</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SHapley Additive exPlanations</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SNP</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Single Nucleotide Polymorphism</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SVM</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Support Vector Machine</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T2D</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Type 2 Diabetes</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VQC</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Variational Quantum Circuit</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XGBoost</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eXtreme Gradient Boosting</w:t>
            </w:r>
          </w:p>
        </w:tc>
      </w:tr>
      <w:tr>
        <w:trPr>
          <w:cantSplit/>
        </w:trPr>
        <w:tc>
          <w:tcPr>
            <w:tcW w:type="dxa" w:w="2000"/>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b/>
                <w:bCs/>
                <w:sz w:val="22"/>
                <w:szCs w:val="22"/>
              </w:rPr>
              <w:t xml:space="preserve">ZNE</w:t>
            </w:r>
          </w:p>
        </w:tc>
        <w:tc>
          <w:tcPr>
            <w:tcW w:type="dxa" w:w="7386"/>
            <w:tcBorders>
              <w:top w:val="none" w:color="FFFFFF" w:sz="0"/>
              <w:left w:val="none" w:color="FFFFFF" w:sz="0"/>
              <w:bottom w:val="none" w:color="FFFFFF" w:sz="0"/>
              <w:right w:val="none" w:color="FFFFFF" w:sz="0"/>
            </w:tcBorders>
            <w:tcMar>
              <w:top w:type="dxa" w:w="25"/>
              <w:left w:type="dxa" w:w="100"/>
              <w:bottom w:type="dxa" w:w="25"/>
              <w:right w:type="dxa" w:w="100"/>
            </w:tcMar>
            <w:vAlign w:val="center"/>
          </w:tcPr>
          <w:p>
            <w:pPr>
              <w:spacing w:after="0" w:line="250"/>
              <w:jc w:val="left"/>
            </w:pPr>
            <w:r>
              <w:rPr>
                <w:sz w:val="22"/>
                <w:szCs w:val="22"/>
              </w:rPr>
              <w:t xml:space="preserve">Zero-Noise Extrapolation</w:t>
            </w:r>
          </w:p>
        </w:tc>
      </w:tr>
    </w:tbl>
    <w:p>
      <w:pPr>
        <w:sectPr>
          <w:footerReference w:type="default" r:id="rId6"/>
          <w:footerReference w:type="first" r:id="rId7"/>
          <w:pgSz w:w="11906" w:h="16838" w:orient="portrait"/>
          <w:pgMar w:top="1440" w:right="1080" w:bottom="1300" w:left="1440" w:header="708" w:footer="708" w:gutter="0"/>
          <w:pgNumType w:start="1" w:fmt="lowerRoman"/>
          <w:titlePg/>
          <w:docGrid w:linePitch="360"/>
        </w:sectPr>
      </w:pPr>
    </w:p>
    <w:p>
      <w:pPr>
        <w:pStyle w:val="Heading1"/>
        <w:pageBreakBefore/>
      </w:pPr>
      <w:r>
        <w:t xml:space="preserve">CHAPTER 1: INTRODUCTION</w:t>
      </w:r>
    </w:p>
    <w:p>
      <w:pPr>
        <w:pStyle w:val="Heading2"/>
        <w:keepNext/>
      </w:pPr>
      <w:r>
        <w:t xml:space="preserve">1.1 Project Overview</w:t>
      </w:r>
    </w:p>
    <w:p>
      <w:pPr>
        <w:spacing w:after="120" w:before="0" w:line="276"/>
        <w:jc w:val="both"/>
      </w:pPr>
      <w:r>
        <w:t xml:space="preserve">QGenomix is a quantum-classical hybrid framework for polygenic risk prediction, focused on early-onset type 2 diabetes (T2D) in lean South Asians. It combines real genotypes, published polygenic scores and a clinical questionnaire, searches for interacting gene pairs between two diabetes mechanisms, selects a non-redundant set of pairs with classical and quantum optimisation, and encodes them with a variational quantum circuit. Every quantum step is compared against a classical control, so the project measures what quantum computing contributes instead of assuming it.</w:t>
      </w:r>
    </w:p>
    <w:p>
      <w:pPr>
        <w:spacing w:after="120" w:before="0" w:line="276"/>
        <w:jc w:val="both"/>
      </w:pPr>
      <w:r>
        <w:t xml:space="preserve">The result is delivered as a working risk-report application. It reads a consumer DNA file (23andMe or AncestryDNA), fills in the variants the file is missing, and reports the person's risk with its biological mechanisms, the screening flags that the BMI rule and the IDRS would miss, lifestyle what-ifs, and a downloadable PDF. The full research pipeline, from raw 1000 Genomes data to every figure in this report, is reproducible from one configuration file.</w:t>
      </w:r>
    </w:p>
    <w:p>
      <w:pPr>
        <w:pStyle w:val="Heading2"/>
        <w:keepNext/>
      </w:pPr>
      <w:r>
        <w:t xml:space="preserve">1.2 Need Analysis</w:t>
      </w:r>
    </w:p>
    <w:p>
      <w:pPr>
        <w:spacing w:after="120" w:before="0" w:line="276"/>
        <w:jc w:val="both"/>
      </w:pPr>
      <w:r>
        <w:t xml:space="preserve">India has an estimated 101 million adults with diabetes and 136 million with prediabetes [1]. South Asians develop T2D at younger ages and lower BMI than Europeans, a pattern often called the lean or "thin-fat" phenotype [2]. Two consequences follow. BMI-based screening misses lean people at high risk, and the IDRS [3], which scores age, waist, physical activity and family history, gives young, slim people low scores by design and cannot see inherited risk.</w:t>
      </w:r>
    </w:p>
    <w:p>
      <w:pPr>
        <w:spacing w:after="120" w:before="0" w:line="276"/>
        <w:jc w:val="both"/>
      </w:pPr>
      <w:r>
        <w:t xml:space="preserve">At the same time, genetic data has become cheap: consumer genotyping files are widely available, and a multi-ancestry polygenic score trained for South Asians, D-PRISM [4], and mechanism-specific scores for T2D [5] have been published. What is missing is a careful study of what these scores add to Indian screening, whether the mechanisms interact, and a tool that turns a partial consumer DNA file into an honest, explained risk report.</w:t>
      </w:r>
    </w:p>
    <w:p>
      <w:pPr>
        <w:pStyle w:val="Heading2"/>
        <w:keepNext/>
      </w:pPr>
      <w:r>
        <w:t xml:space="preserve">1.3 Research Gaps</w:t>
      </w:r>
    </w:p>
    <w:p>
      <w:pPr>
        <w:pStyle w:val="ListParagraph"/>
        <w:numPr>
          <w:ilvl w:val="0"/>
          <w:numId w:val="2"/>
        </w:numPr>
        <w:spacing w:after="80" w:line="276"/>
        <w:jc w:val="both"/>
      </w:pPr>
      <w:r>
        <w:t xml:space="preserve">Polygenic risk scores are additive; whether T2D mechanisms interact (for example β-cell × lipodystrophy) has not been tested in South Asians.</w:t>
      </w:r>
    </w:p>
    <w:p>
      <w:pPr>
        <w:pStyle w:val="ListParagraph"/>
        <w:numPr>
          <w:ilvl w:val="0"/>
          <w:numId w:val="2"/>
        </w:numPr>
        <w:spacing w:after="80" w:line="276"/>
        <w:jc w:val="both"/>
      </w:pPr>
      <w:r>
        <w:t xml:space="preserve">Exhaustive pairwise interaction search has low power and returns many redundant "shadow" pairs; choosing a small, non-redundant set of pairs is a combinatorial problem.</w:t>
      </w:r>
    </w:p>
    <w:p>
      <w:pPr>
        <w:pStyle w:val="ListParagraph"/>
        <w:numPr>
          <w:ilvl w:val="0"/>
          <w:numId w:val="2"/>
        </w:numPr>
        <w:spacing w:after="80" w:line="276"/>
        <w:jc w:val="both"/>
      </w:pPr>
      <w:r>
        <w:t xml:space="preserve">Quantum machine-learning studies in genomics rarely include matched classical controls or an analysis of hardware noise, so their claims are hard to judge.</w:t>
      </w:r>
    </w:p>
    <w:p>
      <w:pPr>
        <w:pStyle w:val="ListParagraph"/>
        <w:numPr>
          <w:ilvl w:val="0"/>
          <w:numId w:val="2"/>
        </w:numPr>
        <w:spacing w:after="80" w:line="276"/>
        <w:jc w:val="both"/>
      </w:pPr>
      <w:r>
        <w:t xml:space="preserve">India's screening questionnaire ignores genetics, and no study has quantified what genetics adds for lean people in particular.</w:t>
      </w:r>
    </w:p>
    <w:p>
      <w:pPr>
        <w:pStyle w:val="ListParagraph"/>
        <w:numPr>
          <w:ilvl w:val="0"/>
          <w:numId w:val="2"/>
        </w:numPr>
        <w:spacing w:after="80" w:line="276"/>
        <w:jc w:val="both"/>
      </w:pPr>
      <w:r>
        <w:t xml:space="preserve">Consumer DNA files cover only about half of the variants in modern polygenic scores; filling the gaps with the population average biases every score towards the middle.</w:t>
      </w:r>
    </w:p>
    <w:p>
      <w:pPr>
        <w:pStyle w:val="Heading2"/>
        <w:keepNext/>
      </w:pPr>
      <w:r>
        <w:t xml:space="preserve">1.4 Problem Definition and Scope</w:t>
      </w:r>
    </w:p>
    <w:p>
      <w:pPr>
        <w:spacing w:after="120" w:before="0" w:line="276"/>
        <w:jc w:val="both"/>
      </w:pPr>
      <w:r>
        <w:rPr>
          <w:b/>
          <w:bCs/>
        </w:rPr>
        <w:t xml:space="preserve">Problem:</w:t>
      </w:r>
      <w:r>
        <w:t xml:space="preserve"> given genotypes and clinical answers for South Asian adults, (a) predict T2D risk more accurately than the IDRS and a BMI rule, with particular attention to lean people; (b) recover truly interacting gene pairs between diabetes mechanisms while controlling false discoveries; and (c) measure, against classical controls, whether quantum optimisation and quantum feature encoding help.</w:t>
      </w:r>
    </w:p>
    <w:p>
      <w:pPr>
        <w:spacing w:after="120" w:before="0" w:line="276"/>
        <w:jc w:val="both"/>
      </w:pPr>
      <w:r>
        <w:rPr>
          <w:b/>
          <w:bCs/>
        </w:rPr>
        <w:t xml:space="preserve">Scope:</w:t>
      </w:r>
      <w:r>
        <w:t xml:space="preserve"> the project uses the 2,504 real genomes of 1000 Genomes phase 3 (GRCh37), the D-PRISM score (1.34 million variants), five mechanism scores (62 SNPs) and 1,263 cross-mechanism SNP pairs. Outcomes are simulated with a liability-threshold model calibrated to Indian prevalence. Quantum circuits run on exact simulators and on a noise model of an IBM processor; a run on real IBM hardware is planned for the final evaluation. The application is a research prototype and not a medical device.</w:t>
      </w:r>
    </w:p>
    <w:p>
      <w:pPr>
        <w:pStyle w:val="Heading2"/>
        <w:keepNext/>
      </w:pPr>
      <w:r>
        <w:t xml:space="preserve">1.5 Assumptions and Constraints</w:t>
      </w:r>
    </w:p>
    <w:p>
      <w:pPr>
        <w:pStyle w:val="ListParagraph"/>
        <w:numPr>
          <w:ilvl w:val="0"/>
          <w:numId w:val="2"/>
        </w:numPr>
        <w:spacing w:after="80" w:line="276"/>
        <w:jc w:val="both"/>
      </w:pPr>
      <w:r>
        <w:t xml:space="preserve">Disease outcomes are simulated with known ground truth; genotypes, allele frequencies, linkage and polygenic weights are real.</w:t>
      </w:r>
    </w:p>
    <w:p>
      <w:pPr>
        <w:pStyle w:val="ListParagraph"/>
        <w:numPr>
          <w:ilvl w:val="0"/>
          <w:numId w:val="2"/>
        </w:numPr>
        <w:spacing w:after="80" w:line="276"/>
        <w:jc w:val="both"/>
      </w:pPr>
      <w:r>
        <w:t xml:space="preserve">Synthetic cohorts are mosaics of real South Asian haplotypes in one-megabase blocks, which keeps local linkage but removes population substructure.</w:t>
      </w:r>
    </w:p>
    <w:p>
      <w:pPr>
        <w:pStyle w:val="ListParagraph"/>
        <w:numPr>
          <w:ilvl w:val="0"/>
          <w:numId w:val="2"/>
        </w:numPr>
        <w:spacing w:after="80" w:line="276"/>
        <w:jc w:val="both"/>
      </w:pPr>
      <w:r>
        <w:t xml:space="preserve">Genotype files are on genome build GRCh37 and the forward strand, as 23andMe and AncestryDNA files are; other builds are rejected.</w:t>
      </w:r>
    </w:p>
    <w:p>
      <w:pPr>
        <w:pStyle w:val="ListParagraph"/>
        <w:numPr>
          <w:ilvl w:val="0"/>
          <w:numId w:val="2"/>
        </w:numPr>
        <w:spacing w:after="80" w:line="276"/>
        <w:jc w:val="both"/>
      </w:pPr>
      <w:r>
        <w:t xml:space="preserve">Quantum hardware access is limited to IBM's free Open Plan (10 QPU minutes per 28 days), so most quantum results come from exact and noisy simulators.</w:t>
      </w:r>
    </w:p>
    <w:p>
      <w:pPr>
        <w:pStyle w:val="ListParagraph"/>
        <w:numPr>
          <w:ilvl w:val="0"/>
          <w:numId w:val="2"/>
        </w:numPr>
        <w:spacing w:after="80" w:line="276"/>
        <w:jc w:val="both"/>
      </w:pPr>
      <w:r>
        <w:t xml:space="preserve">All computation runs on a 16-core laptop with 14 GB of memory; large steps are chunked to fit.</w:t>
      </w:r>
    </w:p>
    <w:p>
      <w:pPr>
        <w:pStyle w:val="Heading2"/>
        <w:keepNext/>
      </w:pPr>
      <w:r>
        <w:t xml:space="preserve">1.6 Standards</w:t>
      </w:r>
    </w:p>
    <w:p>
      <w:pPr>
        <w:pStyle w:val="ListParagraph"/>
        <w:numPr>
          <w:ilvl w:val="0"/>
          <w:numId w:val="2"/>
        </w:numPr>
        <w:spacing w:after="80" w:line="276"/>
        <w:jc w:val="both"/>
      </w:pPr>
      <w:r>
        <w:t xml:space="preserve">Genomic QC follows PLINK 2 conventions: minor-allele frequency ≥ 1%, genotype missingness ≤ 5%, Hardy–Weinberg p &gt; 10</w:t>
      </w:r>
      <w:r>
        <w:rPr>
          <w:vertAlign w:val="superscript"/>
        </w:rPr>
        <w:t xml:space="preserve">−6</w:t>
      </w:r>
      <w:r>
        <w:t xml:space="preserve"> in South Asians.</w:t>
      </w:r>
    </w:p>
    <w:p>
      <w:pPr>
        <w:pStyle w:val="ListParagraph"/>
        <w:numPr>
          <w:ilvl w:val="0"/>
          <w:numId w:val="2"/>
        </w:numPr>
        <w:spacing w:after="80" w:line="276"/>
        <w:jc w:val="both"/>
      </w:pPr>
      <w:r>
        <w:t xml:space="preserve">Polygenic weights come from harmonised GRCh37 scoring files of the PGS Catalog [6]; the IDRS is scored exactly as published [3].</w:t>
      </w:r>
    </w:p>
    <w:p>
      <w:pPr>
        <w:pStyle w:val="ListParagraph"/>
        <w:numPr>
          <w:ilvl w:val="0"/>
          <w:numId w:val="2"/>
        </w:numPr>
        <w:spacing w:after="80" w:line="276"/>
        <w:jc w:val="both"/>
      </w:pPr>
      <w:r>
        <w:t xml:space="preserve">Prediction models are reported with discrimination and calibration on held-out data, following the TRIPOD recommendations [7]; a model card documents intended use, data, performance, fairness and limits.</w:t>
      </w:r>
    </w:p>
    <w:p>
      <w:pPr>
        <w:pStyle w:val="ListParagraph"/>
        <w:numPr>
          <w:ilvl w:val="0"/>
          <w:numId w:val="2"/>
        </w:numPr>
        <w:spacing w:after="80" w:line="276"/>
        <w:jc w:val="both"/>
      </w:pPr>
      <w:r>
        <w:t xml:space="preserve">Code follows PEP 8 (checked by ruff), is covered by automated tests run on every push, and exposes a REST API with an OpenAPI description.</w:t>
      </w:r>
    </w:p>
    <w:p>
      <w:pPr>
        <w:pStyle w:val="ListParagraph"/>
        <w:numPr>
          <w:ilvl w:val="0"/>
          <w:numId w:val="2"/>
        </w:numPr>
        <w:spacing w:after="80" w:line="276"/>
        <w:jc w:val="both"/>
      </w:pPr>
      <w:r>
        <w:t xml:space="preserve">Every result records the hash of the configuration that produced it; fixed seeds make runs repeatable.</w:t>
      </w:r>
    </w:p>
    <w:p>
      <w:pPr>
        <w:pStyle w:val="Heading2"/>
        <w:keepNext/>
      </w:pPr>
      <w:r>
        <w:t xml:space="preserve">1.7 Approved Objectives</w:t>
      </w:r>
    </w:p>
    <w:p>
      <w:pPr>
        <w:keepNext/>
        <w:spacing w:after="60" w:before="0" w:line="276"/>
        <w:jc w:val="both"/>
      </w:pPr>
      <w:r>
        <w:t xml:space="preserve">The objectives approved at the mid-semester evaluation were:</w:t>
      </w:r>
    </w:p>
    <w:p>
      <w:pPr>
        <w:pStyle w:val="ListParagraph"/>
        <w:numPr>
          <w:ilvl w:val="0"/>
          <w:numId w:val="3"/>
        </w:numPr>
        <w:spacing w:after="80" w:line="276"/>
        <w:jc w:val="both"/>
      </w:pPr>
      <w:r>
        <w:t xml:space="preserve">Build a complete genomic data pipeline: QC, SNP selection, pair ranking and label generation.</w:t>
      </w:r>
    </w:p>
    <w:p>
      <w:pPr>
        <w:pStyle w:val="ListParagraph"/>
        <w:numPr>
          <w:ilvl w:val="0"/>
          <w:numId w:val="3"/>
        </w:numPr>
        <w:spacing w:after="80" w:line="276"/>
        <w:jc w:val="both"/>
      </w:pPr>
      <w:r>
        <w:t xml:space="preserve">Design and implement a variational quantum circuit encoder that produces interaction features for SNP pairs.</w:t>
      </w:r>
    </w:p>
    <w:p>
      <w:pPr>
        <w:pStyle w:val="ListParagraph"/>
        <w:numPr>
          <w:ilvl w:val="0"/>
          <w:numId w:val="3"/>
        </w:numPr>
        <w:spacing w:after="80" w:line="276"/>
        <w:jc w:val="both"/>
      </w:pPr>
      <w:r>
        <w:t xml:space="preserve">Train classical baselines (LR, RF, XGBoost, SVM) and compute a PRS as a clinical reference.</w:t>
      </w:r>
    </w:p>
    <w:p>
      <w:pPr>
        <w:pStyle w:val="ListParagraph"/>
        <w:numPr>
          <w:ilvl w:val="0"/>
          <w:numId w:val="3"/>
        </w:numPr>
        <w:spacing w:after="80" w:line="276"/>
        <w:jc w:val="both"/>
      </w:pPr>
      <w:r>
        <w:t xml:space="preserve">Build a hybrid stacking ensemble integrating quantum features, PRS and classical predictions.</w:t>
      </w:r>
    </w:p>
    <w:p>
      <w:pPr>
        <w:pStyle w:val="ListParagraph"/>
        <w:numPr>
          <w:ilvl w:val="0"/>
          <w:numId w:val="3"/>
        </w:numPr>
        <w:spacing w:after="80" w:line="276"/>
        <w:jc w:val="both"/>
      </w:pPr>
      <w:r>
        <w:t xml:space="preserve">Implement an adaptive SHAP-guided loop that refines the gene-pair selection.</w:t>
      </w:r>
    </w:p>
    <w:p>
      <w:pPr>
        <w:pStyle w:val="ListParagraph"/>
        <w:numPr>
          <w:ilvl w:val="0"/>
          <w:numId w:val="3"/>
        </w:numPr>
        <w:spacing w:after="80" w:line="276"/>
        <w:jc w:val="both"/>
      </w:pPr>
      <w:r>
        <w:t xml:space="preserve">Benchmark all models on a held-out test set using AUC-ROC, F1 and EDR@K, with DeLong and McNemar tests.</w:t>
      </w:r>
    </w:p>
    <w:p>
      <w:pPr>
        <w:spacing w:after="120" w:before="60" w:line="276"/>
        <w:jc w:val="both"/>
      </w:pPr>
      <w:r>
        <w:t xml:space="preserve">Section 6.1 reports the status of each objective.</w:t>
      </w:r>
    </w:p>
    <w:p>
      <w:pPr>
        <w:pStyle w:val="Heading2"/>
        <w:keepNext/>
      </w:pPr>
      <w:r>
        <w:t xml:space="preserve">1.8 Methodology</w:t>
      </w:r>
    </w:p>
    <w:p>
      <w:pPr>
        <w:spacing w:after="120" w:before="0" w:line="276"/>
        <w:jc w:val="both"/>
      </w:pPr>
      <w:r>
        <w:t xml:space="preserve">QGenomix follows an eight-stage pipeline: data preparation, synthetic cohort and outcome simulation, interaction search, pair selection (QUBO solved classically and by QAOA), quantum pair encoding, a model zoo of 17 predictors, evaluation in fifteen experiments, and the risk-report application. The investigative technique is comparative: every model sees identical data splits and is scored with identical metrics, and every quantum component has a classical twin. Because outcomes are simulated, the planted interactions are known, so discovery can be scored exactly. Chapter 3 describes the method and Chapter 5 the results.</w:t>
      </w:r>
    </w:p>
    <w:p>
      <w:pPr>
        <w:pStyle w:val="Heading2"/>
        <w:keepNext/>
      </w:pPr>
      <w:r>
        <w:t xml:space="preserve">1.9 Project Outcomes and Deliverables</w:t>
      </w:r>
    </w:p>
    <w:p>
      <w:pPr>
        <w:pStyle w:val="ListParagraph"/>
        <w:numPr>
          <w:ilvl w:val="0"/>
          <w:numId w:val="2"/>
        </w:numPr>
        <w:spacing w:after="80" w:line="276"/>
        <w:jc w:val="both"/>
      </w:pPr>
      <w:r>
        <w:t xml:space="preserve">A reproducible data pipeline on real 1000 Genomes data, with the D-PRISM score, mechanism scores and a South Asian haplotype library.</w:t>
      </w:r>
    </w:p>
    <w:p>
      <w:pPr>
        <w:pStyle w:val="ListParagraph"/>
        <w:numPr>
          <w:ilvl w:val="0"/>
          <w:numId w:val="2"/>
        </w:numPr>
        <w:spacing w:after="80" w:line="276"/>
        <w:jc w:val="both"/>
      </w:pPr>
      <w:r>
        <w:t xml:space="preserve">An outcome simulator with clinical factors and the IDRS, validated against the real population (E0).</w:t>
      </w:r>
    </w:p>
    <w:p>
      <w:pPr>
        <w:pStyle w:val="ListParagraph"/>
        <w:numPr>
          <w:ilvl w:val="0"/>
          <w:numId w:val="2"/>
        </w:numPr>
        <w:spacing w:after="80" w:line="276"/>
        <w:jc w:val="both"/>
      </w:pPr>
      <w:r>
        <w:t xml:space="preserve">An interaction search with QUBO selection and QAOA, including error mitigation and a script for real IBM hardware.</w:t>
      </w:r>
    </w:p>
    <w:p>
      <w:pPr>
        <w:pStyle w:val="ListParagraph"/>
        <w:numPr>
          <w:ilvl w:val="0"/>
          <w:numId w:val="2"/>
        </w:numPr>
        <w:spacing w:after="80" w:line="276"/>
        <w:jc w:val="both"/>
      </w:pPr>
      <w:r>
        <w:t xml:space="preserve">An 8-qubit variational pair encoder with its own exact simulator, and its classical controls.</w:t>
      </w:r>
    </w:p>
    <w:p>
      <w:pPr>
        <w:pStyle w:val="ListParagraph"/>
        <w:numPr>
          <w:ilvl w:val="0"/>
          <w:numId w:val="2"/>
        </w:numPr>
        <w:spacing w:after="80" w:line="276"/>
        <w:jc w:val="both"/>
      </w:pPr>
      <w:r>
        <w:t xml:space="preserve">A model zoo of 17 predictors and fifteen experiments (E0–E13), with statistical tests.</w:t>
      </w:r>
    </w:p>
    <w:p>
      <w:pPr>
        <w:pStyle w:val="ListParagraph"/>
        <w:numPr>
          <w:ilvl w:val="0"/>
          <w:numId w:val="2"/>
        </w:numPr>
        <w:spacing w:after="80" w:line="276"/>
        <w:jc w:val="both"/>
      </w:pPr>
      <w:r>
        <w:t xml:space="preserve">A risk-report application: dashboard, REST API, PDF report, LD imputation for consumer DNA files and a Docker image.</w:t>
      </w:r>
    </w:p>
    <w:p>
      <w:pPr>
        <w:pStyle w:val="ListParagraph"/>
        <w:numPr>
          <w:ilvl w:val="0"/>
          <w:numId w:val="2"/>
        </w:numPr>
        <w:spacing w:after="80" w:line="276"/>
        <w:jc w:val="both"/>
      </w:pPr>
      <w:r>
        <w:t xml:space="preserve">A test suite of 38 automated tests with continuous integration, a model card, and this report.</w:t>
      </w:r>
    </w:p>
    <w:p>
      <w:pPr>
        <w:pStyle w:val="Heading2"/>
        <w:keepNext/>
      </w:pPr>
      <w:r>
        <w:t xml:space="preserve">1.10 Novelty of Work</w:t>
      </w:r>
    </w:p>
    <w:p>
      <w:pPr>
        <w:pStyle w:val="ListParagraph"/>
        <w:numPr>
          <w:ilvl w:val="0"/>
          <w:numId w:val="2"/>
        </w:numPr>
        <w:spacing w:after="80" w:line="276"/>
        <w:jc w:val="both"/>
      </w:pPr>
      <w:r>
        <w:t xml:space="preserve">Tests for interaction between published T2D mechanism scores on real South Asian haplotypes, and measures the value of genetics for lean people against India's own screening questionnaire.</w:t>
      </w:r>
    </w:p>
    <w:p>
      <w:pPr>
        <w:pStyle w:val="ListParagraph"/>
        <w:numPr>
          <w:ilvl w:val="0"/>
          <w:numId w:val="2"/>
        </w:numPr>
        <w:spacing w:after="80" w:line="276"/>
        <w:jc w:val="both"/>
      </w:pPr>
      <w:r>
        <w:t xml:space="preserve">Poses gene-pair selection as a QUBO with an SNP-overlap redundancy term and solves it with a constraint-preserving QAOA started from a Dicke state, then measures it under realistic noise with error mitigation.</w:t>
      </w:r>
    </w:p>
    <w:p>
      <w:pPr>
        <w:pStyle w:val="ListParagraph"/>
        <w:numPr>
          <w:ilvl w:val="0"/>
          <w:numId w:val="2"/>
        </w:numPr>
        <w:spacing w:after="80" w:line="276"/>
        <w:jc w:val="both"/>
      </w:pPr>
      <w:r>
        <w:t xml:space="preserve">Gives every quantum component a matched classical control (annealing, the same circuit without entanglement, and a classical twin of similar size).</w:t>
      </w:r>
    </w:p>
    <w:p>
      <w:pPr>
        <w:pStyle w:val="ListParagraph"/>
        <w:numPr>
          <w:ilvl w:val="0"/>
          <w:numId w:val="2"/>
        </w:numPr>
        <w:spacing w:after="80" w:line="276"/>
        <w:jc w:val="both"/>
      </w:pPr>
      <w:r>
        <w:t xml:space="preserve">Introduces two task-specific metrics: EDR@K for interaction discovery and lean-case capture for screening.</w:t>
      </w:r>
    </w:p>
    <w:p>
      <w:pPr>
        <w:pStyle w:val="ListParagraph"/>
        <w:numPr>
          <w:ilvl w:val="0"/>
          <w:numId w:val="2"/>
        </w:numPr>
        <w:spacing w:after="80" w:line="276"/>
        <w:jc w:val="both"/>
      </w:pPr>
      <w:r>
        <w:t xml:space="preserve">Builds an LD imputation panel from South Asian reference genomes so that partial consumer DNA files give reliable reports.</w:t>
      </w:r>
    </w:p>
    <w:p>
      <w:pPr>
        <w:pStyle w:val="Heading2"/>
        <w:keepNext/>
      </w:pPr>
      <w:r>
        <w:t xml:space="preserve">1.11 Changes Since the Mid-Semester Evaluation</w:t>
      </w:r>
    </w:p>
    <w:p>
      <w:pPr>
        <w:spacing w:after="120" w:before="0" w:line="276"/>
        <w:jc w:val="both"/>
      </w:pPr>
      <w:r>
        <w:t xml:space="preserve">The mid-semester design was generic. Table 1 lists what changed and why; each change gives the project a measurable clinical outcome and a verifiable ground truth.</w:t>
      </w:r>
    </w:p>
    <w:p>
      <w:pPr>
        <w:keepNext/>
        <w:spacing w:after="80" w:before="120"/>
      </w:pPr>
      <w:r>
        <w:rPr>
          <w:b/>
          <w:bCs/>
          <w:sz w:val="22"/>
          <w:szCs w:val="22"/>
        </w:rPr>
        <w:t xml:space="preserve">Table 1: </w:t>
      </w:r>
      <w:r>
        <w:rPr>
          <w:sz w:val="22"/>
          <w:szCs w:val="22"/>
        </w:rPr>
        <w:t xml:space="preserve">Changes from the mid-semester plan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3336"/>
        <w:gridCol w:w="2700"/>
      </w:tblGrid>
      <w:tr>
        <w:trPr>
          <w:cantSplit/>
          <w:tblHeader/>
        </w:trPr>
        <w:tc>
          <w:tcPr>
            <w:tcW w:type="dxa" w:w="14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Aspect</w:t>
            </w:r>
          </w:p>
        </w:tc>
        <w:tc>
          <w:tcPr>
            <w:tcW w:type="dxa" w:w="19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Mid-semester plan</w:t>
            </w:r>
          </w:p>
        </w:tc>
        <w:tc>
          <w:tcPr>
            <w:tcW w:type="dxa" w:w="333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Implemented</w:t>
            </w:r>
          </w:p>
        </w:tc>
        <w:tc>
          <w:tcPr>
            <w:tcW w:type="dxa" w:w="27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Reason</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Clinical focus</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T2D in general</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Early-onset T2D in lean South Asians, compared with IDRS screening</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 specific, unmet need in India gives a measurable outcome</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Genotypes</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2,504 × 1,000 SNP matrix</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Full 1000 Genomes data; 10,000 synthetic South Asians built from real haplotypes</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Real allele frequencies and linkage; enough people to detect interactions</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Risk scores</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Literature GWAS betas (pending)</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D-PRISM South Asian PRS (1.34M variants) and 5 mechanism scores from the PGS Catalog</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Published, ancestry-matched weights</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Outcomes</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Labels with 20 hidden pairs</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Liability model: genetics, β-cell × lipodystrophy interaction, 10 planted pairs, age, sex, BMI, waist, activity, family history</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Known truth makes every discovery claim checkable</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Pair selection</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Adaptive SHAP loop</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Score test on 1,263 cross-mechanism pairs, then QUBO (annealing and QAOA)</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SHAP ranking found 33% of planted pairs, the score test 73% (E1)</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Quantum</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VQC encoder, 125 circuits</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QAOA with error mitigation; 12-circuit VQC with no-entanglement and classical-twin controls</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Controls isolate what the quantum part contributes</w:t>
            </w:r>
          </w:p>
        </w:tc>
      </w:tr>
      <w:tr>
        <w:trPr>
          <w:cantSplit/>
        </w:trPr>
        <w:tc>
          <w:tcPr>
            <w:tcW w:type="dxa" w:w="14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Output</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Benchmark table</w:t>
            </w:r>
          </w:p>
        </w:tc>
        <w:tc>
          <w:tcPr>
            <w:tcW w:type="dxa" w:w="33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Benchmark, web app with PDF report, REST API, Docker image</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Shows how the result reaches a clinician or a user</w:t>
            </w:r>
          </w:p>
        </w:tc>
      </w:tr>
    </w:tbl>
    <w:p>
      <w:pPr>
        <w:pStyle w:val="Heading1"/>
        <w:pageBreakBefore/>
      </w:pPr>
      <w:r>
        <w:t xml:space="preserve">CHAPTER 2: REQUIREMENT ANALYSIS</w:t>
      </w:r>
    </w:p>
    <w:p>
      <w:pPr>
        <w:pStyle w:val="Heading2"/>
        <w:keepNext/>
      </w:pPr>
      <w:r>
        <w:t xml:space="preserve">2.1 Literature Survey</w:t>
      </w:r>
    </w:p>
    <w:p>
      <w:pPr>
        <w:pStyle w:val="Heading3"/>
        <w:keepNext/>
      </w:pPr>
      <w:r>
        <w:t xml:space="preserve">2.1.1 Theory Associated With the Problem Area</w:t>
      </w:r>
    </w:p>
    <w:p>
      <w:pPr>
        <w:spacing w:after="120" w:before="0" w:line="276"/>
        <w:jc w:val="both"/>
      </w:pPr>
      <w:r>
        <w:t xml:space="preserve">A polygenic risk score (PRS) is a weighted sum of the risk alleles a person carries, with weights estimated by genome-wide association studies. Genome-wide scores can identify people whose risk equals that of carriers of rare monogenic mutations [8], and combining association studies from several ancestries improves accuracy outside Europeans [9, 10]. T2D variants also fall into mechanism clusters: two related to insulin production by β-cells and three to insulin resistance, including a lipodystrophy cluster that links fat distribution to risk at lower body weight [11].</w:t>
      </w:r>
    </w:p>
    <w:p>
      <w:pPr>
        <w:spacing w:after="120" w:before="0" w:line="276"/>
        <w:jc w:val="both"/>
      </w:pPr>
      <w:r>
        <w:t xml:space="preserve">A PRS is additive: it assumes each variant's effect does not depend on any other. Gene–gene interaction (epistasis) breaks this assumption, but detecting it is hard because the number of pairs is large, power is low and nearby variants in linkage disequilibrium create redundant signals [12].</w:t>
      </w:r>
    </w:p>
    <w:p>
      <w:pPr>
        <w:spacing w:after="120" w:before="0" w:line="276"/>
        <w:jc w:val="both"/>
      </w:pPr>
      <w:r>
        <w:t xml:space="preserve">Choosing the best k of n candidate pairs while penalising redundancy is a quadratic unconstrained binary optimisation (QUBO) problem, which maps directly onto an Ising Hamiltonian [13]. The Quantum Approximate Optimisation Algorithm (QAOA) prepares a parameterised quantum state whose measurements favour low energies [14]; constraint-preserving mixers keep the search inside the set of valid selections [15]. Variational quantum circuits with data re-uploading can act as trainable feature maps [16, 17]. On today's noisy processors, error-mitigation methods such as zero-noise extrapolation and readout correction reduce the bias of measured results [18, 19].</w:t>
      </w:r>
    </w:p>
    <w:p>
      <w:pPr>
        <w:pStyle w:val="Heading3"/>
        <w:keepNext/>
      </w:pPr>
      <w:r>
        <w:t xml:space="preserve">2.1.2 Existing Systems and Solutions</w:t>
      </w:r>
    </w:p>
    <w:p>
      <w:pPr>
        <w:spacing w:after="120" w:before="0" w:line="276"/>
        <w:jc w:val="both"/>
      </w:pPr>
      <w:r>
        <w:t xml:space="preserve">PLINK [20] is the standard toolset for genotype QC and polygenic scoring, and BOOST [21] made exhaustive pairwise interaction screening fast. Polygenic scores are distributed through the PGS Catalog. Clinical screening in India uses the IDRS questionnaire. Missing genotypes are normally filled by imputation servers that use reference haplotypes [22, 23]. Quantum software frameworks (Qiskit, PennyLane) make circuits easy to build and simulate, but no existing system joins these pieces into one benchmarked pipeline for South Asian diabetes screening.</w:t>
      </w:r>
    </w:p>
    <w:p>
      <w:pPr>
        <w:pStyle w:val="Heading3"/>
        <w:keepNext/>
      </w:pPr>
      <w:r>
        <w:t xml:space="preserve">2.1.3 Literature Survey Table</w:t>
      </w:r>
    </w:p>
    <w:p>
      <w:pPr>
        <w:keepNext/>
        <w:spacing w:after="80" w:before="120"/>
      </w:pPr>
      <w:r>
        <w:rPr>
          <w:b/>
          <w:bCs/>
          <w:sz w:val="22"/>
          <w:szCs w:val="22"/>
        </w:rPr>
        <w:t xml:space="preserve">Table 2: </w:t>
      </w:r>
      <w:r>
        <w:rPr>
          <w:sz w:val="22"/>
          <w:szCs w:val="22"/>
        </w:rPr>
        <w:t xml:space="preserve">Literature survey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1500"/>
        <w:gridCol w:w="2500"/>
        <w:gridCol w:w="2236"/>
        <w:gridCol w:w="800"/>
      </w:tblGrid>
      <w:tr>
        <w:trPr>
          <w:cantSplit/>
          <w:tblHeader/>
        </w:trPr>
        <w:tc>
          <w:tcPr>
            <w:tcW w:type="dxa" w:w="4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S.No</w:t>
            </w:r>
          </w:p>
        </w:tc>
        <w:tc>
          <w:tcPr>
            <w:tcW w:type="dxa" w:w="19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Paper</w:t>
            </w:r>
          </w:p>
        </w:tc>
        <w:tc>
          <w:tcPr>
            <w:tcW w:type="dxa" w:w="15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Tools / Tech</w:t>
            </w:r>
          </w:p>
        </w:tc>
        <w:tc>
          <w:tcPr>
            <w:tcW w:type="dxa" w:w="25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Key Finding</w:t>
            </w:r>
          </w:p>
        </w:tc>
        <w:tc>
          <w:tcPr>
            <w:tcW w:type="dxa" w:w="223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Limitation</w:t>
            </w:r>
          </w:p>
        </w:tc>
        <w:tc>
          <w:tcPr>
            <w:tcW w:type="dxa" w:w="8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Citation</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Khera et al., 2018</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Genome-wide PRS, UK Biobank</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Genome-wide PRS find a few percent of people with risk equal to monogenic mutations, including for T2D</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Mostly European ancestry; additive only</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[8]</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2</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Udler et al., 2018</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Soft clustering of T2D loci</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T2D variants split into five mechanism clusters (two β-cell, three insulin resistance)</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European-centred; no interaction tested</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[11]</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3</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Ruan et al., 2022</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PRS-CSx</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Combining GWAS from several ancestries improves PRS accuracy in non-European groups</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Additive; needs ancestry-matched tuning</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[9]</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4</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Mahajan et al., 2022</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Multi-ancestry T2D GWAS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Diverse populations increase locus discovery and improve PRS transfer across ancestries</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South Asian samples still a minority</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[10]</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5</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Mohan et al., 2005</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Indian Diabetes Risk Score</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Four questions (age, waist, activity, family history) screen for undiagnosed diabetes in India</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No genetic information; scores young, slim people low</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[3]</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6</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Cordell, 2009</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Review of interaction methods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Regression, exhaustive and data-mining approaches to gene–gene interaction</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Low power and heavy multiple testing at genome scale</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[12]</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7</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Wan et al., 2010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BOOST</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Boolean genotype encoding makes exhaustive pairwise screening fast</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Approximate first stage; redundant pairs in LD not handled</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[21]</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8</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Hadfield et al., 2019</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QAOA, constraint-preserving mixers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Mixers such as XY keep the search inside the feasible set</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Benefit on noisy hardware not established</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[15]</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9</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Havlíček et al., 2019</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Quantum feature maps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Quantum kernels and variational classifiers run on superconducting hardware</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Small synthetic data; no advantage shown on real data</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[17]</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10</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Temme et al., 2017</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Zero-noise extrapolation</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Extrapolating from amplified noise reduces the bias of noisy results</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More sampling; assumes noise scales predictably</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[18]</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11</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Marchini and Howie, 2010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Genotype imputation</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Untyped variants can be predicted from reference haplotypes using LD</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Accuracy depends on panel size and ancestry</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[22]</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12</w:t>
            </w:r>
          </w:p>
        </w:tc>
        <w:tc>
          <w:tcPr>
            <w:tcW w:type="dxa" w:w="1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Lundberg and Lee, 2017</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SHAP</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Consistent, theoretically grounded attributions for any model</w:t>
            </w:r>
          </w:p>
        </w:tc>
        <w:tc>
          <w:tcPr>
            <w:tcW w:type="dxa" w:w="22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19"/>
                <w:szCs w:val="19"/>
              </w:rPr>
              <w:t xml:space="preserve">Post hoc; attributions are not causal</w:t>
            </w:r>
          </w:p>
        </w:tc>
        <w:tc>
          <w:tcPr>
            <w:tcW w:type="dxa" w:w="8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19"/>
                <w:szCs w:val="19"/>
              </w:rPr>
              <w:t xml:space="preserve">[24]</w:t>
            </w:r>
          </w:p>
        </w:tc>
      </w:tr>
    </w:tbl>
    <w:p>
      <w:pPr>
        <w:pStyle w:val="Heading3"/>
        <w:keepNext/>
      </w:pPr>
      <w:r>
        <w:t xml:space="preserve">2.1.4 Problem Identified</w:t>
      </w:r>
    </w:p>
    <w:p>
      <w:pPr>
        <w:spacing w:after="120" w:before="0" w:line="276"/>
        <w:jc w:val="both"/>
      </w:pPr>
      <w:r>
        <w:t xml:space="preserve">Existing work treats polygenic risk as additive, studies interactions without handling redundancy, reports quantum methods without classical controls or noise, and offers no way to turn a partial consumer DNA file into a reliable report for South Asians. QGenomix addresses all four in one benchmarked, reproducible system.</w:t>
      </w:r>
    </w:p>
    <w:p>
      <w:pPr>
        <w:pStyle w:val="Heading3"/>
        <w:keepNext/>
      </w:pPr>
      <w:r>
        <w:t xml:space="preserve">2.1.5 Survey of Tools and Technologies Used</w:t>
      </w:r>
    </w:p>
    <w:p>
      <w:pPr>
        <w:pStyle w:val="ListParagraph"/>
        <w:numPr>
          <w:ilvl w:val="0"/>
          <w:numId w:val="2"/>
        </w:numPr>
        <w:spacing w:after="80" w:line="276"/>
        <w:jc w:val="both"/>
      </w:pPr>
      <w:r>
        <w:rPr>
          <w:b/>
          <w:bCs/>
        </w:rPr>
        <w:t xml:space="preserve">PLINK 2 and PLINK 1.9:</w:t>
      </w:r>
      <w:r>
        <w:t xml:space="preserve"> genotype QC, PCA, polygenic scoring and the BOOST interaction baseline.</w:t>
      </w:r>
    </w:p>
    <w:p>
      <w:pPr>
        <w:pStyle w:val="ListParagraph"/>
        <w:numPr>
          <w:ilvl w:val="0"/>
          <w:numId w:val="2"/>
        </w:numPr>
        <w:spacing w:after="80" w:line="276"/>
        <w:jc w:val="both"/>
      </w:pPr>
      <w:r>
        <w:rPr>
          <w:b/>
          <w:bCs/>
        </w:rPr>
        <w:t xml:space="preserve">NumPy, pandas, SciPy, statsmodels:</w:t>
      </w:r>
      <w:r>
        <w:t xml:space="preserve"> data handling and statistics, including the vectorised score test.</w:t>
      </w:r>
    </w:p>
    <w:p>
      <w:pPr>
        <w:pStyle w:val="ListParagraph"/>
        <w:numPr>
          <w:ilvl w:val="0"/>
          <w:numId w:val="2"/>
        </w:numPr>
        <w:spacing w:after="80" w:line="276"/>
        <w:jc w:val="both"/>
      </w:pPr>
      <w:r>
        <w:rPr>
          <w:b/>
          <w:bCs/>
        </w:rPr>
        <w:t xml:space="preserve">scikit-learn and XGBoost:</w:t>
      </w:r>
      <w:r>
        <w:t xml:space="preserve"> classical models, calibration and cross-validation.</w:t>
      </w:r>
    </w:p>
    <w:p>
      <w:pPr>
        <w:pStyle w:val="ListParagraph"/>
        <w:numPr>
          <w:ilvl w:val="0"/>
          <w:numId w:val="2"/>
        </w:numPr>
        <w:spacing w:after="80" w:line="276"/>
        <w:jc w:val="both"/>
      </w:pPr>
      <w:r>
        <w:rPr>
          <w:b/>
          <w:bCs/>
        </w:rPr>
        <w:t xml:space="preserve">PyTorch and PennyLane:</w:t>
      </w:r>
      <w:r>
        <w:t xml:space="preserve"> training the variational circuits; PennyLane also checks our own exact simulator.</w:t>
      </w:r>
    </w:p>
    <w:p>
      <w:pPr>
        <w:pStyle w:val="ListParagraph"/>
        <w:numPr>
          <w:ilvl w:val="0"/>
          <w:numId w:val="2"/>
        </w:numPr>
        <w:spacing w:after="80" w:line="276"/>
        <w:jc w:val="both"/>
      </w:pPr>
      <w:r>
        <w:rPr>
          <w:b/>
          <w:bCs/>
        </w:rPr>
        <w:t xml:space="preserve">Qiskit, Qiskit Aer and Qiskit IBM Runtime:</w:t>
      </w:r>
      <w:r>
        <w:t xml:space="preserve"> QAOA circuits, noisy simulation and access to IBM hardware.</w:t>
      </w:r>
    </w:p>
    <w:p>
      <w:pPr>
        <w:pStyle w:val="ListParagraph"/>
        <w:numPr>
          <w:ilvl w:val="0"/>
          <w:numId w:val="2"/>
        </w:numPr>
        <w:spacing w:after="80" w:line="276"/>
        <w:jc w:val="both"/>
      </w:pPr>
      <w:r>
        <w:rPr>
          <w:b/>
          <w:bCs/>
        </w:rPr>
        <w:t xml:space="preserve">dwave-samplers:</w:t>
      </w:r>
      <w:r>
        <w:t xml:space="preserve"> simulated annealing for the QUBO.</w:t>
      </w:r>
    </w:p>
    <w:p>
      <w:pPr>
        <w:pStyle w:val="ListParagraph"/>
        <w:numPr>
          <w:ilvl w:val="0"/>
          <w:numId w:val="2"/>
        </w:numPr>
        <w:spacing w:after="80" w:line="276"/>
        <w:jc w:val="both"/>
      </w:pPr>
      <w:r>
        <w:rPr>
          <w:b/>
          <w:bCs/>
        </w:rPr>
        <w:t xml:space="preserve">SHAP:</w:t>
      </w:r>
      <w:r>
        <w:t xml:space="preserve"> per-person explanations of the model.</w:t>
      </w:r>
    </w:p>
    <w:p>
      <w:pPr>
        <w:pStyle w:val="ListParagraph"/>
        <w:numPr>
          <w:ilvl w:val="0"/>
          <w:numId w:val="2"/>
        </w:numPr>
        <w:spacing w:after="80" w:line="276"/>
        <w:jc w:val="both"/>
      </w:pPr>
      <w:r>
        <w:rPr>
          <w:b/>
          <w:bCs/>
        </w:rPr>
        <w:t xml:space="preserve">FastAPI, Streamlit, fpdf2 and Docker:</w:t>
      </w:r>
      <w:r>
        <w:t xml:space="preserve"> the REST API, the dashboard, the PDF report and deployment.</w:t>
      </w:r>
    </w:p>
    <w:p>
      <w:pPr>
        <w:pStyle w:val="ListParagraph"/>
        <w:numPr>
          <w:ilvl w:val="0"/>
          <w:numId w:val="2"/>
        </w:numPr>
        <w:spacing w:after="80" w:line="276"/>
        <w:jc w:val="both"/>
      </w:pPr>
      <w:r>
        <w:rPr>
          <w:b/>
          <w:bCs/>
        </w:rPr>
        <w:t xml:space="preserve">pytest, ruff and GitHub Actions:</w:t>
      </w:r>
      <w:r>
        <w:t xml:space="preserve"> testing, style checks and continuous integration.</w:t>
      </w:r>
    </w:p>
    <w:p>
      <w:pPr>
        <w:pStyle w:val="Heading2"/>
        <w:keepNext/>
      </w:pPr>
      <w:r>
        <w:t xml:space="preserve">2.2 Software Requirement Specification</w:t>
      </w:r>
    </w:p>
    <w:p>
      <w:pPr>
        <w:pStyle w:val="Heading3"/>
        <w:keepNext/>
      </w:pPr>
      <w:r>
        <w:t xml:space="preserve">2.2.1 Purpose, Audience and Scope</w:t>
      </w:r>
    </w:p>
    <w:p>
      <w:pPr>
        <w:spacing w:after="120" w:before="0" w:line="276"/>
        <w:jc w:val="both"/>
      </w:pPr>
      <w:r>
        <w:t xml:space="preserve">This specification defines what the QGenomix research pipeline and application must do. Its readers are the development team, the mentor and the evaluation panel. The system covers data ingestion, simulation, interaction search, quantum and classical modelling, evaluation and the risk-report application; it excludes clinical deployment and any use for diagnosis.</w:t>
      </w:r>
    </w:p>
    <w:p>
      <w:pPr>
        <w:pStyle w:val="Heading3"/>
        <w:keepNext/>
      </w:pPr>
      <w:r>
        <w:t xml:space="preserve">2.2.2 Product Perspective and Features</w:t>
      </w:r>
    </w:p>
    <w:p>
      <w:pPr>
        <w:spacing w:after="120" w:before="0" w:line="276"/>
        <w:jc w:val="both"/>
      </w:pPr>
      <w:r>
        <w:t xml:space="preserve">QGenomix is a standalone system with two parts: a research pipeline that turns public data into results and figures, and an application that turns one person's DNA file and questionnaire answers into a report. Both share one Python package and one configuration file.</w:t>
      </w:r>
    </w:p>
    <w:p>
      <w:pPr>
        <w:pStyle w:val="Heading3"/>
        <w:keepNext/>
      </w:pPr>
      <w:r>
        <w:t xml:space="preserve">2.2.3 Functional Requirements</w:t>
      </w:r>
    </w:p>
    <w:p>
      <w:pPr>
        <w:keepNext/>
        <w:spacing w:after="80" w:before="120"/>
      </w:pPr>
      <w:r>
        <w:rPr>
          <w:b/>
          <w:bCs/>
          <w:sz w:val="22"/>
          <w:szCs w:val="22"/>
        </w:rPr>
        <w:t xml:space="preserve">Table 3: </w:t>
      </w:r>
      <w:r>
        <w:rPr>
          <w:sz w:val="22"/>
          <w:szCs w:val="22"/>
        </w:rPr>
        <w:t xml:space="preserve">Functional requirements and where they are implemented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86"/>
      </w:tblGrid>
      <w:tr>
        <w:trPr>
          <w:cantSplit/>
          <w:tblHeader/>
        </w:trPr>
        <w:tc>
          <w:tcPr>
            <w:tcW w:type="dxa" w:w="7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ID</w:t>
            </w:r>
          </w:p>
        </w:tc>
        <w:tc>
          <w:tcPr>
            <w:tcW w:type="dxa" w:w="5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Requirement</w:t>
            </w:r>
          </w:p>
        </w:tc>
        <w:tc>
          <w:tcPr>
            <w:tcW w:type="dxa" w:w="36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Implemented in</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FR1</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Read 23andMe and AncestryDNA files on GRCh37; reject other builds and malformed files</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app.parser, app.service</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FR2</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Fill in variants missing from the file using LD with measured neighbours</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data.impute</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FR3</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Compute the D-PRISM PRS, five mechanism scores and 62 SNP dosages</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app.service</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FR4</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Score the IDRS from the questionnaire</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clinical</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FR5</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Predict calibrated risk with tier and percentile</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app.bundle</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FR6</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Explain the result: mechanism percentiles, SHAP-ranked SNP pairs, BMI and IDRS screening flags</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app.service</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FR7</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Show lifestyle what-ifs with genes, age and family history fixed</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app.service, app.dashboard</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FR8</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Provide the report on screen, as JSON and as a PDF</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app.dashboard, app.api, app.pdf</w:t>
            </w:r>
          </w:p>
        </w:tc>
      </w:tr>
      <w:tr>
        <w:trPr>
          <w:cantSplit/>
        </w:trPr>
        <w:tc>
          <w:tcPr>
            <w:tcW w:type="dxa" w:w="7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FR9</w:t>
            </w:r>
          </w:p>
        </w:tc>
        <w:tc>
          <w:tcPr>
            <w:tcW w:type="dxa" w:w="5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Rebuild every result from raw data with one command per step</w:t>
            </w:r>
          </w:p>
        </w:tc>
        <w:tc>
          <w:tcPr>
            <w:tcW w:type="dxa" w:w="3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Makefile, scripts/</w:t>
            </w:r>
          </w:p>
        </w:tc>
      </w:tr>
    </w:tbl>
    <w:p>
      <w:pPr>
        <w:pStyle w:val="Heading3"/>
        <w:keepNext/>
      </w:pPr>
      <w:r>
        <w:t xml:space="preserve">2.2.4 External Interface Requirements</w:t>
      </w:r>
    </w:p>
    <w:p>
      <w:pPr>
        <w:pStyle w:val="ListParagraph"/>
        <w:numPr>
          <w:ilvl w:val="0"/>
          <w:numId w:val="2"/>
        </w:numPr>
        <w:spacing w:after="80" w:line="276"/>
        <w:jc w:val="both"/>
      </w:pPr>
      <w:r>
        <w:rPr>
          <w:b/>
          <w:bCs/>
        </w:rPr>
        <w:t xml:space="preserve">User interfaces:</w:t>
      </w:r>
      <w:r>
        <w:t xml:space="preserve"> a Streamlit dashboard (report, clinician view, research results, model card) and a downloadable PDF.</w:t>
      </w:r>
    </w:p>
    <w:p>
      <w:pPr>
        <w:pStyle w:val="ListParagraph"/>
        <w:numPr>
          <w:ilvl w:val="0"/>
          <w:numId w:val="2"/>
        </w:numPr>
        <w:spacing w:after="80" w:line="276"/>
        <w:jc w:val="both"/>
      </w:pPr>
      <w:r>
        <w:rPr>
          <w:b/>
          <w:bCs/>
        </w:rPr>
        <w:t xml:space="preserve">Software interfaces:</w:t>
      </w:r>
      <w:r>
        <w:t xml:space="preserve"> a REST API (</w:t>
      </w:r>
      <w:r>
        <w:rPr>
          <w:rFonts w:ascii="Consolas" w:cs="Consolas" w:eastAsia="Consolas" w:hAnsi="Consolas"/>
          <w:sz w:val="21"/>
          <w:szCs w:val="21"/>
        </w:rPr>
        <w:t xml:space="preserve">POST /v1/profile</w:t>
      </w:r>
      <w:r>
        <w:t xml:space="preserve">, </w:t>
      </w:r>
      <w:r>
        <w:rPr>
          <w:rFonts w:ascii="Consolas" w:cs="Consolas" w:eastAsia="Consolas" w:hAnsi="Consolas"/>
          <w:sz w:val="21"/>
          <w:szCs w:val="21"/>
        </w:rPr>
        <w:t xml:space="preserve">POST /v1/report.pdf</w:t>
      </w:r>
      <w:r>
        <w:t xml:space="preserve">) with OpenAPI documentation; PLINK binaries; Qiskit IBM Runtime for hardware runs.</w:t>
      </w:r>
    </w:p>
    <w:p>
      <w:pPr>
        <w:pStyle w:val="ListParagraph"/>
        <w:numPr>
          <w:ilvl w:val="0"/>
          <w:numId w:val="2"/>
        </w:numPr>
        <w:spacing w:after="80" w:line="276"/>
        <w:jc w:val="both"/>
      </w:pPr>
      <w:r>
        <w:rPr>
          <w:b/>
          <w:bCs/>
        </w:rPr>
        <w:t xml:space="preserve">Hardware interfaces:</w:t>
      </w:r>
      <w:r>
        <w:t xml:space="preserve"> a laptop with 16 GB of memory runs everything; IBM quantum processors are reached through the cloud.</w:t>
      </w:r>
    </w:p>
    <w:p>
      <w:pPr>
        <w:pStyle w:val="Heading3"/>
        <w:keepNext/>
      </w:pPr>
      <w:r>
        <w:t xml:space="preserve">2.2.5 Non-functional Requirements</w:t>
      </w:r>
    </w:p>
    <w:p>
      <w:pPr>
        <w:pStyle w:val="ListParagraph"/>
        <w:numPr>
          <w:ilvl w:val="0"/>
          <w:numId w:val="2"/>
        </w:numPr>
        <w:spacing w:after="80" w:line="276"/>
        <w:jc w:val="both"/>
      </w:pPr>
      <w:r>
        <w:rPr>
          <w:b/>
          <w:bCs/>
        </w:rPr>
        <w:t xml:space="preserve">Performance:</w:t>
      </w:r>
      <w:r>
        <w:t xml:space="preserve"> a report from a 46 MB genome file in about 10 seconds; what-if updates in under a second; the full research pipeline in about three hours on 16 cores.</w:t>
      </w:r>
    </w:p>
    <w:p>
      <w:pPr>
        <w:pStyle w:val="ListParagraph"/>
        <w:numPr>
          <w:ilvl w:val="0"/>
          <w:numId w:val="2"/>
        </w:numPr>
        <w:spacing w:after="80" w:line="276"/>
        <w:jc w:val="both"/>
      </w:pPr>
      <w:r>
        <w:rPr>
          <w:b/>
          <w:bCs/>
        </w:rPr>
        <w:t xml:space="preserve">Safety:</w:t>
      </w:r>
      <w:r>
        <w:t xml:space="preserve"> every report states that it is a research prototype trained on simulated outcomes and is not a diagnosis.</w:t>
      </w:r>
    </w:p>
    <w:p>
      <w:pPr>
        <w:pStyle w:val="ListParagraph"/>
        <w:numPr>
          <w:ilvl w:val="0"/>
          <w:numId w:val="2"/>
        </w:numPr>
        <w:spacing w:after="80" w:line="276"/>
        <w:jc w:val="both"/>
      </w:pPr>
      <w:r>
        <w:rPr>
          <w:b/>
          <w:bCs/>
        </w:rPr>
        <w:t xml:space="preserve">Security and privacy:</w:t>
      </w:r>
      <w:r>
        <w:t xml:space="preserve"> uploaded files are processed in memory and never stored or logged; API keys are never kept in the repository; the container runs as a non-root user.</w:t>
      </w:r>
    </w:p>
    <w:p>
      <w:pPr>
        <w:pStyle w:val="ListParagraph"/>
        <w:numPr>
          <w:ilvl w:val="0"/>
          <w:numId w:val="2"/>
        </w:numPr>
        <w:spacing w:after="80" w:line="276"/>
        <w:jc w:val="both"/>
      </w:pPr>
      <w:r>
        <w:rPr>
          <w:b/>
          <w:bCs/>
        </w:rPr>
        <w:t xml:space="preserve">Reliability and portability:</w:t>
      </w:r>
      <w:r>
        <w:t xml:space="preserve"> 38 automated tests on every push; one Docker image runs the dashboard and the API on any operating system.</w:t>
      </w:r>
    </w:p>
    <w:p>
      <w:pPr>
        <w:pStyle w:val="Heading2"/>
        <w:keepNext/>
      </w:pPr>
      <w:r>
        <w:t xml:space="preserve">2.3 Cost Analysis</w:t>
      </w:r>
    </w:p>
    <w:p>
      <w:pPr>
        <w:keepNext/>
        <w:spacing w:after="80" w:before="120"/>
      </w:pPr>
      <w:r>
        <w:rPr>
          <w:b/>
          <w:bCs/>
          <w:sz w:val="22"/>
          <w:szCs w:val="22"/>
        </w:rPr>
        <w:t xml:space="preserve">Table 4: </w:t>
      </w:r>
      <w:r>
        <w:rPr>
          <w:sz w:val="22"/>
          <w:szCs w:val="22"/>
        </w:rPr>
        <w:t xml:space="preserve">Cost analysis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886"/>
        <w:gridCol w:w="2500"/>
      </w:tblGrid>
      <w:tr>
        <w:trPr>
          <w:cantSplit/>
          <w:tblHeader/>
        </w:trPr>
        <w:tc>
          <w:tcPr>
            <w:tcW w:type="dxa" w:w="3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Item</w:t>
            </w:r>
          </w:p>
        </w:tc>
        <w:tc>
          <w:tcPr>
            <w:tcW w:type="dxa" w:w="38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Source</w:t>
            </w:r>
          </w:p>
        </w:tc>
        <w:tc>
          <w:tcPr>
            <w:tcW w:type="dxa" w:w="25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Cost</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Genotype data</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1000 Genomes Project, public</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Polygenic scores</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PGS Catalog, public</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Software</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Open-source libraries and tools (Table 7)</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Computing</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Team laptops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No additional cost</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Quantum hardware</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IBM Quantum Open Plan, 10 QPU minutes per 28 days</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Code hosting and CI</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GitHub</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Public demo hosting</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 tier of a container host</w:t>
            </w: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Free</w:t>
            </w:r>
          </w:p>
        </w:tc>
      </w:tr>
      <w:tr>
        <w:trPr>
          <w:cantSplit/>
        </w:trPr>
        <w:tc>
          <w:tcPr>
            <w:tcW w:type="dxa" w:w="3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b/>
                <w:bCs/>
                <w:sz w:val="20"/>
                <w:szCs w:val="20"/>
              </w:rPr>
              <w:t xml:space="preserve">Total</w:t>
            </w:r>
          </w:p>
        </w:tc>
        <w:tc>
          <w:tcPr>
            <w:tcW w:type="dxa" w:w="38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p>
        </w:tc>
        <w:tc>
          <w:tcPr>
            <w:tcW w:type="dxa" w:w="2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b/>
                <w:bCs/>
                <w:sz w:val="20"/>
                <w:szCs w:val="20"/>
              </w:rPr>
              <w:t xml:space="preserve">₹0</w:t>
            </w:r>
          </w:p>
        </w:tc>
      </w:tr>
    </w:tbl>
    <w:p>
      <w:pPr>
        <w:pStyle w:val="Heading2"/>
        <w:keepNext/>
        <w:pageBreakBefore/>
      </w:pPr>
      <w:r>
        <w:t xml:space="preserve">2.4 Risk Analysis</w:t>
      </w:r>
    </w:p>
    <w:p>
      <w:pPr>
        <w:keepNext/>
        <w:spacing w:after="80" w:before="120"/>
      </w:pPr>
      <w:r>
        <w:rPr>
          <w:b/>
          <w:bCs/>
          <w:sz w:val="22"/>
          <w:szCs w:val="22"/>
        </w:rPr>
        <w:t xml:space="preserve">Table 5: </w:t>
      </w:r>
      <w:r>
        <w:rPr>
          <w:sz w:val="22"/>
          <w:szCs w:val="22"/>
        </w:rPr>
        <w:t xml:space="preserve">Risk analysis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950"/>
        <w:gridCol w:w="4686"/>
      </w:tblGrid>
      <w:tr>
        <w:trPr>
          <w:cantSplit/>
          <w:tblHeader/>
        </w:trPr>
        <w:tc>
          <w:tcPr>
            <w:tcW w:type="dxa" w:w="26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Risk</w:t>
            </w:r>
          </w:p>
        </w:tc>
        <w:tc>
          <w:tcPr>
            <w:tcW w:type="dxa" w:w="11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Likelihood</w:t>
            </w:r>
          </w:p>
        </w:tc>
        <w:tc>
          <w:tcPr>
            <w:tcW w:type="dxa" w:w="9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Impact</w:t>
            </w:r>
          </w:p>
        </w:tc>
        <w:tc>
          <w:tcPr>
            <w:tcW w:type="dxa" w:w="46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Mitigation</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Simulated outcomes do not match real disease biology</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Real genotypes and published weights; robustness across 13 simulator settings (E12); validation on a real Indian cohort planned</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Hardware noise destroys QAOA quality</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Constraint-preserving mixer; error mitigation (E7b); rehearsal on the IBM noise model</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Partial consumer DNA files bias the reported risk</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LD imputation (E13) and a coverage warning in every report</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 leakage inflates accuracy</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All selection and fitting inside each cross-validation fold; untouched 20% test set</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Memory limits with 84 million variants</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Extract only target variants; chunked processing with memory caps</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Results differ between machines</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Low</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Medium</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Fixed seeds, configuration hash, tightened solver tolerance, continuous integration</w:t>
            </w:r>
          </w:p>
        </w:tc>
      </w:tr>
      <w:tr>
        <w:trPr>
          <w:cantSplit/>
        </w:trPr>
        <w:tc>
          <w:tcPr>
            <w:tcW w:type="dxa" w:w="26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The app is mistaken for a diagnostic tool</w:t>
            </w:r>
          </w:p>
        </w:tc>
        <w:tc>
          <w:tcPr>
            <w:tcW w:type="dxa" w:w="11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Low</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High</w:t>
            </w:r>
          </w:p>
        </w:tc>
        <w:tc>
          <w:tcPr>
            <w:tcW w:type="dxa" w:w="46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Disclaimer on every report; model card; research-prototype labelling</w:t>
            </w:r>
          </w:p>
        </w:tc>
      </w:tr>
    </w:tbl>
    <w:p>
      <w:pPr>
        <w:pStyle w:val="Heading1"/>
        <w:pageBreakBefore/>
      </w:pPr>
      <w:r>
        <w:t xml:space="preserve">CHAPTER 3: METHODOLOGY ADOPTED</w:t>
      </w:r>
    </w:p>
    <w:p>
      <w:pPr>
        <w:pStyle w:val="Heading2"/>
        <w:keepNext/>
      </w:pPr>
      <w:r>
        <w:t xml:space="preserve">3.1 Investigative Techniques</w:t>
      </w:r>
    </w:p>
    <w:p>
      <w:pPr>
        <w:spacing w:after="120" w:before="0" w:line="276"/>
        <w:jc w:val="both"/>
      </w:pPr>
      <w:r>
        <w:t xml:space="preserve">QGenomix uses four complementary techniques. </w:t>
      </w:r>
      <w:r>
        <w:rPr>
          <w:b/>
          <w:bCs/>
        </w:rPr>
        <w:t xml:space="preserve">Comparative:</w:t>
      </w:r>
      <w:r>
        <w:t xml:space="preserve"> all 17 predictors are trained on identical splits and scored with identical metrics. </w:t>
      </w:r>
      <w:r>
        <w:rPr>
          <w:b/>
          <w:bCs/>
        </w:rPr>
        <w:t xml:space="preserve">Simulation with ground truth:</w:t>
      </w:r>
      <w:r>
        <w:t xml:space="preserve"> outcomes are generated from a known model with planted interactions, so discovery and calibration can be checked exactly. </w:t>
      </w:r>
      <w:r>
        <w:rPr>
          <w:b/>
          <w:bCs/>
        </w:rPr>
        <w:t xml:space="preserve">Ablation:</w:t>
      </w:r>
      <w:r>
        <w:t xml:space="preserve"> each quantum component is compared with the same component without its quantum ingredient (annealing instead of QAOA, the circuit without entanglement, a classical network of similar size). </w:t>
      </w:r>
      <w:r>
        <w:rPr>
          <w:b/>
          <w:bCs/>
        </w:rPr>
        <w:t xml:space="preserve">External checks:</w:t>
      </w:r>
      <w:r>
        <w:t xml:space="preserve"> models trained on synthetic people are tested on real genomes of five ancestries, on each South Asian population, and under thirteen alternative simulator settings.</w:t>
      </w:r>
    </w:p>
    <w:p>
      <w:pPr>
        <w:pStyle w:val="Heading2"/>
        <w:keepNext/>
      </w:pPr>
      <w:r>
        <w:t xml:space="preserve">3.2 Proposed Solution</w:t>
      </w:r>
    </w:p>
    <w:p>
      <w:pPr>
        <w:keepNext/>
        <w:spacing w:after="60" w:before="0" w:line="276"/>
        <w:jc w:val="both"/>
      </w:pPr>
      <w:r>
        <w:t xml:space="preserve">The solution is an eight-stage pipeline (Figure 1 in Chapter 4):</w:t>
      </w:r>
    </w:p>
    <w:p>
      <w:pPr>
        <w:pStyle w:val="ListParagraph"/>
        <w:numPr>
          <w:ilvl w:val="0"/>
          <w:numId w:val="2"/>
        </w:numPr>
        <w:spacing w:after="80" w:line="276"/>
        <w:jc w:val="both"/>
      </w:pPr>
      <w:r>
        <w:rPr>
          <w:b/>
          <w:bCs/>
        </w:rPr>
        <w:t xml:space="preserve">S1 Data preparation:</w:t>
      </w:r>
      <w:r>
        <w:t xml:space="preserve"> QC of 1000 Genomes, principal components, D-PRISM and mechanism scores, a haplotype library and an LD panel.</w:t>
      </w:r>
    </w:p>
    <w:p>
      <w:pPr>
        <w:pStyle w:val="ListParagraph"/>
        <w:numPr>
          <w:ilvl w:val="0"/>
          <w:numId w:val="2"/>
        </w:numPr>
        <w:spacing w:after="80" w:line="276"/>
        <w:jc w:val="both"/>
      </w:pPr>
      <w:r>
        <w:rPr>
          <w:b/>
          <w:bCs/>
        </w:rPr>
        <w:t xml:space="preserve">S2 Cohort and simulator:</w:t>
      </w:r>
      <w:r>
        <w:t xml:space="preserve"> synthetic South Asians as haplotype mosaics, with clinical factors, the IDRS and simulated T2D.</w:t>
      </w:r>
    </w:p>
    <w:p>
      <w:pPr>
        <w:pStyle w:val="ListParagraph"/>
        <w:numPr>
          <w:ilvl w:val="0"/>
          <w:numId w:val="2"/>
        </w:numPr>
        <w:spacing w:after="80" w:line="276"/>
        <w:jc w:val="both"/>
      </w:pPr>
      <w:r>
        <w:rPr>
          <w:b/>
          <w:bCs/>
        </w:rPr>
        <w:t xml:space="preserve">S3 Interaction search:</w:t>
      </w:r>
      <w:r>
        <w:t xml:space="preserve"> a vectorised score test for all 1,263 cross-mechanism SNP pairs, inside each cross-validation fold.</w:t>
      </w:r>
    </w:p>
    <w:p>
      <w:pPr>
        <w:pStyle w:val="ListParagraph"/>
        <w:numPr>
          <w:ilvl w:val="0"/>
          <w:numId w:val="2"/>
        </w:numPr>
        <w:spacing w:after="80" w:line="276"/>
        <w:jc w:val="both"/>
      </w:pPr>
      <w:r>
        <w:rPr>
          <w:b/>
          <w:bCs/>
        </w:rPr>
        <w:t xml:space="preserve">S4 Pair selection:</w:t>
      </w:r>
      <w:r>
        <w:t xml:space="preserve"> a QUBO of relevance minus redundancy, solved by simulated annealing and by QAOA with error mitigation.</w:t>
      </w:r>
    </w:p>
    <w:p>
      <w:pPr>
        <w:pStyle w:val="ListParagraph"/>
        <w:numPr>
          <w:ilvl w:val="0"/>
          <w:numId w:val="2"/>
        </w:numPr>
        <w:spacing w:after="80" w:line="276"/>
        <w:jc w:val="both"/>
      </w:pPr>
      <w:r>
        <w:rPr>
          <w:b/>
          <w:bCs/>
        </w:rPr>
        <w:t xml:space="preserve">S5 Quantum encoder:</w:t>
      </w:r>
      <w:r>
        <w:t xml:space="preserve"> 12 eight-qubit circuits encode the 48 selected pairs into 96 features.</w:t>
      </w:r>
    </w:p>
    <w:p>
      <w:pPr>
        <w:pStyle w:val="ListParagraph"/>
        <w:numPr>
          <w:ilvl w:val="0"/>
          <w:numId w:val="2"/>
        </w:numPr>
        <w:spacing w:after="80" w:line="276"/>
        <w:jc w:val="both"/>
      </w:pPr>
      <w:r>
        <w:rPr>
          <w:b/>
          <w:bCs/>
        </w:rPr>
        <w:t xml:space="preserve">S6 Model zoo:</w:t>
      </w:r>
      <w:r>
        <w:t xml:space="preserve"> 17 predictors, from the IDRS and a BMI rule to a stacked hybrid.</w:t>
      </w:r>
    </w:p>
    <w:p>
      <w:pPr>
        <w:pStyle w:val="ListParagraph"/>
        <w:numPr>
          <w:ilvl w:val="0"/>
          <w:numId w:val="2"/>
        </w:numPr>
        <w:spacing w:after="80" w:line="276"/>
        <w:jc w:val="both"/>
      </w:pPr>
      <w:r>
        <w:rPr>
          <w:b/>
          <w:bCs/>
        </w:rPr>
        <w:t xml:space="preserve">S7 Evaluation:</w:t>
      </w:r>
      <w:r>
        <w:t xml:space="preserve"> fifteen experiments (E0–E13) with DeLong, McNemar and Holm-corrected tests.</w:t>
      </w:r>
    </w:p>
    <w:p>
      <w:pPr>
        <w:pStyle w:val="ListParagraph"/>
        <w:numPr>
          <w:ilvl w:val="0"/>
          <w:numId w:val="2"/>
        </w:numPr>
        <w:spacing w:after="80" w:line="276"/>
        <w:jc w:val="both"/>
      </w:pPr>
      <w:r>
        <w:rPr>
          <w:b/>
          <w:bCs/>
        </w:rPr>
        <w:t xml:space="preserve">S8 Application:</w:t>
      </w:r>
      <w:r>
        <w:t xml:space="preserve"> a calibrated model behind a dashboard, a REST API and a PDF report, with LD imputation.</w:t>
      </w:r>
    </w:p>
    <w:p>
      <w:pPr>
        <w:pStyle w:val="Heading2"/>
        <w:keepNext/>
      </w:pPr>
      <w:r>
        <w:t xml:space="preserve">3.3 Work Breakdown Structure</w:t>
      </w:r>
    </w:p>
    <w:p>
      <w:pPr>
        <w:keepNext/>
        <w:spacing w:after="80" w:before="120"/>
      </w:pPr>
      <w:r>
        <w:rPr>
          <w:b/>
          <w:bCs/>
          <w:sz w:val="22"/>
          <w:szCs w:val="22"/>
        </w:rPr>
        <w:t xml:space="preserve">Table 6: </w:t>
      </w:r>
      <w:r>
        <w:rPr>
          <w:sz w:val="22"/>
          <w:szCs w:val="22"/>
        </w:rPr>
        <w:t xml:space="preserve">Work breakdown and progress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4486"/>
        <w:gridCol w:w="1300"/>
        <w:gridCol w:w="2700"/>
      </w:tblGrid>
      <w:tr>
        <w:trPr>
          <w:cantSplit/>
          <w:tblHeader/>
        </w:trPr>
        <w:tc>
          <w:tcPr>
            <w:tcW w:type="dxa" w:w="9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Phase</w:t>
            </w:r>
          </w:p>
        </w:tc>
        <w:tc>
          <w:tcPr>
            <w:tcW w:type="dxa" w:w="44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Scope</w:t>
            </w:r>
          </w:p>
        </w:tc>
        <w:tc>
          <w:tcPr>
            <w:tcW w:type="dxa" w:w="13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Progress</w:t>
            </w:r>
          </w:p>
        </w:tc>
        <w:tc>
          <w:tcPr>
            <w:tcW w:type="dxa" w:w="27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Status</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 pipeline on real 1000 Genomes data</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Outcome simulator, clinical factors and IDRS</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3</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Interaction search, QUBO selection and QAOA with error mitigation</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4</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Variational quantum encoder and its classical controls</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5</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Classical baselines, hybrid stack and experiments E0–E13</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6</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Application: dashboard, API, PDF, LD imputation, Docker</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7</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Run on real IBM quantum hardware; public online demo</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Ready</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Planned for the final panel</w:t>
            </w:r>
          </w:p>
        </w:tc>
      </w:tr>
      <w:tr>
        <w:trPr>
          <w:cantSplit/>
        </w:trPr>
        <w:tc>
          <w:tcPr>
            <w:tcW w:type="dxa" w:w="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8</w:t>
            </w:r>
          </w:p>
        </w:tc>
        <w:tc>
          <w:tcPr>
            <w:tcW w:type="dxa" w:w="4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Final report, slides and demo video</w:t>
            </w:r>
          </w:p>
        </w:tc>
        <w:tc>
          <w:tcPr>
            <w:tcW w:type="dxa" w:w="1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In progress</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Ongoing</w:t>
            </w:r>
          </w:p>
        </w:tc>
      </w:tr>
    </w:tbl>
    <w:p>
      <w:pPr>
        <w:pStyle w:val="Heading2"/>
        <w:keepNext/>
      </w:pPr>
      <w:r>
        <w:t xml:space="preserve">3.4 Tools and Technology</w:t>
      </w:r>
    </w:p>
    <w:p>
      <w:pPr>
        <w:keepNext/>
        <w:spacing w:after="80" w:before="120"/>
      </w:pPr>
      <w:r>
        <w:rPr>
          <w:b/>
          <w:bCs/>
          <w:sz w:val="22"/>
          <w:szCs w:val="22"/>
        </w:rPr>
        <w:t xml:space="preserve">Table 7: </w:t>
      </w:r>
      <w:r>
        <w:rPr>
          <w:sz w:val="22"/>
          <w:szCs w:val="22"/>
        </w:rPr>
        <w:t xml:space="preserve">Tools and technologies used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86"/>
      </w:tblGrid>
      <w:tr>
        <w:trPr>
          <w:cantSplit/>
          <w:tblHeader/>
        </w:trPr>
        <w:tc>
          <w:tcPr>
            <w:tcW w:type="dxa" w:w="26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Tool / Library</w:t>
            </w:r>
          </w:p>
        </w:tc>
        <w:tc>
          <w:tcPr>
            <w:tcW w:type="dxa" w:w="14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Version</w:t>
            </w:r>
          </w:p>
        </w:tc>
        <w:tc>
          <w:tcPr>
            <w:tcW w:type="dxa" w:w="53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Purpose</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Python</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3.12</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Implementation language</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PLINK 2 / PLINK 1.9</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2.0 / 1.9</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Genotype QC, PCA, polygenic scoring; BOOST interaction baseline</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NumPy / pandas / SciPy</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2.5 / 3.0 / 1.18</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Arrays, tables, statistics</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scikit-learn</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1.9</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Logistic regression, random forest, SVM, calibration, cross-validation</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XGBoost</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3.4</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Gradient-boosted trees</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PyTorch</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2.14</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Training the variational circuits (own exact simulator)</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PennyLane</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0.45</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Reference circuit simulation and QAOA training</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Qiskit / Aer / IBM Runtime</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2.5 / 0.17 / 0.50</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QAOA circuits, noisy simulation, IBM hardware access</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dwave-samplers</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1.8</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Simulated annealing for the QUBO</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SHAP</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0.52</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Per-person model explanations</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FastAPI / Streamlit</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0.143 / 1.65</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REST API and dashboard</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fpdf2</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2.8</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PDF report</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Docker</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29</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Container image for the application</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pytest / ruff / GitHub Actions</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9.1 / 0.16 / —</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Tests, style checks, continuous integration</w:t>
            </w:r>
          </w:p>
        </w:tc>
      </w:tr>
      <w:tr>
        <w:trPr>
          <w:cantSplit/>
        </w:trPr>
        <w:tc>
          <w:tcPr>
            <w:tcW w:type="dxa" w:w="26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VS Code, Git, GitHub</w:t>
            </w:r>
          </w:p>
        </w:tc>
        <w:tc>
          <w:tcPr>
            <w:tcW w:type="dxa" w:w="14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w:t>
            </w:r>
          </w:p>
        </w:tc>
        <w:tc>
          <w:tcPr>
            <w:tcW w:type="dxa" w:w="5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Development environment and version control</w:t>
            </w:r>
          </w:p>
        </w:tc>
      </w:tr>
    </w:tbl>
    <w:p>
      <w:pPr>
        <w:pStyle w:val="Heading1"/>
        <w:pageBreakBefore/>
      </w:pPr>
      <w:r>
        <w:t xml:space="preserve">CHAPTER 4: DESIGN SPECIFICATIONS</w:t>
      </w:r>
    </w:p>
    <w:p>
      <w:pPr>
        <w:pStyle w:val="Heading2"/>
        <w:keepNext/>
      </w:pPr>
      <w:r>
        <w:t xml:space="preserve">4.1 System Architecture</w:t>
      </w:r>
    </w:p>
    <w:p>
      <w:pPr>
        <w:spacing w:after="120" w:before="0" w:line="276"/>
        <w:jc w:val="both"/>
      </w:pPr>
      <w:r>
        <w:t xml:space="preserve">Figure 1 shows the system. Three inputs feed eight stages; the two purple stages use quantum circuits, and each is compared against a classical control. Table 8 lists the module and main technique of each stage.</w:t>
      </w:r>
    </w:p>
    <w:p>
      <w:pPr>
        <w:keepNext/>
        <w:spacing w:after="60" w:before="120"/>
        <w:jc w:val="center"/>
      </w:pPr>
      <w:r>
        <w:drawing>
          <wp:inline distT="0" distB="0" distL="0" distR="0">
            <wp:extent cx="5905500" cy="34290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sz w:val="21"/>
          <w:szCs w:val="21"/>
        </w:rPr>
        <w:t xml:space="preserve">Figure 1: </w:t>
      </w:r>
      <w:r>
        <w:rPr>
          <w:i/>
          <w:iCs/>
          <w:sz w:val="21"/>
          <w:szCs w:val="21"/>
        </w:rPr>
        <w:t xml:space="preserve">QGenomix architecture: inputs, the eight stages S1–S8, and the quantum stages (purple)</w:t>
      </w:r>
    </w:p>
    <w:p>
      <w:pPr>
        <w:keepNext/>
        <w:spacing w:after="80" w:before="120"/>
      </w:pPr>
      <w:r>
        <w:rPr>
          <w:b/>
          <w:bCs/>
          <w:sz w:val="22"/>
          <w:szCs w:val="22"/>
        </w:rPr>
        <w:t xml:space="preserve">Table 8: </w:t>
      </w:r>
      <w:r>
        <w:rPr>
          <w:sz w:val="22"/>
          <w:szCs w:val="22"/>
        </w:rPr>
        <w:t xml:space="preserve">Stages, code modules and techniques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50"/>
        <w:gridCol w:w="2300"/>
        <w:gridCol w:w="5036"/>
      </w:tblGrid>
      <w:tr>
        <w:trPr>
          <w:cantSplit/>
          <w:tblHeader/>
        </w:trPr>
        <w:tc>
          <w:tcPr>
            <w:tcW w:type="dxa" w:w="20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Stage</w:t>
            </w:r>
          </w:p>
        </w:tc>
        <w:tc>
          <w:tcPr>
            <w:tcW w:type="dxa" w:w="23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Module (src/qgenomix)</w:t>
            </w:r>
          </w:p>
        </w:tc>
        <w:tc>
          <w:tcPr>
            <w:tcW w:type="dxa" w:w="503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Technique</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S1 Data preparation</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PLINK 2 QC (MAF, HWE, missingness), PCA, PRS scoring, haplotype library (2,710 blocks), LD panel</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S2 Cohort and simulator</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data.cohort, sim, clinical</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Haplotype-mosaic cohort; liability-threshold outcome model, 11% prevalence; IDRS</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S3 Interaction search</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search.relevance</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Vectorised Rao score test for 1,263 pairs, refitted in every cross-validation fold</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S4 Pair selection</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search.qubo, solvers, qaoa, mitigation</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QUBO of relevance minus SNP overlap; simulated annealing with swap polish; QAOA in Qiskit with error mitigation</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S5 Quantum encoder</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quantum</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8-qubit data re-uploading circuit (RY/RZ rotations, chain of CZ gates), 4 layers, 64 shared parameters; fidelity kernel</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S6 Model zoo</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models.zoo</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IDRS, BMI rule, logistic regression, random forest, SVM, XGBoost, quantum heads, quantum-kernel SVC, stacking</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S7 Evaluation</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eval, pipeline</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AUC, average precision, F1, Brier, EDR@K, lean-case capture; DeLong, McNemar, Holm; E0–E13</w:t>
            </w:r>
          </w:p>
        </w:tc>
      </w:tr>
      <w:tr>
        <w:trPr>
          <w:cantSplit/>
        </w:trPr>
        <w:tc>
          <w:tcPr>
            <w:tcW w:type="dxa" w:w="20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S8 Application</w:t>
            </w:r>
          </w:p>
        </w:tc>
        <w:tc>
          <w:tcPr>
            <w:tcW w:type="dxa" w:w="23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 data.impute</w:t>
            </w:r>
          </w:p>
        </w:tc>
        <w:tc>
          <w:tcPr>
            <w:tcW w:type="dxa" w:w="50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Genotype parser, LD imputation, calibrated model, FastAPI, Streamlit, PDF report, Docker</w:t>
            </w:r>
          </w:p>
        </w:tc>
      </w:tr>
    </w:tbl>
    <w:p>
      <w:pPr>
        <w:pStyle w:val="Heading2"/>
        <w:keepNext/>
      </w:pPr>
      <w:r>
        <w:t xml:space="preserve">4.2 Design Level Diagrams</w:t>
      </w:r>
    </w:p>
    <w:p>
      <w:pPr>
        <w:pStyle w:val="Heading3"/>
        <w:keepNext/>
      </w:pPr>
      <w:r>
        <w:t xml:space="preserve">4.2.1 Report Generation</w:t>
      </w:r>
    </w:p>
    <w:p>
      <w:pPr>
        <w:spacing w:after="120" w:before="0" w:line="276"/>
        <w:jc w:val="both"/>
      </w:pPr>
      <w:r>
        <w:t xml:space="preserve">Figure 2 shows how the application turns one DNA file and six questionnaire answers into a report. The slow genetic part runs once per file and is cached; the model, explanation and what-ifs then respond instantly.</w:t>
      </w:r>
    </w:p>
    <w:p>
      <w:pPr>
        <w:keepNext/>
        <w:spacing w:after="60" w:before="120"/>
        <w:jc w:val="center"/>
      </w:pPr>
      <w:r>
        <w:drawing>
          <wp:inline distT="0" distB="0" distL="0" distR="0">
            <wp:extent cx="5905500" cy="230505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b/>
          <w:bCs/>
          <w:sz w:val="21"/>
          <w:szCs w:val="21"/>
        </w:rPr>
        <w:t xml:space="preserve">Figure 2: </w:t>
      </w:r>
      <w:r>
        <w:rPr>
          <w:i/>
          <w:iCs/>
          <w:sz w:val="21"/>
          <w:szCs w:val="21"/>
        </w:rPr>
        <w:t xml:space="preserve">Report generation: from a consumer DNA file and the questionnaire to the risk report</w:t>
      </w:r>
    </w:p>
    <w:p>
      <w:pPr>
        <w:pStyle w:val="Heading3"/>
        <w:keepNext/>
      </w:pPr>
      <w:r>
        <w:t xml:space="preserve">4.2.2 Quantum Pair Encoder</w:t>
      </w:r>
    </w:p>
    <w:p>
      <w:pPr>
        <w:spacing w:after="120" w:before="0" w:line="276"/>
        <w:jc w:val="both"/>
      </w:pPr>
      <w:r>
        <w:t xml:space="preserve">Each circuit (Figure 3) takes four SNP pairs on eight qubits, two qubits per pair. In every layer each qubit receives its SNP dosage as a rotation angle, then trainable RY and RZ rotations, then a chain of CZ gates within each pair and between neighbouring pairs; the data is re-uploaded in each of the four layers [16]. The expectation of Z on every qubit gives 8 features per circuit. Twelve circuits share the same 64 trainable angles and give 96 features. Without the CZ gates each qubit would only see its own SNP; entanglement is what lets a feature depend on both SNPs of a pair.</w:t>
      </w:r>
    </w:p>
    <w:p>
      <w:pPr>
        <w:keepNext/>
        <w:spacing w:after="60" w:before="120"/>
        <w:jc w:val="center"/>
      </w:pPr>
      <w:r>
        <w:drawing>
          <wp:inline distT="0" distB="0" distL="0" distR="0">
            <wp:extent cx="4476750" cy="31242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24200"/>
                    </a:xfrm>
                    <a:prstGeom prst="rect">
                      <a:avLst/>
                    </a:prstGeom>
                  </pic:spPr>
                </pic:pic>
              </a:graphicData>
            </a:graphic>
          </wp:inline>
        </w:drawing>
      </w:r>
    </w:p>
    <w:p>
      <w:pPr>
        <w:spacing w:after="200"/>
        <w:jc w:val="center"/>
      </w:pPr>
      <w:r>
        <w:rPr>
          <w:b/>
          <w:bCs/>
          <w:sz w:val="21"/>
          <w:szCs w:val="21"/>
        </w:rPr>
        <w:t xml:space="preserve">Figure 3: </w:t>
      </w:r>
      <w:r>
        <w:rPr>
          <w:i/>
          <w:iCs/>
          <w:sz w:val="21"/>
          <w:szCs w:val="21"/>
        </w:rPr>
        <w:t xml:space="preserve">The 8-qubit pair encoder (two of its four layers shown)</w:t>
      </w:r>
    </w:p>
    <w:p>
      <w:pPr>
        <w:pStyle w:val="Heading3"/>
        <w:keepNext/>
      </w:pPr>
      <w:r>
        <w:t xml:space="preserve">4.2.3 Pair Selection and QAOA</w:t>
      </w:r>
    </w:p>
    <w:p>
      <w:pPr>
        <w:spacing w:after="120" w:before="0" w:line="276"/>
        <w:jc w:val="both"/>
      </w:pPr>
      <w:r>
        <w:t xml:space="preserve">The QUBO rewards relevance (the score-test strength of each pair) and penalises pairs that share a SNP or a linkage block, with a penalty that forces exactly 48 pairs [13]. Simulated annealing with a swap-polishing step solves the full problem. QAOA [14] solves 12-pair sub-problems (choose 4) in two forms: the textbook penalty form with an X mixer, and a constraint-preserving XY mixer [15] started from a Dicke state prepared with the Bärtschi–Eidenbenz circuit [25], which only explores valid selections.</w:t>
      </w:r>
    </w:p>
    <w:p>
      <w:pPr>
        <w:pStyle w:val="Heading3"/>
        <w:keepNext/>
      </w:pPr>
      <w:r>
        <w:t xml:space="preserve">4.2.4 Hybrid Model</w:t>
      </w:r>
    </w:p>
    <w:p>
      <w:pPr>
        <w:spacing w:after="120" w:before="0" w:line="276"/>
        <w:jc w:val="both"/>
      </w:pPr>
      <w:r>
        <w:t xml:space="preserve">Level-one learners (an additive logistic model, XGBoost on the quantum features, and a quantum-kernel SVC) produce out-of-fold predictions inside five-fold cross-validation; a logistic meta-learner combines them. The deployed model is XGBoost on clinical factors, PRS, mechanism scores, SNP dosages and quantum features, with Platt calibration on a held-out set.</w:t>
      </w:r>
    </w:p>
    <w:p>
      <w:pPr>
        <w:pStyle w:val="Heading2"/>
        <w:keepNext/>
      </w:pPr>
      <w:r>
        <w:t xml:space="preserve">4.3 Snapshots of Working Prototype</w:t>
      </w:r>
    </w:p>
    <w:p>
      <w:pPr>
        <w:spacing w:after="120" w:before="0" w:line="276"/>
        <w:jc w:val="both"/>
      </w:pPr>
      <w:r>
        <w:t xml:space="preserve">Figure 4 shows the dashboard report for a synthetic demo persona: a 34-year-old woman with BMI 21.6. QGenomix rates her high risk (84th percentile) while the IDRS rates her moderate and the BMI rule does not flag her. Her β-cell and lipodystrophy scores are both high, and the what-if table shows exercise and a smaller waist cutting her risk from 23% to 6%. Figure 5 is the PDF report the same page produces, and Figure 6 the clinician view.</w:t>
      </w:r>
    </w:p>
    <w:p>
      <w:pPr>
        <w:keepNext/>
        <w:spacing w:after="60" w:before="120"/>
        <w:jc w:val="center"/>
      </w:pPr>
      <w:r>
        <w:drawing>
          <wp:inline distT="0" distB="0" distL="0" distR="0">
            <wp:extent cx="4286250" cy="43624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362450"/>
                    </a:xfrm>
                    <a:prstGeom prst="rect">
                      <a:avLst/>
                    </a:prstGeom>
                  </pic:spPr>
                </pic:pic>
              </a:graphicData>
            </a:graphic>
          </wp:inline>
        </w:drawing>
      </w:r>
    </w:p>
    <w:p>
      <w:pPr>
        <w:spacing w:after="200"/>
        <w:jc w:val="center"/>
      </w:pPr>
      <w:r>
        <w:rPr>
          <w:b/>
          <w:bCs/>
          <w:sz w:val="21"/>
          <w:szCs w:val="21"/>
        </w:rPr>
        <w:t xml:space="preserve">Figure 4: </w:t>
      </w:r>
      <w:r>
        <w:rPr>
          <w:i/>
          <w:iCs/>
          <w:sz w:val="21"/>
          <w:szCs w:val="21"/>
        </w:rPr>
        <w:t xml:space="preserve">Dashboard report for a lean, high-genetic-risk demo persona (synthetic genome)</w:t>
      </w:r>
    </w:p>
    <w:p>
      <w:pPr>
        <w:keepNext/>
        <w:spacing w:after="60" w:before="120"/>
        <w:jc w:val="center"/>
      </w:pPr>
      <w:r>
        <w:drawing>
          <wp:inline distT="0" distB="0" distL="0" distR="0">
            <wp:extent cx="4095750" cy="57912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791200"/>
                    </a:xfrm>
                    <a:prstGeom prst="rect">
                      <a:avLst/>
                    </a:prstGeom>
                  </pic:spPr>
                </pic:pic>
              </a:graphicData>
            </a:graphic>
          </wp:inline>
        </w:drawing>
      </w:r>
    </w:p>
    <w:p>
      <w:pPr>
        <w:spacing w:after="200"/>
        <w:jc w:val="center"/>
      </w:pPr>
      <w:r>
        <w:rPr>
          <w:b/>
          <w:bCs/>
          <w:sz w:val="21"/>
          <w:szCs w:val="21"/>
        </w:rPr>
        <w:t xml:space="preserve">Figure 5: </w:t>
      </w:r>
      <w:r>
        <w:rPr>
          <w:i/>
          <w:iCs/>
          <w:sz w:val="21"/>
          <w:szCs w:val="21"/>
        </w:rPr>
        <w:t xml:space="preserve">The one-page PDF report (download button and POST /v1/report.pdf)</w:t>
      </w:r>
    </w:p>
    <w:p>
      <w:pPr>
        <w:keepNext/>
        <w:spacing w:after="60" w:before="120"/>
        <w:jc w:val="center"/>
      </w:pPr>
      <w:r>
        <w:drawing>
          <wp:inline distT="0" distB="0" distL="0" distR="0">
            <wp:extent cx="5334000" cy="29813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b/>
          <w:bCs/>
          <w:sz w:val="21"/>
          <w:szCs w:val="21"/>
        </w:rPr>
        <w:t xml:space="preserve">Figure 6: </w:t>
      </w:r>
      <w:r>
        <w:rPr>
          <w:i/>
          <w:iCs/>
          <w:sz w:val="21"/>
          <w:szCs w:val="21"/>
        </w:rPr>
        <w:t xml:space="preserve">Clinician view of a 200-person synthetic cohort</w:t>
      </w:r>
    </w:p>
    <w:p>
      <w:pPr>
        <w:spacing w:after="120" w:before="60" w:line="276"/>
        <w:jc w:val="both"/>
      </w:pPr>
      <w:r>
        <w:t xml:space="preserve">The demo runs with </w:t>
      </w:r>
      <w:r>
        <w:rPr>
          <w:rFonts w:ascii="Consolas" w:cs="Consolas" w:eastAsia="Consolas" w:hAnsi="Consolas"/>
          <w:sz w:val="21"/>
          <w:szCs w:val="21"/>
        </w:rPr>
        <w:t xml:space="preserve">make app</w:t>
      </w:r>
      <w:r>
        <w:t xml:space="preserve"> (dashboard), </w:t>
      </w:r>
      <w:r>
        <w:rPr>
          <w:rFonts w:ascii="Consolas" w:cs="Consolas" w:eastAsia="Consolas" w:hAnsi="Consolas"/>
          <w:sz w:val="21"/>
          <w:szCs w:val="21"/>
        </w:rPr>
        <w:t xml:space="preserve">make api</w:t>
      </w:r>
      <w:r>
        <w:t xml:space="preserve"> (REST service) or </w:t>
      </w:r>
      <w:r>
        <w:rPr>
          <w:rFonts w:ascii="Consolas" w:cs="Consolas" w:eastAsia="Consolas" w:hAnsi="Consolas"/>
          <w:sz w:val="21"/>
          <w:szCs w:val="21"/>
        </w:rPr>
        <w:t xml:space="preserve">docker compose up</w:t>
      </w:r>
      <w:r>
        <w:t xml:space="preserve"> (both, in containers). Three synthetic personas are included: a lean woman at high genetic risk, an obese man at high risk, and a low-risk young woman.</w:t>
      </w:r>
    </w:p>
    <w:p>
      <w:pPr>
        <w:pStyle w:val="Heading1"/>
        <w:pageBreakBefore/>
      </w:pPr>
      <w:r>
        <w:t xml:space="preserve">CHAPTER 5: IMPLEMENTATION AND EXPERIMENTAL RESULTS</w:t>
      </w:r>
    </w:p>
    <w:p>
      <w:pPr>
        <w:pStyle w:val="Heading2"/>
        <w:keepNext/>
      </w:pPr>
      <w:r>
        <w:t xml:space="preserve">5.1 Implementation</w:t>
      </w:r>
    </w:p>
    <w:p>
      <w:pPr>
        <w:pStyle w:val="Heading3"/>
        <w:keepNext/>
      </w:pPr>
      <w:r>
        <w:t xml:space="preserve">5.1.1 Data</w:t>
      </w:r>
    </w:p>
    <w:p>
      <w:pPr>
        <w:spacing w:after="120" w:before="0" w:line="276"/>
        <w:jc w:val="both"/>
      </w:pPr>
      <w:r>
        <w:t xml:space="preserve">PLINK 2 [20] processed the 1000 Genomes phase 3 release [26]: 84 million variants in 2,504 people from 26 populations. From it we computed the five components of D-PRISM (1.34 million variants), the five mechanism scores (β-cell, lipodystrophy, liver/lipid, obesity, proinsulin) and the dosages of their 62 SNPs. The 489 South Asian samples (Gujarati, Punjabi, Bengali, Sri Lankan Tamil and Telugu) give 978 phased haplotypes. A synthetic person is assembled by drawing each one-megabase block of the genome from a random South Asian haplotype, which keeps real allele frequencies and local linkage while allowing a cohort of any size.</w:t>
      </w:r>
    </w:p>
    <w:p>
      <w:pPr>
        <w:pStyle w:val="Heading3"/>
        <w:keepNext/>
      </w:pPr>
      <w:r>
        <w:t xml:space="preserve">5.1.2 Outcome Simulator</w:t>
      </w:r>
    </w:p>
    <w:p>
      <w:pPr>
        <w:spacing w:after="120" w:before="0" w:line="276"/>
        <w:jc w:val="both"/>
      </w:pPr>
      <w:r>
        <w:t xml:space="preserve">Each person's liability to T2D is a weighted sum of the D-PRISM background (10% of variance), the five mechanism scores (6.9%), a β-cell × lipodystrophy interaction (2.0%), ten planted SNP-pair interactions (4.0%), age (7%), BMI (4%), waist, activity and family history (4.5% together) and noise. The top 11% become cases, close to the national prevalence [1]. The IDRS is computed from the simulated clinical factors exactly as published.</w:t>
      </w:r>
    </w:p>
    <w:p>
      <w:pPr>
        <w:pStyle w:val="Heading3"/>
        <w:keepNext/>
      </w:pPr>
      <w:r>
        <w:t xml:space="preserve">5.1.3 Interaction Search</w:t>
      </w:r>
    </w:p>
    <w:p>
      <w:pPr>
        <w:spacing w:after="120" w:before="0" w:line="276"/>
        <w:jc w:val="both"/>
      </w:pPr>
      <w:r>
        <w:t xml:space="preserve">For each of the 1,263 pairs of SNPs from different mechanisms, a Rao score test asks whether the pair's product term improves a logistic model that already contains all main effects and covariates; it is vectorised over all pairs (about 7 seconds per fold). The 200 strongest pairs enter the QUBO; top-K ranking and mRMR [27] are the classical controls.</w:t>
      </w:r>
    </w:p>
    <w:p>
      <w:pPr>
        <w:pStyle w:val="Heading3"/>
        <w:keepNext/>
      </w:pPr>
      <w:r>
        <w:t xml:space="preserve">5.1.4 Error Mitigation</w:t>
      </w:r>
    </w:p>
    <w:p>
      <w:pPr>
        <w:spacing w:after="120" w:before="0" w:line="276"/>
        <w:jc w:val="both"/>
      </w:pPr>
      <w:r>
        <w:t xml:space="preserve">After routing to IBM's heavy-hex layout the QAOA circuits need 220–700 two-qubit gates. Three inexpensive techniques are applied to the same shots. Readout correction measures two calibration circuits and inverts each qubit's 2 × 2 assignment matrix [19]. Post-selection keeps only samples that select exactly four pairs; for the XY circuit any other count is a detected error, because the circuit conserves it [28]. Zero-noise extrapolation runs the circuit at noise scales 1, 3 and 5 by unitary folding and extrapolates back to zero noise [18]. The same code drives the hardware script, which adds dynamical decoupling and gate twirling.</w:t>
      </w:r>
    </w:p>
    <w:p>
      <w:pPr>
        <w:pStyle w:val="Heading3"/>
        <w:keepNext/>
      </w:pPr>
      <w:r>
        <w:t xml:space="preserve">5.1.5 LD Imputation</w:t>
      </w:r>
    </w:p>
    <w:p>
      <w:pPr>
        <w:spacing w:after="120" w:before="0" w:line="276"/>
        <w:jc w:val="both"/>
      </w:pPr>
      <w:r>
        <w:t xml:space="preserve">Consumer chips measure about 600,000 SNPs, so a typical 23andMe or AncestryDNA file contains only about half of the D-PRISM variants. QGenomix predicts each missing variant from its best-correlated measured neighbour (its tag), using linkage disequilibrium measured in the 489 South Asian genomes [22]: the dosage is the reference mean plus a regression slope times the tag's deviation from its mean. For each of 1.46 million variants the panel stores the six best tags within 500 kb; the median best tag has r</w:t>
      </w:r>
      <w:r>
        <w:rPr>
          <w:vertAlign w:val="superscript"/>
        </w:rPr>
        <w:t xml:space="preserve">2</w:t>
      </w:r>
      <w:r>
        <w:t xml:space="preserve"> = 0.90. The panel builds in about two minutes and imputes a genome in about a second, with no external software.</w:t>
      </w:r>
    </w:p>
    <w:p>
      <w:pPr>
        <w:pStyle w:val="Heading3"/>
        <w:keepNext/>
      </w:pPr>
      <w:r>
        <w:t xml:space="preserve">5.1.6 Application</w:t>
      </w:r>
    </w:p>
    <w:p>
      <w:pPr>
        <w:spacing w:after="120" w:before="0" w:line="276"/>
        <w:jc w:val="both"/>
      </w:pPr>
      <w:r>
        <w:t xml:space="preserve">The deployed model is trained on 16,000 synthetic people and calibrated on 4,000 more (AUC 0.876). The service parses the file, checks the genome build, imputes missing variants, computes the scores and the IDRS, predicts calibrated risk, ranks the SNP pairs the person carries by SHAP [24], simulates lifestyle changes and renders the report on screen, as JSON or as a PDF. Uploaded files are processed in memory and never stored.</w:t>
      </w:r>
    </w:p>
    <w:p>
      <w:pPr>
        <w:pStyle w:val="Heading2"/>
        <w:keepNext/>
      </w:pPr>
      <w:r>
        <w:t xml:space="preserve">5.2 Evaluation Protocol</w:t>
      </w:r>
    </w:p>
    <w:p>
      <w:pPr>
        <w:spacing w:after="120" w:before="0" w:line="276"/>
        <w:jc w:val="both"/>
      </w:pPr>
      <w:r>
        <w:t xml:space="preserve">Every experiment holds out 20% of people as a test set. All selection and fitting happens inside five-fold cross-validation on the remaining 80%, so no test information leaks into the choice of pairs. Results are averaged over 3 seeds. AUCs are compared with DeLong's test [29, 30], classifications with McNemar's test, both Holm-corrected. EDR@10 is the share of the 10 planted pairs found in a method's top 10. Lean-case capture is the share of lean cases (BMI &lt; 23) among the top 20% of predicted risk, with exactly 20% flagged. Table 9 summarises the experiments.</w:t>
      </w:r>
    </w:p>
    <w:p>
      <w:pPr>
        <w:keepNext/>
        <w:spacing w:after="80" w:before="120"/>
      </w:pPr>
      <w:r>
        <w:rPr>
          <w:b/>
          <w:bCs/>
          <w:sz w:val="22"/>
          <w:szCs w:val="22"/>
        </w:rPr>
        <w:t xml:space="preserve">Table 9: </w:t>
      </w:r>
      <w:r>
        <w:rPr>
          <w:sz w:val="22"/>
          <w:szCs w:val="22"/>
        </w:rPr>
        <w:t xml:space="preserve">Experiments and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50"/>
        <w:gridCol w:w="3000"/>
        <w:gridCol w:w="5636"/>
      </w:tblGrid>
      <w:tr>
        <w:trPr>
          <w:cantSplit/>
          <w:tblHeader/>
        </w:trPr>
        <w:tc>
          <w:tcPr>
            <w:tcW w:type="dxa" w:w="7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Exp.</w:t>
            </w:r>
          </w:p>
        </w:tc>
        <w:tc>
          <w:tcPr>
            <w:tcW w:type="dxa" w:w="3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Question</w:t>
            </w:r>
          </w:p>
        </w:tc>
        <w:tc>
          <w:tcPr>
            <w:tcW w:type="dxa" w:w="563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Result</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E0</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the simulated cohort behave like the population?</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Prevalence 11%; 25% of cases lean; β-cell + lipodystrophy high group: 37% case rate at lower BMI</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E1</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Which predictor is most accurate?</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IDRS 0.761, clinical 0.812, PRS 0.736, clinical + genetics 0.874, stacked 0.877; quantum 0.866–0.871</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E2</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the search find planted pairs?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Score test 70–84% in its top 10 at δ = 0.2; PLINK BOOST 40–48%</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E3</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How many people are needed?</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24% of pairs at 2,500 people, 78% at 10,000, 92% at 20,000, 100% at 40,000</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E4</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it invent pairs when none exist?</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18 of 20 null runs report nothing; 5.4% of p-values below 0.05; λ = 1.05</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E5</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entanglement help?</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Entangled 0.866, no entanglement 0.871, classical twin 0.870: no</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E6</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Is QUBO selection better than top-K?</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62 distinct SNPs vs 49, 26% fewer redundant pairs, best objective in 61% of runs</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E7</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QAOA solve the selection?</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Ideal: XY mixer 0.76 → 0.83 (depth 1 → 6), penalty 0.30 → 0.66; with IBM noise both ≈ 0.3</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E7b</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Can error mitigation recover it?</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XY depth 1: 0.31 → 0.75 (noise-free 0.76); penalty: 0.23 → 0.69</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E8</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Who catches lean cases?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Top 20%: BMI rule 0%, IDRS 30%, clinical 35%, with genetics 58%</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E9</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Does it work on real genomes?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AUC 0.881 South Asian; 0.85–0.87 East Asian, European, American; 0.792 African</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E10</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Are the app's what-ifs right?</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Waist −5 cm: −28% vs true −28%; exercise −32% vs −40%</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E11</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Is it fair across populations?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Genetic-model AUC 0.84–0.92 across five populations; gain over clinical +0.05 to +0.08</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E12</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Robust to simulator assumptions?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Genetics beats clinical in 13/13 settings and beats IDRS on lean cases in 13/13</w:t>
            </w:r>
          </w:p>
        </w:tc>
      </w:tr>
      <w:tr>
        <w:trPr>
          <w:cantSplit/>
        </w:trPr>
        <w:tc>
          <w:tcPr>
            <w:tcW w:type="dxa" w:w="75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center"/>
            </w:pPr>
            <w:r>
              <w:rPr>
                <w:sz w:val="20"/>
                <w:szCs w:val="20"/>
              </w:rPr>
              <w:t xml:space="preserve">E13</w:t>
            </w:r>
          </w:p>
        </w:tc>
        <w:tc>
          <w:tcPr>
            <w:tcW w:type="dxa" w:w="3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Partial consumer DNA files?</w:t>
            </w:r>
          </w:p>
        </w:tc>
        <w:tc>
          <w:tcPr>
            <w:tcW w:type="dxa" w:w="563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45% coverage: PRS r 0.949 → 0.982; high-risk kept 54% → 80%</w:t>
            </w:r>
          </w:p>
        </w:tc>
      </w:tr>
    </w:tbl>
    <w:p>
      <w:pPr>
        <w:pStyle w:val="Heading2"/>
        <w:keepNext/>
      </w:pPr>
      <w:r>
        <w:t xml:space="preserve">5.3 Data and Simulator Checks</w:t>
      </w:r>
    </w:p>
    <w:p>
      <w:pPr>
        <w:spacing w:after="120" w:before="0" w:line="276"/>
        <w:jc w:val="both"/>
      </w:pPr>
      <w:r>
        <w:t xml:space="preserve">The synthetic mosaic reproduces the real South Asian allele frequencies of the mechanism SNPs almost exactly (r = 0.9999; Figure 7). Its PRS spread is narrower than in the real samples because the mosaic removes population substructure. The simulator reproduces the lean phenotype: 25% of cases are lean, and people high on both the β-cell and lipodystrophy scores have a 37% case rate against 10% for everyone else, despite a lower average BMI.</w:t>
      </w:r>
    </w:p>
    <w:p>
      <w:pPr>
        <w:keepNext/>
        <w:spacing w:after="60" w:before="120"/>
        <w:jc w:val="center"/>
      </w:pPr>
      <w:r>
        <w:drawing>
          <wp:inline distT="0" distB="0" distL="0" distR="0">
            <wp:extent cx="5905500" cy="20193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19300"/>
                    </a:xfrm>
                    <a:prstGeom prst="rect">
                      <a:avLst/>
                    </a:prstGeom>
                  </pic:spPr>
                </pic:pic>
              </a:graphicData>
            </a:graphic>
          </wp:inline>
        </w:drawing>
      </w:r>
    </w:p>
    <w:p>
      <w:pPr>
        <w:spacing w:after="200"/>
        <w:jc w:val="center"/>
      </w:pPr>
      <w:r>
        <w:rPr>
          <w:b/>
          <w:bCs/>
          <w:sz w:val="21"/>
          <w:szCs w:val="21"/>
        </w:rPr>
        <w:t xml:space="preserve">Figure 7: </w:t>
      </w:r>
      <w:r>
        <w:rPr>
          <w:i/>
          <w:iCs/>
          <w:sz w:val="21"/>
          <w:szCs w:val="21"/>
        </w:rPr>
        <w:t xml:space="preserve">E0: genetic principal components, mechanism SNP frequencies, and the PRS of real and synthetic South Asians</w:t>
      </w:r>
    </w:p>
    <w:p>
      <w:pPr>
        <w:pStyle w:val="Heading2"/>
        <w:keepNext/>
      </w:pPr>
      <w:r>
        <w:t xml:space="preserve">5.4 Prediction and the Lean Blind Spot</w:t>
      </w:r>
    </w:p>
    <w:p>
      <w:pPr>
        <w:spacing w:after="120" w:before="0" w:line="276"/>
        <w:jc w:val="both"/>
      </w:pPr>
      <w:r>
        <w:t xml:space="preserve">Figure 8 compares all 17 predictors. Adding the PRS and mechanism scores to the clinical factors raises AUC from 0.812 to 0.874; DeLong's test gives p ≤ 4×10</w:t>
      </w:r>
      <w:r>
        <w:rPr>
          <w:vertAlign w:val="superscript"/>
        </w:rPr>
        <w:t xml:space="preserve">−6</w:t>
      </w:r>
      <w:r>
        <w:t xml:space="preserve"> after Holm correction in each seed. The stacked hybrid is the most accurate model (0.877), but its margin over the additive model is not significant.</w:t>
      </w:r>
    </w:p>
    <w:p>
      <w:pPr>
        <w:keepNext/>
        <w:spacing w:after="60" w:before="120"/>
        <w:jc w:val="center"/>
      </w:pPr>
      <w:r>
        <w:drawing>
          <wp:inline distT="0" distB="0" distL="0" distR="0">
            <wp:extent cx="4953000" cy="303847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38475"/>
                    </a:xfrm>
                    <a:prstGeom prst="rect">
                      <a:avLst/>
                    </a:prstGeom>
                  </pic:spPr>
                </pic:pic>
              </a:graphicData>
            </a:graphic>
          </wp:inline>
        </w:drawing>
      </w:r>
    </w:p>
    <w:p>
      <w:pPr>
        <w:spacing w:after="200"/>
        <w:jc w:val="center"/>
      </w:pPr>
      <w:r>
        <w:rPr>
          <w:b/>
          <w:bCs/>
          <w:sz w:val="21"/>
          <w:szCs w:val="21"/>
        </w:rPr>
        <w:t xml:space="preserve">Figure 8: </w:t>
      </w:r>
      <w:r>
        <w:rPr>
          <w:i/>
          <w:iCs/>
          <w:sz w:val="21"/>
          <w:szCs w:val="21"/>
        </w:rPr>
        <w:t xml:space="preserve">E1 benchmark: test AUC of the 17 predictors (mean ± sd over 3 seeds)</w:t>
      </w:r>
    </w:p>
    <w:p>
      <w:pPr>
        <w:spacing w:after="120" w:before="0" w:line="276"/>
        <w:jc w:val="both"/>
      </w:pPr>
      <w:r>
        <w:t xml:space="preserve">Figure 9 is the main clinical result. Among lean people who develop diabetes, a BMI rule flags none by construction, the IDRS flags 30% and a clinical-factor model 35%. Adding genetics raises this to 58%: genetic information helps most for exactly the people current screening misses.</w:t>
      </w:r>
    </w:p>
    <w:p>
      <w:pPr>
        <w:keepNext/>
        <w:spacing w:after="60" w:before="120"/>
        <w:jc w:val="center"/>
      </w:pPr>
      <w:r>
        <w:drawing>
          <wp:inline distT="0" distB="0" distL="0" distR="0">
            <wp:extent cx="5334000" cy="23622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62200"/>
                    </a:xfrm>
                    <a:prstGeom prst="rect">
                      <a:avLst/>
                    </a:prstGeom>
                  </pic:spPr>
                </pic:pic>
              </a:graphicData>
            </a:graphic>
          </wp:inline>
        </w:drawing>
      </w:r>
    </w:p>
    <w:p>
      <w:pPr>
        <w:spacing w:after="200"/>
        <w:jc w:val="center"/>
      </w:pPr>
      <w:r>
        <w:rPr>
          <w:b/>
          <w:bCs/>
          <w:sz w:val="21"/>
          <w:szCs w:val="21"/>
        </w:rPr>
        <w:t xml:space="preserve">Figure 9: </w:t>
      </w:r>
      <w:r>
        <w:rPr>
          <w:i/>
          <w:iCs/>
          <w:sz w:val="21"/>
          <w:szCs w:val="21"/>
        </w:rPr>
        <w:t xml:space="preserve">E8: share of all cases and of lean cases caught when the top 20% by risk are screened</w:t>
      </w:r>
    </w:p>
    <w:p>
      <w:pPr>
        <w:pStyle w:val="Heading2"/>
        <w:keepNext/>
      </w:pPr>
      <w:r>
        <w:t xml:space="preserve">5.5 Interaction Discovery</w:t>
      </w:r>
    </w:p>
    <w:p>
      <w:pPr>
        <w:spacing w:after="120" w:before="0" w:line="276"/>
        <w:jc w:val="both"/>
      </w:pPr>
      <w:r>
        <w:t xml:space="preserve">The score test recovers most planted pairs at 10,000 people and nearly all at 20,000 (E2, E3; Figure 10), well ahead of PLINK's BOOST, and the mechanism-level β-cell × lipodystrophy interaction is detected in every run when it is present. Under the null the test is calibrated (λ = 1.05) and 18 of 20 runs report nothing (Figure 11). QUBO selection covers more distinct SNPs and wastes fewer slots on redundant "shadow" pairs than top-K (E6).</w:t>
      </w:r>
    </w:p>
    <w:p>
      <w:pPr>
        <w:keepNext/>
        <w:spacing w:after="60" w:before="120"/>
        <w:jc w:val="center"/>
      </w:pPr>
      <w:r>
        <w:drawing>
          <wp:inline distT="0" distB="0" distL="0" distR="0">
            <wp:extent cx="5715000" cy="22955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95525"/>
                    </a:xfrm>
                    <a:prstGeom prst="rect">
                      <a:avLst/>
                    </a:prstGeom>
                  </pic:spPr>
                </pic:pic>
              </a:graphicData>
            </a:graphic>
          </wp:inline>
        </w:drawing>
      </w:r>
    </w:p>
    <w:p>
      <w:pPr>
        <w:spacing w:after="200"/>
        <w:jc w:val="center"/>
      </w:pPr>
      <w:r>
        <w:rPr>
          <w:b/>
          <w:bCs/>
          <w:sz w:val="21"/>
          <w:szCs w:val="21"/>
        </w:rPr>
        <w:t xml:space="preserve">Figure 10: </w:t>
      </w:r>
      <w:r>
        <w:rPr>
          <w:i/>
          <w:iCs/>
          <w:sz w:val="21"/>
          <w:szCs w:val="21"/>
        </w:rPr>
        <w:t xml:space="preserve">E2: share of planted pairs found against their effect size, and power of the mechanism-level test</w:t>
      </w:r>
    </w:p>
    <w:p>
      <w:pPr>
        <w:keepNext/>
        <w:spacing w:after="60" w:before="120"/>
        <w:jc w:val="center"/>
      </w:pPr>
      <w:r>
        <w:drawing>
          <wp:inline distT="0" distB="0" distL="0" distR="0">
            <wp:extent cx="5334000" cy="233362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b/>
          <w:bCs/>
          <w:sz w:val="21"/>
          <w:szCs w:val="21"/>
        </w:rPr>
        <w:t xml:space="preserve">Figure 11: </w:t>
      </w:r>
      <w:r>
        <w:rPr>
          <w:i/>
          <w:iCs/>
          <w:sz w:val="21"/>
          <w:szCs w:val="21"/>
        </w:rPr>
        <w:t xml:space="preserve">E4: p-values under the null hypothesis and the strongest pair in each of 20 null runs</w:t>
      </w:r>
    </w:p>
    <w:p>
      <w:pPr>
        <w:pStyle w:val="Heading2"/>
        <w:keepNext/>
      </w:pPr>
      <w:r>
        <w:t xml:space="preserve">5.6 Quantum Components</w:t>
      </w:r>
    </w:p>
    <w:p>
      <w:pPr>
        <w:spacing w:after="120" w:before="0" w:line="276"/>
        <w:jc w:val="both"/>
      </w:pPr>
      <w:r>
        <w:t xml:space="preserve">Every quantum component was tested against a matched classical control, and none gave a significant gain. The encoder performs the same with and without entanglement and the same as a classical twin (Figure 12). In QAOA, the constraint-preserving XY mixer clearly beats the textbook penalty form on an ideal simulator (Figure 13), but under IBM Kingston noise both fall to about 0.3. Error mitigation recovers most of the loss (Figure 14): for the XY circuit at depth 1 the approximation ratio rises from 0.31 to 0.75, against 0.76 noise-free and 0.68 for a random valid choice. Post-selection does most of the work, which is exactly what the conserved pair count makes possible. The penalty form only reaches the level of a random valid choice (0.69), because even noise-free it has no edge once invalid samples are discarded. An 8-qubit circuit can be simulated exactly, so no speed-up is claimed; the contribution is a controlled test of where quantum methods stand on this problem today.</w:t>
      </w:r>
    </w:p>
    <w:p>
      <w:pPr>
        <w:keepNext/>
        <w:spacing w:after="60" w:before="120"/>
        <w:jc w:val="center"/>
      </w:pPr>
      <w:r>
        <w:drawing>
          <wp:inline distT="0" distB="0" distL="0" distR="0">
            <wp:extent cx="5334000" cy="231457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314575"/>
                    </a:xfrm>
                    <a:prstGeom prst="rect">
                      <a:avLst/>
                    </a:prstGeom>
                  </pic:spPr>
                </pic:pic>
              </a:graphicData>
            </a:graphic>
          </wp:inline>
        </w:drawing>
      </w:r>
    </w:p>
    <w:p>
      <w:pPr>
        <w:spacing w:after="200"/>
        <w:jc w:val="center"/>
      </w:pPr>
      <w:r>
        <w:rPr>
          <w:b/>
          <w:bCs/>
          <w:sz w:val="21"/>
          <w:szCs w:val="21"/>
        </w:rPr>
        <w:t xml:space="preserve">Figure 12: </w:t>
      </w:r>
      <w:r>
        <w:rPr>
          <w:i/>
          <w:iCs/>
          <w:sz w:val="21"/>
          <w:szCs w:val="21"/>
        </w:rPr>
        <w:t xml:space="preserve">E5: test AUC of the classical twin and of the quantum encoder with and without entanglement (3 seeds)</w:t>
      </w:r>
    </w:p>
    <w:p>
      <w:pPr>
        <w:keepNext/>
        <w:spacing w:after="60" w:before="120"/>
        <w:jc w:val="center"/>
      </w:pPr>
      <w:r>
        <w:drawing>
          <wp:inline distT="0" distB="0" distL="0" distR="0">
            <wp:extent cx="5905500" cy="19812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981200"/>
                    </a:xfrm>
                    <a:prstGeom prst="rect">
                      <a:avLst/>
                    </a:prstGeom>
                  </pic:spPr>
                </pic:pic>
              </a:graphicData>
            </a:graphic>
          </wp:inline>
        </w:drawing>
      </w:r>
    </w:p>
    <w:p>
      <w:pPr>
        <w:spacing w:after="200"/>
        <w:jc w:val="center"/>
      </w:pPr>
      <w:r>
        <w:rPr>
          <w:b/>
          <w:bCs/>
          <w:sz w:val="21"/>
          <w:szCs w:val="21"/>
        </w:rPr>
        <w:t xml:space="preserve">Figure 13: </w:t>
      </w:r>
      <w:r>
        <w:rPr>
          <w:i/>
          <w:iCs/>
          <w:sz w:val="21"/>
          <w:szCs w:val="21"/>
        </w:rPr>
        <w:t xml:space="preserve">E7: QAOA solution quality, constraint satisfaction and two-qubit gate cost, ideal and with IBM Kingston noise</w:t>
      </w:r>
    </w:p>
    <w:p>
      <w:pPr>
        <w:keepNext/>
        <w:spacing w:after="60" w:before="120"/>
        <w:jc w:val="center"/>
      </w:pPr>
      <w:r>
        <w:drawing>
          <wp:inline distT="0" distB="0" distL="0" distR="0">
            <wp:extent cx="5715000" cy="270510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b/>
          <w:bCs/>
          <w:sz w:val="21"/>
          <w:szCs w:val="21"/>
        </w:rPr>
        <w:t xml:space="preserve">Figure 14: </w:t>
      </w:r>
      <w:r>
        <w:rPr>
          <w:i/>
          <w:iCs/>
          <w:sz w:val="21"/>
          <w:szCs w:val="21"/>
        </w:rPr>
        <w:t xml:space="preserve">E7b: QAOA quality on the IBM Kingston noise model after each mitigation stage</w:t>
      </w:r>
    </w:p>
    <w:p>
      <w:pPr>
        <w:pStyle w:val="Heading2"/>
        <w:keepNext/>
      </w:pPr>
      <w:r>
        <w:t xml:space="preserve">5.7 Real Genomes, Fairness and Robustness</w:t>
      </w:r>
    </w:p>
    <w:p>
      <w:pPr>
        <w:spacing w:after="120" w:before="0" w:line="276"/>
        <w:jc w:val="both"/>
      </w:pPr>
      <w:r>
        <w:t xml:space="preserve">On the real 1000 Genomes samples the clinical-plus-genetic model reaches AUC 0.881 in South Asians and 0.792 in Africans (E9; Figure 15), the expected loss for a South Asian-trained model. Within South Asia (E11; Figure 16) the genetic model improves on clinical factors in every population and in both sexes; accuracy is lowest in the Punjabi samples (AUC 0.84) and highest in the Sri Lankan Tamil samples (0.92), differences within sampling noise for about 100 people per group. Predicted risks run about 11% high on real genomes, equally in every group, so local recalibration, not a group-specific fix, is the remedy.</w:t>
      </w:r>
    </w:p>
    <w:p>
      <w:pPr>
        <w:spacing w:after="120" w:before="0" w:line="276"/>
        <w:jc w:val="both"/>
      </w:pPr>
      <w:r>
        <w:t xml:space="preserve">Because outcomes are simulated, E12 changes one assumption at a time across 13 settings (Figure 17). Genetics beats clinical factors in 13 of 13 settings (gain 0.039 to 0.072 AUC) and catches more lean cases than the IDRS in 13 of 13. Interaction discovery, in contrast, depends strongly on effect size (EDR@10 from 0.25 to 0.95), which is reported as a limit.</w:t>
      </w:r>
    </w:p>
    <w:p>
      <w:pPr>
        <w:keepNext/>
        <w:spacing w:after="60" w:before="120"/>
        <w:jc w:val="center"/>
      </w:pPr>
      <w:r>
        <w:drawing>
          <wp:inline distT="0" distB="0" distL="0" distR="0">
            <wp:extent cx="5334000" cy="321945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b/>
          <w:bCs/>
          <w:sz w:val="21"/>
          <w:szCs w:val="21"/>
        </w:rPr>
        <w:t xml:space="preserve">Figure 15: </w:t>
      </w:r>
      <w:r>
        <w:rPr>
          <w:i/>
          <w:iCs/>
          <w:sz w:val="21"/>
          <w:szCs w:val="21"/>
        </w:rPr>
        <w:t xml:space="preserve">E9: models trained on synthetic South Asians, tested on real genomes of five ancestries</w:t>
      </w:r>
    </w:p>
    <w:p>
      <w:pPr>
        <w:keepNext/>
        <w:spacing w:after="60" w:before="120"/>
        <w:jc w:val="center"/>
      </w:pPr>
      <w:r>
        <w:drawing>
          <wp:inline distT="0" distB="0" distL="0" distR="0">
            <wp:extent cx="5905500" cy="220980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209800"/>
                    </a:xfrm>
                    <a:prstGeom prst="rect">
                      <a:avLst/>
                    </a:prstGeom>
                  </pic:spPr>
                </pic:pic>
              </a:graphicData>
            </a:graphic>
          </wp:inline>
        </w:drawing>
      </w:r>
    </w:p>
    <w:p>
      <w:pPr>
        <w:spacing w:after="200"/>
        <w:jc w:val="center"/>
      </w:pPr>
      <w:r>
        <w:rPr>
          <w:b/>
          <w:bCs/>
          <w:sz w:val="21"/>
          <w:szCs w:val="21"/>
        </w:rPr>
        <w:t xml:space="preserve">Figure 16: </w:t>
      </w:r>
      <w:r>
        <w:rPr>
          <w:i/>
          <w:iCs/>
          <w:sz w:val="21"/>
          <w:szCs w:val="21"/>
        </w:rPr>
        <w:t xml:space="preserve">E11: accuracy, cases caught and calibration by South Asian population and sex</w:t>
      </w:r>
    </w:p>
    <w:p>
      <w:pPr>
        <w:keepNext/>
        <w:spacing w:after="60" w:before="120"/>
        <w:jc w:val="center"/>
      </w:pPr>
      <w:r>
        <w:drawing>
          <wp:inline distT="0" distB="0" distL="0" distR="0">
            <wp:extent cx="5905500" cy="21907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b/>
          <w:bCs/>
          <w:sz w:val="21"/>
          <w:szCs w:val="21"/>
        </w:rPr>
        <w:t xml:space="preserve">Figure 17: </w:t>
      </w:r>
      <w:r>
        <w:rPr>
          <w:i/>
          <w:iCs/>
          <w:sz w:val="21"/>
          <w:szCs w:val="21"/>
        </w:rPr>
        <w:t xml:space="preserve">E12: the main conclusions under thirteen alternative simulator settings</w:t>
      </w:r>
    </w:p>
    <w:p>
      <w:pPr>
        <w:pStyle w:val="Heading2"/>
        <w:keepNext/>
      </w:pPr>
      <w:r>
        <w:t xml:space="preserve">5.8 Consumer DNA Files and Lifestyle What-ifs</w:t>
      </w:r>
    </w:p>
    <w:p>
      <w:pPr>
        <w:spacing w:after="120" w:before="0" w:line="276"/>
        <w:jc w:val="both"/>
      </w:pPr>
      <w:r>
        <w:t xml:space="preserve">E13 holds out 100 real South Asian genomes, builds the LD panel from the other 389, and masks each genome to 25%, 45% or 65% coverage (Figure 18). At 45%, typical of a consumer chip, LD imputation raises the PRS correlation with the full genome from 0.949 to 0.982, cuts the error in the reported risk percentile from 13.2 to 6.3 points, and keeps 80% of truly high-risk people flagged, against 54% with average filling.</w:t>
      </w:r>
    </w:p>
    <w:p>
      <w:pPr>
        <w:keepNext/>
        <w:spacing w:after="60" w:before="120"/>
        <w:jc w:val="center"/>
      </w:pPr>
      <w:r>
        <w:drawing>
          <wp:inline distT="0" distB="0" distL="0" distR="0">
            <wp:extent cx="5905500" cy="213360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b/>
          <w:bCs/>
          <w:sz w:val="21"/>
          <w:szCs w:val="21"/>
        </w:rPr>
        <w:t xml:space="preserve">Figure 18: </w:t>
      </w:r>
      <w:r>
        <w:rPr>
          <w:i/>
          <w:iCs/>
          <w:sz w:val="21"/>
          <w:szCs w:val="21"/>
        </w:rPr>
        <w:t xml:space="preserve">E13: partial DNA files, average filling against LD imputation</w:t>
      </w:r>
    </w:p>
    <w:p>
      <w:pPr>
        <w:spacing w:after="120" w:before="0" w:line="276"/>
        <w:jc w:val="both"/>
      </w:pPr>
      <w:r>
        <w:t xml:space="preserve">The app's lifestyle what-ifs match the simulator's true effect (E10; Figure 19): a waist 5 cm smaller changes risk by −28% in the app against −28% in truth, and regular exercise by −32% against −40%, a conservative estimate. The size of these changes is consistent with the Indian Diabetes Prevention Programme [31].</w:t>
      </w:r>
    </w:p>
    <w:p>
      <w:pPr>
        <w:keepNext/>
        <w:spacing w:after="60" w:before="120"/>
        <w:jc w:val="center"/>
      </w:pPr>
      <w:r>
        <w:drawing>
          <wp:inline distT="0" distB="0" distL="0" distR="0">
            <wp:extent cx="5905500" cy="226695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21"/>
          <w:szCs w:val="21"/>
        </w:rPr>
        <w:t xml:space="preserve">Figure 19: </w:t>
      </w:r>
      <w:r>
        <w:rPr>
          <w:i/>
          <w:iCs/>
          <w:sz w:val="21"/>
          <w:szCs w:val="21"/>
        </w:rPr>
        <w:t xml:space="preserve">E10: mean risk by genetic risk quintile before and after each change, app estimate against the true effect</w:t>
      </w:r>
    </w:p>
    <w:p>
      <w:pPr>
        <w:pStyle w:val="Heading2"/>
        <w:keepNext/>
      </w:pPr>
      <w:r>
        <w:t xml:space="preserve">5.9 Testing and Validation</w:t>
      </w:r>
    </w:p>
    <w:p>
      <w:pPr>
        <w:pStyle w:val="ListParagraph"/>
        <w:numPr>
          <w:ilvl w:val="0"/>
          <w:numId w:val="2"/>
        </w:numPr>
        <w:spacing w:after="80" w:line="276"/>
        <w:jc w:val="both"/>
      </w:pPr>
      <w:r>
        <w:rPr>
          <w:b/>
          <w:bCs/>
        </w:rPr>
        <w:t xml:space="preserve">38 automated tests:</w:t>
      </w:r>
      <w:r>
        <w:t xml:space="preserve"> unit tests (QUBO, score test, metrics, simulator, IDRS, LD imputation, PLINK file decoding, readout correction, post-selection, extrapolation), equivalence tests (our simulator against PennyLane, our QAOA against Qiskit, the Dicke circuit, circuit folding), an end-to-end pipeline test, and parser, API and PDF tests including partial chip files, duplicate positions and wrong genome builds.</w:t>
      </w:r>
    </w:p>
    <w:p>
      <w:pPr>
        <w:pStyle w:val="ListParagraph"/>
        <w:numPr>
          <w:ilvl w:val="0"/>
          <w:numId w:val="2"/>
        </w:numPr>
        <w:spacing w:after="80" w:line="276"/>
        <w:jc w:val="both"/>
      </w:pPr>
      <w:r>
        <w:rPr>
          <w:b/>
          <w:bCs/>
        </w:rPr>
        <w:t xml:space="preserve">Continuous integration:</w:t>
      </w:r>
      <w:r>
        <w:t xml:space="preserve"> GitHub Actions installs the project from scratch and runs the linter and all tests on every push.</w:t>
      </w:r>
    </w:p>
    <w:p>
      <w:pPr>
        <w:pStyle w:val="ListParagraph"/>
        <w:numPr>
          <w:ilvl w:val="0"/>
          <w:numId w:val="2"/>
        </w:numPr>
        <w:spacing w:after="80" w:line="276"/>
        <w:jc w:val="both"/>
      </w:pPr>
      <w:r>
        <w:rPr>
          <w:b/>
          <w:bCs/>
        </w:rPr>
        <w:t xml:space="preserve">Reproducibility:</w:t>
      </w:r>
      <w:r>
        <w:t xml:space="preserve"> a re-run matches the stored result bit for bit; re-running the data pipeline from the raw downloads reproduced every processed file; the imputation code reproduces PLINK's PRS exactly (r = 1.000).</w:t>
      </w:r>
    </w:p>
    <w:p>
      <w:pPr>
        <w:pStyle w:val="ListParagraph"/>
        <w:numPr>
          <w:ilvl w:val="0"/>
          <w:numId w:val="2"/>
        </w:numPr>
        <w:spacing w:after="80" w:line="276"/>
        <w:jc w:val="both"/>
      </w:pPr>
      <w:r>
        <w:rPr>
          <w:b/>
          <w:bCs/>
        </w:rPr>
        <w:t xml:space="preserve">Code:</w:t>
      </w:r>
      <w:r>
        <w:t xml:space="preserve"> 41 Python modules (4,053 lines), 9 scripts, one </w:t>
      </w:r>
      <w:r>
        <w:rPr>
          <w:rFonts w:ascii="Consolas" w:cs="Consolas" w:eastAsia="Consolas" w:hAnsi="Consolas"/>
          <w:sz w:val="21"/>
          <w:szCs w:val="21"/>
        </w:rPr>
        <w:t xml:space="preserve">make</w:t>
      </w:r>
      <w:r>
        <w:t xml:space="preserve"> command per step, and a Docker image.</w:t>
      </w:r>
    </w:p>
    <w:p>
      <w:pPr>
        <w:spacing w:after="120" w:before="80" w:line="276"/>
        <w:jc w:val="both"/>
      </w:pPr>
      <w:r>
        <w:t xml:space="preserve">Testing found the problems in Table 10; all are fixed and covered by tests.</w:t>
      </w:r>
    </w:p>
    <w:p>
      <w:pPr>
        <w:keepNext/>
        <w:spacing w:after="80" w:before="120"/>
      </w:pPr>
      <w:r>
        <w:rPr>
          <w:b/>
          <w:bCs/>
          <w:sz w:val="22"/>
          <w:szCs w:val="22"/>
        </w:rPr>
        <w:t xml:space="preserve">Table 10: </w:t>
      </w:r>
      <w:r>
        <w:rPr>
          <w:sz w:val="22"/>
          <w:szCs w:val="22"/>
        </w:rPr>
        <w:t xml:space="preserve">Problems found in testing and their fixes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86"/>
      </w:tblGrid>
      <w:tr>
        <w:trPr>
          <w:cantSplit/>
          <w:tblHeader/>
        </w:trPr>
        <w:tc>
          <w:tcPr>
            <w:tcW w:type="dxa" w:w="33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Problem</w:t>
            </w:r>
          </w:p>
        </w:tc>
        <w:tc>
          <w:tcPr>
            <w:tcW w:type="dxa" w:w="29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Effect</w:t>
            </w:r>
          </w:p>
        </w:tc>
        <w:tc>
          <w:tcPr>
            <w:tcW w:type="dxa" w:w="31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Fix</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PLINK ran out of memory on 84 million variants</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Data step crashed</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Extraction split into parts with a memory cap</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Interaction p-values depended on the CPU thread count</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Small differences between machines</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Tighter solver tolerance; all experiments re-run</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Duplicate positions in 23andMe files</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App crashed</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De-duplication and a regression test</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Consumer files cover about 45% of PRS variants</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Scores pulled to average; high-risk people missed</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LD imputation (E13)</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Ties in coarse scores (IDRS moves in steps of 10)</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More than 20% flagged, IDRS capture inflated</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Exactly 20% flagged, ties broken at random</w:t>
            </w:r>
          </w:p>
        </w:tc>
      </w:tr>
      <w:tr>
        <w:trPr>
          <w:cantSplit/>
        </w:trPr>
        <w:tc>
          <w:tcPr>
            <w:tcW w:type="dxa" w:w="33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Step-shaped (isotonic) calibration</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Some risks shown as 0%</w:t>
            </w:r>
          </w:p>
        </w:tc>
        <w:tc>
          <w:tcPr>
            <w:tcW w:type="dxa" w:w="31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Smooth Platt calibration</w:t>
            </w:r>
          </w:p>
        </w:tc>
      </w:tr>
    </w:tbl>
    <w:p>
      <w:pPr>
        <w:pStyle w:val="Heading1"/>
        <w:pageBreakBefore/>
      </w:pPr>
      <w:r>
        <w:t xml:space="preserve">CHAPTER 6: CONCLUSIONS AND FUTURE SCOPE</w:t>
      </w:r>
    </w:p>
    <w:p>
      <w:pPr>
        <w:pStyle w:val="Heading2"/>
        <w:keepNext/>
      </w:pPr>
      <w:r>
        <w:t xml:space="preserve">6.1 Work Accomplished</w:t>
      </w:r>
    </w:p>
    <w:p>
      <w:pPr>
        <w:spacing w:after="120" w:before="0" w:line="276"/>
        <w:jc w:val="both"/>
      </w:pPr>
      <w:r>
        <w:t xml:space="preserve">Table 11 compares each objective approved at the mid-semester evaluation with its status then and now.</w:t>
      </w:r>
    </w:p>
    <w:p>
      <w:pPr>
        <w:keepNext/>
        <w:spacing w:after="80" w:before="120"/>
      </w:pPr>
      <w:r>
        <w:rPr>
          <w:b/>
          <w:bCs/>
          <w:sz w:val="22"/>
          <w:szCs w:val="22"/>
        </w:rPr>
        <w:t xml:space="preserve">Table 11: </w:t>
      </w:r>
      <w:r>
        <w:rPr>
          <w:sz w:val="22"/>
          <w:szCs w:val="22"/>
        </w:rPr>
        <w:t xml:space="preserve">Status of the approved objectives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950"/>
        <w:gridCol w:w="1500"/>
        <w:gridCol w:w="3786"/>
      </w:tblGrid>
      <w:tr>
        <w:trPr>
          <w:cantSplit/>
          <w:tblHeader/>
        </w:trPr>
        <w:tc>
          <w:tcPr>
            <w:tcW w:type="dxa" w:w="4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w:t>
            </w:r>
          </w:p>
        </w:tc>
        <w:tc>
          <w:tcPr>
            <w:tcW w:type="dxa" w:w="27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Approved objective</w:t>
            </w:r>
          </w:p>
        </w:tc>
        <w:tc>
          <w:tcPr>
            <w:tcW w:type="dxa" w:w="95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center"/>
            </w:pPr>
            <w:r>
              <w:rPr>
                <w:b/>
                <w:bCs/>
                <w:sz w:val="20"/>
                <w:szCs w:val="20"/>
              </w:rPr>
              <w:t xml:space="preserve">Mid-sem</w:t>
            </w:r>
          </w:p>
        </w:tc>
        <w:tc>
          <w:tcPr>
            <w:tcW w:type="dxa" w:w="15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Now</w:t>
            </w:r>
          </w:p>
        </w:tc>
        <w:tc>
          <w:tcPr>
            <w:tcW w:type="dxa" w:w="37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Evidence</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Genomic data pipeline: QC, SNP selection, pair ranking, labels</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 rebuilt on real data</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rFonts w:ascii="Consolas" w:cs="Consolas" w:eastAsia="Consolas" w:hAnsi="Consolas"/>
                <w:sz w:val="17"/>
                <w:szCs w:val="17"/>
              </w:rPr>
              <w:t xml:space="preserve">make data</w:t>
            </w:r>
            <w:r>
              <w:rPr>
                <w:sz w:val="20"/>
                <w:szCs w:val="20"/>
              </w:rPr>
              <w:t xml:space="preserve"> rebuilds every file from the raw downloads; a full re-run gave identical output</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Variational quantum circuit encoder for SNP pairs</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20%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8-qubit circuit; our simulator matches PennyLane to 10</w:t>
            </w:r>
            <w:r>
              <w:rPr>
                <w:sz w:val="20"/>
                <w:szCs w:val="20"/>
                <w:vertAlign w:val="superscript"/>
              </w:rPr>
              <w:t xml:space="preserve">−6</w:t>
            </w:r>
            <w:r>
              <w:rPr>
                <w:sz w:val="20"/>
                <w:szCs w:val="20"/>
              </w:rPr>
              <w:t xml:space="preserve"> and trains 7× faster</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3</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Classical baselines (LR, RF, XGBoost, SVM) and PRS</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15%</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Also the IDRS, a BMI rule and a clinical-factor model</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4</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Hybrid stacking ensemble</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Stacked model has the best AUC, 0.877</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5</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SHAP-guided adaptive pair refinement</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Built, tested, replaced</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SHAP ranking found 33% of planted pairs vs 73% for the score test; SHAP kept for per-person explanations</w:t>
            </w:r>
          </w:p>
        </w:tc>
      </w:tr>
      <w:tr>
        <w:trPr>
          <w:cantSplit/>
        </w:trPr>
        <w:tc>
          <w:tcPr>
            <w:tcW w:type="dxa" w:w="4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6</w:t>
            </w:r>
          </w:p>
        </w:tc>
        <w:tc>
          <w:tcPr>
            <w:tcW w:type="dxa" w:w="27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Benchmark: AUC-ROC, F1, EDR@K, DeLong, McNemar</w:t>
            </w:r>
          </w:p>
        </w:tc>
        <w:tc>
          <w:tcPr>
            <w:tcW w:type="dxa" w:w="95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center"/>
            </w:pPr>
            <w:r>
              <w:rPr>
                <w:sz w:val="20"/>
                <w:szCs w:val="20"/>
              </w:rPr>
              <w:t xml:space="preserve">10%</w:t>
            </w:r>
          </w:p>
        </w:tc>
        <w:tc>
          <w:tcPr>
            <w:tcW w:type="dxa" w:w="15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Complete</w:t>
            </w:r>
          </w:p>
        </w:tc>
        <w:tc>
          <w:tcPr>
            <w:tcW w:type="dxa" w:w="37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17 models, 15 experiments (E0–E13), Holm-corrected tests</w:t>
            </w:r>
          </w:p>
        </w:tc>
      </w:tr>
    </w:tbl>
    <w:p>
      <w:pPr>
        <w:spacing w:after="120" w:before="120" w:line="276"/>
        <w:jc w:val="both"/>
      </w:pPr>
      <w:r>
        <w:t xml:space="preserve">Beyond the approved objectives the project added QAOA with error mitigation, clinical factors and the IDRS, tests on real genomes, fairness and robustness studies, LD imputation for consumer DNA files, and a complete application with a PDF report and a Docker image.</w:t>
      </w:r>
    </w:p>
    <w:p>
      <w:pPr>
        <w:pStyle w:val="Heading2"/>
        <w:keepNext/>
      </w:pPr>
      <w:r>
        <w:t xml:space="preserve">6.2 Conclusions</w:t>
      </w:r>
    </w:p>
    <w:p>
      <w:pPr>
        <w:spacing w:after="120" w:before="0" w:line="276"/>
        <w:jc w:val="both"/>
      </w:pPr>
      <w:r>
        <w:t xml:space="preserve">QGenomix is a complete, tested system built around a clear clinical question. On simulated outcomes over real genotypes, genetic scores add substantially to India's screening questionnaire and nearly double the share of lean diabetes cases caught (30% → 58%); the finding survives 13 of 13 alternative simulator settings and holds in every South Asian population tested. The interaction search finds planted gene pairs reliably and stays quiet when there are none. The application turns a consumer DNA file into a calibrated, explained report, with LD imputation for partial files. The quantum methods are implemented with care and with classical controls; they show no advantage yet, and error mitigation recovers most of the quality that hardware noise destroys. The main limit is that outcomes are simulated; validation on a consented Indian cohort is the next step beyond this course.</w:t>
      </w:r>
    </w:p>
    <w:p>
      <w:pPr>
        <w:pStyle w:val="Heading2"/>
        <w:keepNext/>
      </w:pPr>
      <w:r>
        <w:t xml:space="preserve">6.3 Environmental / Social Benefits</w:t>
      </w:r>
    </w:p>
    <w:p>
      <w:pPr>
        <w:spacing w:after="120" w:before="0" w:line="276"/>
        <w:jc w:val="both"/>
      </w:pPr>
      <w:r>
        <w:t xml:space="preserve">Earlier identification of lean South Asians at high risk allows lifestyle change before diabetes develops, which is cheaper and kinder than treating its complications. QGenomix needs only a consumer DNA file and six questions, runs on an ordinary laptop with a small energy footprint, processes genetic data in memory without storing it, and is open source, so it could be adapted for public-health screening at low cost.</w:t>
      </w:r>
    </w:p>
    <w:p>
      <w:pPr>
        <w:pStyle w:val="Heading2"/>
        <w:keepNext/>
      </w:pPr>
      <w:r>
        <w:t xml:space="preserve">6.4 Future Work Plan</w:t>
      </w:r>
    </w:p>
    <w:p>
      <w:pPr>
        <w:spacing w:after="120" w:before="0" w:line="276"/>
        <w:jc w:val="both"/>
      </w:pPr>
      <w:r>
        <w:t xml:space="preserve">The final panel evaluation is about two weeks away (around 9 November 2026). Two features have been kept for the panel because each needs an account in the team's own name; both are built and rehearsed (Table 12).</w:t>
      </w:r>
    </w:p>
    <w:p>
      <w:pPr>
        <w:keepNext/>
        <w:spacing w:after="80" w:before="120"/>
      </w:pPr>
      <w:r>
        <w:rPr>
          <w:b/>
          <w:bCs/>
          <w:sz w:val="22"/>
          <w:szCs w:val="22"/>
        </w:rPr>
        <w:t xml:space="preserve">Table 12: </w:t>
      </w:r>
      <w:r>
        <w:rPr>
          <w:sz w:val="22"/>
          <w:szCs w:val="22"/>
        </w:rPr>
        <w:t xml:space="preserve">Features kept for the final panel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3486"/>
        <w:gridCol w:w="1000"/>
      </w:tblGrid>
      <w:tr>
        <w:trPr>
          <w:cantSplit/>
          <w:tblHeader/>
        </w:trPr>
        <w:tc>
          <w:tcPr>
            <w:tcW w:type="dxa" w:w="2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Feature</w:t>
            </w:r>
          </w:p>
        </w:tc>
        <w:tc>
          <w:tcPr>
            <w:tcW w:type="dxa" w:w="29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What is ready</w:t>
            </w:r>
          </w:p>
        </w:tc>
        <w:tc>
          <w:tcPr>
            <w:tcW w:type="dxa" w:w="34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What remains</w:t>
            </w:r>
          </w:p>
        </w:tc>
        <w:tc>
          <w:tcPr>
            <w:tcW w:type="dxa" w:w="1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Effort</w:t>
            </w:r>
          </w:p>
        </w:tc>
      </w:tr>
      <w:tr>
        <w:trPr>
          <w:cantSplit/>
        </w:trPr>
        <w:tc>
          <w:tcPr>
            <w:tcW w:type="dxa" w:w="2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Run on a real IBM quantum computer</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rFonts w:ascii="Consolas" w:cs="Consolas" w:eastAsia="Consolas" w:hAnsi="Consolas"/>
                <w:sz w:val="17"/>
                <w:szCs w:val="17"/>
              </w:rPr>
              <w:t xml:space="preserve">scripts/run_ibm.py</w:t>
            </w:r>
            <w:r>
              <w:rPr>
                <w:sz w:val="20"/>
                <w:szCs w:val="20"/>
              </w:rPr>
              <w:t xml:space="preserve"> with error mitigation, dynamical decoupling and twirling; rehearsed on the Kingston noise model</w:t>
            </w:r>
          </w:p>
        </w:tc>
        <w:tc>
          <w:tcPr>
            <w:tcW w:type="dxa" w:w="3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Create a free IBM Quantum account, run one batched job (about 2 of the 10 free QPU minutes); </w:t>
            </w:r>
            <w:r>
              <w:rPr>
                <w:rFonts w:ascii="Consolas" w:cs="Consolas" w:eastAsia="Consolas" w:hAnsi="Consolas"/>
                <w:sz w:val="17"/>
                <w:szCs w:val="17"/>
              </w:rPr>
              <w:t xml:space="preserve">make figures</w:t>
            </w:r>
            <w:r>
              <w:rPr>
                <w:sz w:val="20"/>
                <w:szCs w:val="20"/>
              </w:rPr>
              <w:t xml:space="preserve"> adds the result to Figure 14</w:t>
            </w:r>
          </w:p>
        </w:tc>
        <w:tc>
          <w:tcPr>
            <w:tcW w:type="dxa" w:w="1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 day</w:t>
            </w:r>
          </w:p>
        </w:tc>
      </w:tr>
      <w:tr>
        <w:trPr>
          <w:cantSplit/>
        </w:trPr>
        <w:tc>
          <w:tcPr>
            <w:tcW w:type="dxa" w:w="2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Public online demo</w:t>
            </w:r>
          </w:p>
        </w:tc>
        <w:tc>
          <w:tcPr>
            <w:tcW w:type="dxa" w:w="29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Docker image and compose file; health checks pass</w:t>
            </w:r>
          </w:p>
        </w:tc>
        <w:tc>
          <w:tcPr>
            <w:tcW w:type="dxa" w:w="34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Deploy the image to a free host under a team account; put the link on the slides</w:t>
            </w:r>
          </w:p>
        </w:tc>
        <w:tc>
          <w:tcPr>
            <w:tcW w:type="dxa" w:w="1000"/>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1 day</w:t>
            </w:r>
          </w:p>
        </w:tc>
      </w:tr>
    </w:tbl>
    <w:p>
      <w:pPr>
        <w:keepNext/>
        <w:spacing w:after="80" w:before="120"/>
      </w:pPr>
      <w:r>
        <w:rPr>
          <w:b/>
          <w:bCs/>
          <w:sz w:val="22"/>
          <w:szCs w:val="22"/>
        </w:rPr>
        <w:t xml:space="preserve">Table 13: </w:t>
      </w:r>
      <w:r>
        <w:rPr>
          <w:sz w:val="22"/>
          <w:szCs w:val="22"/>
        </w:rPr>
        <w:t xml:space="preserve">Schedule to the final panel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7386"/>
      </w:tblGrid>
      <w:tr>
        <w:trPr>
          <w:cantSplit/>
          <w:tblHeader/>
        </w:trPr>
        <w:tc>
          <w:tcPr>
            <w:tcW w:type="dxa" w:w="2000"/>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Dates</w:t>
            </w:r>
          </w:p>
        </w:tc>
        <w:tc>
          <w:tcPr>
            <w:tcW w:type="dxa" w:w="7386"/>
            <w:tcBorders>
              <w:top w:val="single" w:color="8A9AA4" w:sz="4"/>
              <w:left w:val="single" w:color="8A9AA4" w:sz="4"/>
              <w:bottom w:val="single" w:color="8A9AA4" w:sz="4"/>
              <w:right w:val="single" w:color="8A9AA4" w:sz="4"/>
            </w:tcBorders>
            <w:shd w:fill="DCE5EA" w:color="auto" w:val="clear"/>
            <w:tcMar>
              <w:top w:type="dxa" w:w="60"/>
              <w:left w:type="dxa" w:w="100"/>
              <w:bottom w:type="dxa" w:w="60"/>
              <w:right w:type="dxa" w:w="100"/>
            </w:tcMar>
            <w:vAlign w:val="center"/>
          </w:tcPr>
          <w:p>
            <w:pPr>
              <w:spacing w:after="0" w:line="250"/>
              <w:jc w:val="left"/>
            </w:pPr>
            <w:r>
              <w:rPr>
                <w:b/>
                <w:bCs/>
                <w:sz w:val="20"/>
                <w:szCs w:val="20"/>
              </w:rPr>
              <w:t xml:space="preserve">Work</w:t>
            </w:r>
          </w:p>
        </w:tc>
      </w:tr>
      <w:tr>
        <w:trPr>
          <w:cantSplit/>
        </w:trPr>
        <w:tc>
          <w:tcPr>
            <w:tcW w:type="dxa" w:w="2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28–31 October</w:t>
            </w:r>
          </w:p>
        </w:tc>
        <w:tc>
          <w:tcPr>
            <w:tcW w:type="dxa" w:w="7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IBM hardware run and analysis; public demo deployment; update figures and report</w:t>
            </w:r>
          </w:p>
        </w:tc>
      </w:tr>
      <w:tr>
        <w:trPr>
          <w:cantSplit/>
        </w:trPr>
        <w:tc>
          <w:tcPr>
            <w:tcW w:type="dxa" w:w="2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1–5 November</w:t>
            </w:r>
          </w:p>
        </w:tc>
        <w:tc>
          <w:tcPr>
            <w:tcW w:type="dxa" w:w="7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Final report; IEEE-format paper draft; slides; three-minute demo video</w:t>
            </w:r>
          </w:p>
        </w:tc>
      </w:tr>
      <w:tr>
        <w:trPr>
          <w:cantSplit/>
        </w:trPr>
        <w:tc>
          <w:tcPr>
            <w:tcW w:type="dxa" w:w="2000"/>
            <w:tcBorders>
              <w:top w:val="single" w:color="8A9AA4" w:sz="4"/>
              <w:left w:val="single" w:color="8A9AA4" w:sz="4"/>
              <w:bottom w:val="single" w:color="8A9AA4" w:sz="4"/>
              <w:right w:val="single" w:color="8A9AA4" w:sz="4"/>
            </w:tcBorders>
            <w:shd w:fill="F3F6F8" w:color="auto" w:val="clear"/>
            <w:tcMar>
              <w:top w:type="dxa" w:w="60"/>
              <w:left w:type="dxa" w:w="100"/>
              <w:bottom w:type="dxa" w:w="60"/>
              <w:right w:type="dxa" w:w="100"/>
            </w:tcMar>
            <w:vAlign w:val="center"/>
          </w:tcPr>
          <w:p>
            <w:pPr>
              <w:spacing w:after="0" w:line="250"/>
              <w:jc w:val="left"/>
            </w:pPr>
            <w:r>
              <w:rPr>
                <w:sz w:val="20"/>
                <w:szCs w:val="20"/>
              </w:rPr>
              <w:t xml:space="preserve">6–9 November</w:t>
            </w:r>
          </w:p>
        </w:tc>
        <w:tc>
          <w:tcPr>
            <w:tcW w:type="dxa" w:w="7386"/>
            <w:tcBorders>
              <w:top w:val="single" w:color="8A9AA4" w:sz="4"/>
              <w:left w:val="single" w:color="8A9AA4" w:sz="4"/>
              <w:bottom w:val="single" w:color="8A9AA4" w:sz="4"/>
              <w:right w:val="single" w:color="8A9AA4" w:sz="4"/>
            </w:tcBorders>
            <w:tcMar>
              <w:top w:type="dxa" w:w="60"/>
              <w:left w:type="dxa" w:w="100"/>
              <w:bottom w:type="dxa" w:w="60"/>
              <w:right w:type="dxa" w:w="100"/>
            </w:tcMar>
            <w:vAlign w:val="center"/>
          </w:tcPr>
          <w:p>
            <w:pPr>
              <w:spacing w:after="0" w:line="250"/>
              <w:jc w:val="left"/>
            </w:pPr>
            <w:r>
              <w:rPr>
                <w:sz w:val="20"/>
                <w:szCs w:val="20"/>
              </w:rPr>
              <w:t xml:space="preserve">Full test run on a clean machine; timed rehearsal with each member presenting one part</w:t>
            </w:r>
          </w:p>
        </w:tc>
      </w:tr>
    </w:tbl>
    <w:p>
      <w:pPr>
        <w:spacing w:after="120" w:before="120" w:line="276"/>
        <w:jc w:val="both"/>
      </w:pPr>
      <w:r>
        <w:t xml:space="preserve">Beyond the course, the natural next steps are validation on real Indian patients (for example GenomeIndia data through the Indian Biological Data Centre), imputation with a larger reference panel, extension to other ancestries and traits, and a paper on the screening and interaction results.</w:t>
      </w:r>
    </w:p>
    <w:p>
      <w:pPr>
        <w:pStyle w:val="Heading1"/>
        <w:pageBreakBefore/>
      </w:pPr>
      <w:r>
        <w:t xml:space="preserve">APPENDIX A: REFERENCES</w:t>
      </w:r>
    </w:p>
    <w:p>
      <w:pPr>
        <w:tabs>
          <w:tab w:val="left" w:pos="560"/>
        </w:tabs>
        <w:spacing w:after="80" w:line="260"/>
        <w:ind w:left="560" w:hanging="560"/>
      </w:pPr>
      <w:r>
        <w:rPr>
          <w:sz w:val="22"/>
          <w:szCs w:val="22"/>
        </w:rPr>
        <w:t xml:space="preserve">[1]	</w:t>
      </w:r>
      <w:r>
        <w:rPr>
          <w:sz w:val="22"/>
          <w:szCs w:val="22"/>
        </w:rPr>
        <w:t xml:space="preserve">R. M. Anjana et al., "Metabolic non-communicable disease health report of India: the ICMR-INDIAB national cross-sectional study (ICMR-INDIAB-17)," Lancet Diabetes Endocrinol., vol. 11, no. 7, pp. 474–489, 2023.</w:t>
      </w:r>
    </w:p>
    <w:p>
      <w:pPr>
        <w:tabs>
          <w:tab w:val="left" w:pos="560"/>
        </w:tabs>
        <w:spacing w:after="80" w:line="260"/>
        <w:ind w:left="560" w:hanging="560"/>
      </w:pPr>
      <w:r>
        <w:rPr>
          <w:sz w:val="22"/>
          <w:szCs w:val="22"/>
        </w:rPr>
        <w:t xml:space="preserve">[2]	</w:t>
      </w:r>
      <w:r>
        <w:rPr>
          <w:sz w:val="22"/>
          <w:szCs w:val="22"/>
        </w:rPr>
        <w:t xml:space="preserve">K. M. V. Narayan and A. M. Kanaya, "Why are South Asians prone to type 2 diabetes? A hypothesis based on underexplored pathways," Diabetologia, vol. 63, pp. 1103–1109, 2020.</w:t>
      </w:r>
    </w:p>
    <w:p>
      <w:pPr>
        <w:tabs>
          <w:tab w:val="left" w:pos="560"/>
        </w:tabs>
        <w:spacing w:after="80" w:line="260"/>
        <w:ind w:left="560" w:hanging="560"/>
      </w:pPr>
      <w:r>
        <w:rPr>
          <w:sz w:val="22"/>
          <w:szCs w:val="22"/>
        </w:rPr>
        <w:t xml:space="preserve">[3]	</w:t>
      </w:r>
      <w:r>
        <w:rPr>
          <w:sz w:val="22"/>
          <w:szCs w:val="22"/>
        </w:rPr>
        <w:t xml:space="preserve">V. Mohan, R. Deepa, M. Deepa, S. Somannavar and M. Datta, "A simplified Indian Diabetes Risk Score for screening for undiagnosed diabetic subjects," J. Assoc. Physicians India, vol. 53, pp. 759–763, 2005.</w:t>
      </w:r>
    </w:p>
    <w:p>
      <w:pPr>
        <w:tabs>
          <w:tab w:val="left" w:pos="560"/>
        </w:tabs>
        <w:spacing w:after="80" w:line="260"/>
        <w:ind w:left="560" w:hanging="560"/>
      </w:pPr>
      <w:r>
        <w:rPr>
          <w:sz w:val="22"/>
          <w:szCs w:val="22"/>
        </w:rPr>
        <w:t xml:space="preserve">[4]	</w:t>
      </w:r>
      <w:r>
        <w:rPr>
          <w:sz w:val="22"/>
          <w:szCs w:val="22"/>
        </w:rPr>
        <w:t xml:space="preserve">A. Huerta-Chagoya et al., medRxiv, 2025, doi: 10.1101/2025.07.21.25331778 (D-PRISM scores PGS005373–PGS005377).</w:t>
      </w:r>
    </w:p>
    <w:p>
      <w:pPr>
        <w:tabs>
          <w:tab w:val="left" w:pos="560"/>
        </w:tabs>
        <w:spacing w:after="80" w:line="260"/>
        <w:ind w:left="560" w:hanging="560"/>
      </w:pPr>
      <w:r>
        <w:rPr>
          <w:sz w:val="22"/>
          <w:szCs w:val="22"/>
        </w:rPr>
        <w:t xml:space="preserve">[5]	</w:t>
      </w:r>
      <w:r>
        <w:rPr>
          <w:sz w:val="22"/>
          <w:szCs w:val="22"/>
        </w:rPr>
        <w:t xml:space="preserve">D. P. Loesch et al., Nature Communications, 2025, doi: 10.1038/s41467-025-56695-z (mechanism scores PGS005115–PGS005119).</w:t>
      </w:r>
    </w:p>
    <w:p>
      <w:pPr>
        <w:tabs>
          <w:tab w:val="left" w:pos="560"/>
        </w:tabs>
        <w:spacing w:after="80" w:line="260"/>
        <w:ind w:left="560" w:hanging="560"/>
      </w:pPr>
      <w:r>
        <w:rPr>
          <w:sz w:val="22"/>
          <w:szCs w:val="22"/>
        </w:rPr>
        <w:t xml:space="preserve">[6]	</w:t>
      </w:r>
      <w:r>
        <w:rPr>
          <w:sz w:val="22"/>
          <w:szCs w:val="22"/>
        </w:rPr>
        <w:t xml:space="preserve">S. A. Lambert et al., "The Polygenic Score Catalog as an open database for reproducibility and systematic evaluation," Nat. Genet., vol. 53, pp. 420–425, 2021.</w:t>
      </w:r>
    </w:p>
    <w:p>
      <w:pPr>
        <w:tabs>
          <w:tab w:val="left" w:pos="560"/>
        </w:tabs>
        <w:spacing w:after="80" w:line="260"/>
        <w:ind w:left="560" w:hanging="560"/>
      </w:pPr>
      <w:r>
        <w:rPr>
          <w:sz w:val="22"/>
          <w:szCs w:val="22"/>
        </w:rPr>
        <w:t xml:space="preserve">[7]	</w:t>
      </w:r>
      <w:r>
        <w:rPr>
          <w:sz w:val="22"/>
          <w:szCs w:val="22"/>
        </w:rPr>
        <w:t xml:space="preserve">G. S. Collins, J. B. Reitsma, D. G. Altman and K. G. M. Moons, "Transparent reporting of a multivariable prediction model for individual prognosis or diagnosis (TRIPOD): the TRIPOD statement," BMJ, vol. 350, art. g7594, 2015.</w:t>
      </w:r>
    </w:p>
    <w:p>
      <w:pPr>
        <w:tabs>
          <w:tab w:val="left" w:pos="560"/>
        </w:tabs>
        <w:spacing w:after="80" w:line="260"/>
        <w:ind w:left="560" w:hanging="560"/>
      </w:pPr>
      <w:r>
        <w:rPr>
          <w:sz w:val="22"/>
          <w:szCs w:val="22"/>
        </w:rPr>
        <w:t xml:space="preserve">[8]	</w:t>
      </w:r>
      <w:r>
        <w:rPr>
          <w:sz w:val="22"/>
          <w:szCs w:val="22"/>
        </w:rPr>
        <w:t xml:space="preserve">A. V. Khera et al., "Genome-wide polygenic scores for common diseases identify individuals with risk equivalent to monogenic mutations," Nat. Genet., vol. 50, pp. 1219–1224, 2018.</w:t>
      </w:r>
    </w:p>
    <w:p>
      <w:pPr>
        <w:tabs>
          <w:tab w:val="left" w:pos="560"/>
        </w:tabs>
        <w:spacing w:after="80" w:line="260"/>
        <w:ind w:left="560" w:hanging="560"/>
      </w:pPr>
      <w:r>
        <w:rPr>
          <w:sz w:val="22"/>
          <w:szCs w:val="22"/>
        </w:rPr>
        <w:t xml:space="preserve">[9]	</w:t>
      </w:r>
      <w:r>
        <w:rPr>
          <w:sz w:val="22"/>
          <w:szCs w:val="22"/>
        </w:rPr>
        <w:t xml:space="preserve">Y. Ruan et al., "Improving polygenic prediction in ancestrally diverse populations," Nat. Genet., vol. 54, pp. 573–580, 2022.</w:t>
      </w:r>
    </w:p>
    <w:p>
      <w:pPr>
        <w:tabs>
          <w:tab w:val="left" w:pos="560"/>
        </w:tabs>
        <w:spacing w:after="80" w:line="260"/>
        <w:ind w:left="560" w:hanging="560"/>
      </w:pPr>
      <w:r>
        <w:rPr>
          <w:sz w:val="22"/>
          <w:szCs w:val="22"/>
        </w:rPr>
        <w:t xml:space="preserve">[10]	</w:t>
      </w:r>
      <w:r>
        <w:rPr>
          <w:sz w:val="22"/>
          <w:szCs w:val="22"/>
        </w:rPr>
        <w:t xml:space="preserve">A. Mahajan et al., "Multi-ancestry genetic study of type 2 diabetes highlights the power of diverse populations for discovery and translation," Nat. Genet., vol. 54, pp. 560–572, 2022.</w:t>
      </w:r>
    </w:p>
    <w:p>
      <w:pPr>
        <w:tabs>
          <w:tab w:val="left" w:pos="560"/>
        </w:tabs>
        <w:spacing w:after="80" w:line="260"/>
        <w:ind w:left="560" w:hanging="560"/>
      </w:pPr>
      <w:r>
        <w:rPr>
          <w:sz w:val="22"/>
          <w:szCs w:val="22"/>
        </w:rPr>
        <w:t xml:space="preserve">[11]	</w:t>
      </w:r>
      <w:r>
        <w:rPr>
          <w:sz w:val="22"/>
          <w:szCs w:val="22"/>
        </w:rPr>
        <w:t xml:space="preserve">M. S. Udler et al., "Type 2 diabetes genetic loci informed by multi-trait associations point to disease mechanisms and subtypes: a soft clustering analysis," PLoS Med., vol. 15, no. 9, art. e1002654, 2018.</w:t>
      </w:r>
    </w:p>
    <w:p>
      <w:pPr>
        <w:tabs>
          <w:tab w:val="left" w:pos="560"/>
        </w:tabs>
        <w:spacing w:after="80" w:line="260"/>
        <w:ind w:left="560" w:hanging="560"/>
      </w:pPr>
      <w:r>
        <w:rPr>
          <w:sz w:val="22"/>
          <w:szCs w:val="22"/>
        </w:rPr>
        <w:t xml:space="preserve">[12]	</w:t>
      </w:r>
      <w:r>
        <w:rPr>
          <w:sz w:val="22"/>
          <w:szCs w:val="22"/>
        </w:rPr>
        <w:t xml:space="preserve">H. J. Cordell, "Detecting gene–gene interactions that underlie human diseases," Nat. Rev. Genet., vol. 10, pp. 392–404, 2009.</w:t>
      </w:r>
    </w:p>
    <w:p>
      <w:pPr>
        <w:tabs>
          <w:tab w:val="left" w:pos="560"/>
        </w:tabs>
        <w:spacing w:after="80" w:line="260"/>
        <w:ind w:left="560" w:hanging="560"/>
      </w:pPr>
      <w:r>
        <w:rPr>
          <w:sz w:val="22"/>
          <w:szCs w:val="22"/>
        </w:rPr>
        <w:t xml:space="preserve">[13]	</w:t>
      </w:r>
      <w:r>
        <w:rPr>
          <w:sz w:val="22"/>
          <w:szCs w:val="22"/>
        </w:rPr>
        <w:t xml:space="preserve">A. Lucas, "Ising formulations of many NP problems," Frontiers in Physics, vol. 2, art. 5, 2014.</w:t>
      </w:r>
    </w:p>
    <w:p>
      <w:pPr>
        <w:tabs>
          <w:tab w:val="left" w:pos="560"/>
        </w:tabs>
        <w:spacing w:after="80" w:line="260"/>
        <w:ind w:left="560" w:hanging="560"/>
      </w:pPr>
      <w:r>
        <w:rPr>
          <w:sz w:val="22"/>
          <w:szCs w:val="22"/>
        </w:rPr>
        <w:t xml:space="preserve">[14]	</w:t>
      </w:r>
      <w:r>
        <w:rPr>
          <w:sz w:val="22"/>
          <w:szCs w:val="22"/>
        </w:rPr>
        <w:t xml:space="preserve">E. Farhi, J. Goldstone and S. Gutmann, "A quantum approximate optimization algorithm," arXiv:1411.4028, 2014.</w:t>
      </w:r>
    </w:p>
    <w:p>
      <w:pPr>
        <w:tabs>
          <w:tab w:val="left" w:pos="560"/>
        </w:tabs>
        <w:spacing w:after="80" w:line="260"/>
        <w:ind w:left="560" w:hanging="560"/>
      </w:pPr>
      <w:r>
        <w:rPr>
          <w:sz w:val="22"/>
          <w:szCs w:val="22"/>
        </w:rPr>
        <w:t xml:space="preserve">[15]	</w:t>
      </w:r>
      <w:r>
        <w:rPr>
          <w:sz w:val="22"/>
          <w:szCs w:val="22"/>
        </w:rPr>
        <w:t xml:space="preserve">S. Hadfield et al., "From the quantum approximate optimization algorithm to a quantum alternating operator ansatz," Algorithms, vol. 12, no. 2, art. 34, 2019.</w:t>
      </w:r>
    </w:p>
    <w:p>
      <w:pPr>
        <w:tabs>
          <w:tab w:val="left" w:pos="560"/>
        </w:tabs>
        <w:spacing w:after="80" w:line="260"/>
        <w:ind w:left="560" w:hanging="560"/>
      </w:pPr>
      <w:r>
        <w:rPr>
          <w:sz w:val="22"/>
          <w:szCs w:val="22"/>
        </w:rPr>
        <w:t xml:space="preserve">[16]	</w:t>
      </w:r>
      <w:r>
        <w:rPr>
          <w:sz w:val="22"/>
          <w:szCs w:val="22"/>
        </w:rPr>
        <w:t xml:space="preserve">A. Pérez-Salinas, A. Cervera-Lierta, E. Gil-Fuster and J. I. Latorre, "Data re-uploading for a universal quantum classifier," Quantum, vol. 4, art. 226, 2020.</w:t>
      </w:r>
    </w:p>
    <w:p>
      <w:pPr>
        <w:tabs>
          <w:tab w:val="left" w:pos="560"/>
        </w:tabs>
        <w:spacing w:after="80" w:line="260"/>
        <w:ind w:left="560" w:hanging="560"/>
      </w:pPr>
      <w:r>
        <w:rPr>
          <w:sz w:val="22"/>
          <w:szCs w:val="22"/>
        </w:rPr>
        <w:t xml:space="preserve">[17]	</w:t>
      </w:r>
      <w:r>
        <w:rPr>
          <w:sz w:val="22"/>
          <w:szCs w:val="22"/>
        </w:rPr>
        <w:t xml:space="preserve">V. Havlíček et al., "Supervised learning with quantum-enhanced feature spaces," Nature, vol. 567, pp. 209–212, 2019.</w:t>
      </w:r>
    </w:p>
    <w:p>
      <w:pPr>
        <w:tabs>
          <w:tab w:val="left" w:pos="560"/>
        </w:tabs>
        <w:spacing w:after="80" w:line="260"/>
        <w:ind w:left="560" w:hanging="560"/>
      </w:pPr>
      <w:r>
        <w:rPr>
          <w:sz w:val="22"/>
          <w:szCs w:val="22"/>
        </w:rPr>
        <w:t xml:space="preserve">[18]	</w:t>
      </w:r>
      <w:r>
        <w:rPr>
          <w:sz w:val="22"/>
          <w:szCs w:val="22"/>
        </w:rPr>
        <w:t xml:space="preserve">K. Temme, S. Bravyi and J. M. Gambetta, "Error mitigation for short-depth quantum circuits," Phys. Rev. Lett., vol. 119, art. 180509, 2017.</w:t>
      </w:r>
    </w:p>
    <w:p>
      <w:pPr>
        <w:tabs>
          <w:tab w:val="left" w:pos="560"/>
        </w:tabs>
        <w:spacing w:after="80" w:line="260"/>
        <w:ind w:left="560" w:hanging="560"/>
      </w:pPr>
      <w:r>
        <w:rPr>
          <w:sz w:val="22"/>
          <w:szCs w:val="22"/>
        </w:rPr>
        <w:t xml:space="preserve">[19]	</w:t>
      </w:r>
      <w:r>
        <w:rPr>
          <w:sz w:val="22"/>
          <w:szCs w:val="22"/>
        </w:rPr>
        <w:t xml:space="preserve">S. Bravyi, S. Sheldon, A. Kandala, D. C. Mckay and J. M. Gambetta, "Mitigating measurement errors in multiqubit experiments," Phys. Rev. A, vol. 103, art. 042605, 2021.</w:t>
      </w:r>
    </w:p>
    <w:p>
      <w:pPr>
        <w:tabs>
          <w:tab w:val="left" w:pos="560"/>
        </w:tabs>
        <w:spacing w:after="80" w:line="260"/>
        <w:ind w:left="560" w:hanging="560"/>
      </w:pPr>
      <w:r>
        <w:rPr>
          <w:sz w:val="22"/>
          <w:szCs w:val="22"/>
        </w:rPr>
        <w:t xml:space="preserve">[20]	</w:t>
      </w:r>
      <w:r>
        <w:rPr>
          <w:sz w:val="22"/>
          <w:szCs w:val="22"/>
        </w:rPr>
        <w:t xml:space="preserve">C. C. Chang et al., "Second-generation PLINK: rising to the challenge of larger and richer datasets," GigaScience, vol. 4, art. 7, 2015.</w:t>
      </w:r>
    </w:p>
    <w:p>
      <w:pPr>
        <w:tabs>
          <w:tab w:val="left" w:pos="560"/>
        </w:tabs>
        <w:spacing w:after="80" w:line="260"/>
        <w:ind w:left="560" w:hanging="560"/>
      </w:pPr>
      <w:r>
        <w:rPr>
          <w:sz w:val="22"/>
          <w:szCs w:val="22"/>
        </w:rPr>
        <w:t xml:space="preserve">[21]	</w:t>
      </w:r>
      <w:r>
        <w:rPr>
          <w:sz w:val="22"/>
          <w:szCs w:val="22"/>
        </w:rPr>
        <w:t xml:space="preserve">X. Wan et al., "BOOST: A fast approach to detecting gene-gene interactions in genome-wide case-control studies," Am. J. Hum. Genet., vol. 87, no. 3, pp. 325–340, 2010.</w:t>
      </w:r>
    </w:p>
    <w:p>
      <w:pPr>
        <w:tabs>
          <w:tab w:val="left" w:pos="560"/>
        </w:tabs>
        <w:spacing w:after="80" w:line="260"/>
        <w:ind w:left="560" w:hanging="560"/>
      </w:pPr>
      <w:r>
        <w:rPr>
          <w:sz w:val="22"/>
          <w:szCs w:val="22"/>
        </w:rPr>
        <w:t xml:space="preserve">[22]	</w:t>
      </w:r>
      <w:r>
        <w:rPr>
          <w:sz w:val="22"/>
          <w:szCs w:val="22"/>
        </w:rPr>
        <w:t xml:space="preserve">J. Marchini and B. Howie, "Genotype imputation for genome-wide association studies," Nat. Rev. Genet., vol. 11, pp. 499–511, 2010.</w:t>
      </w:r>
    </w:p>
    <w:p>
      <w:pPr>
        <w:tabs>
          <w:tab w:val="left" w:pos="560"/>
        </w:tabs>
        <w:spacing w:after="80" w:line="260"/>
        <w:ind w:left="560" w:hanging="560"/>
      </w:pPr>
      <w:r>
        <w:rPr>
          <w:sz w:val="22"/>
          <w:szCs w:val="22"/>
        </w:rPr>
        <w:t xml:space="preserve">[23]	</w:t>
      </w:r>
      <w:r>
        <w:rPr>
          <w:sz w:val="22"/>
          <w:szCs w:val="22"/>
        </w:rPr>
        <w:t xml:space="preserve">B. L. Browning and S. R. Browning, "Genotype imputation with millions of reference samples," Am. J. Hum. Genet., vol. 98, no. 1, pp. 116–126, 2016.</w:t>
      </w:r>
    </w:p>
    <w:p>
      <w:pPr>
        <w:tabs>
          <w:tab w:val="left" w:pos="560"/>
        </w:tabs>
        <w:spacing w:after="80" w:line="260"/>
        <w:ind w:left="560" w:hanging="560"/>
      </w:pPr>
      <w:r>
        <w:rPr>
          <w:sz w:val="22"/>
          <w:szCs w:val="22"/>
        </w:rPr>
        <w:t xml:space="preserve">[24]	</w:t>
      </w:r>
      <w:r>
        <w:rPr>
          <w:sz w:val="22"/>
          <w:szCs w:val="22"/>
        </w:rPr>
        <w:t xml:space="preserve">S. M. Lundberg and S.-I. Lee, "A unified approach to interpreting model predictions," in Advances in Neural Information Processing Systems (NeurIPS), 2017.</w:t>
      </w:r>
    </w:p>
    <w:p>
      <w:pPr>
        <w:tabs>
          <w:tab w:val="left" w:pos="560"/>
        </w:tabs>
        <w:spacing w:after="80" w:line="260"/>
        <w:ind w:left="560" w:hanging="560"/>
      </w:pPr>
      <w:r>
        <w:rPr>
          <w:sz w:val="22"/>
          <w:szCs w:val="22"/>
        </w:rPr>
        <w:t xml:space="preserve">[25]	</w:t>
      </w:r>
      <w:r>
        <w:rPr>
          <w:sz w:val="22"/>
          <w:szCs w:val="22"/>
        </w:rPr>
        <w:t xml:space="preserve">A. Bärtschi and S. Eidenbenz, "Deterministic preparation of Dicke states," in Fundamentals of Computation Theory (FCT), LNCS 11651, pp. 126–139, 2019.</w:t>
      </w:r>
    </w:p>
    <w:p>
      <w:pPr>
        <w:tabs>
          <w:tab w:val="left" w:pos="560"/>
        </w:tabs>
        <w:spacing w:after="80" w:line="260"/>
        <w:ind w:left="560" w:hanging="560"/>
      </w:pPr>
      <w:r>
        <w:rPr>
          <w:sz w:val="22"/>
          <w:szCs w:val="22"/>
        </w:rPr>
        <w:t xml:space="preserve">[26]	</w:t>
      </w:r>
      <w:r>
        <w:rPr>
          <w:sz w:val="22"/>
          <w:szCs w:val="22"/>
        </w:rPr>
        <w:t xml:space="preserve">1000 Genomes Project Consortium, "A global reference for human genetic variation," Nature, vol. 526, pp. 68–74, 2015.</w:t>
      </w:r>
    </w:p>
    <w:p>
      <w:pPr>
        <w:tabs>
          <w:tab w:val="left" w:pos="560"/>
        </w:tabs>
        <w:spacing w:after="80" w:line="260"/>
        <w:ind w:left="560" w:hanging="560"/>
      </w:pPr>
      <w:r>
        <w:rPr>
          <w:sz w:val="22"/>
          <w:szCs w:val="22"/>
        </w:rPr>
        <w:t xml:space="preserve">[27]	</w:t>
      </w:r>
      <w:r>
        <w:rPr>
          <w:sz w:val="22"/>
          <w:szCs w:val="22"/>
        </w:rPr>
        <w:t xml:space="preserve">H. Peng, F. Long and C. Ding, "Feature selection based on mutual information: criteria of max-dependency, max-relevance, and min-redundancy," IEEE Trans. Pattern Anal. Mach. Intell., vol. 27, no. 8, pp. 1226–1238, 2005.</w:t>
      </w:r>
    </w:p>
    <w:p>
      <w:pPr>
        <w:tabs>
          <w:tab w:val="left" w:pos="560"/>
        </w:tabs>
        <w:spacing w:after="80" w:line="260"/>
        <w:ind w:left="560" w:hanging="560"/>
      </w:pPr>
      <w:r>
        <w:rPr>
          <w:sz w:val="22"/>
          <w:szCs w:val="22"/>
        </w:rPr>
        <w:t xml:space="preserve">[28]	</w:t>
      </w:r>
      <w:r>
        <w:rPr>
          <w:sz w:val="22"/>
          <w:szCs w:val="22"/>
        </w:rPr>
        <w:t xml:space="preserve">X. Bonet-Monroig, R. Sagastizabal, M. Singh and T. E. O'Brien, "Low-cost error mitigation by symmetry verification," Phys. Rev. A, vol. 98, art. 062339, 2018.</w:t>
      </w:r>
    </w:p>
    <w:p>
      <w:pPr>
        <w:tabs>
          <w:tab w:val="left" w:pos="560"/>
        </w:tabs>
        <w:spacing w:after="80" w:line="260"/>
        <w:ind w:left="560" w:hanging="560"/>
      </w:pPr>
      <w:r>
        <w:rPr>
          <w:sz w:val="22"/>
          <w:szCs w:val="22"/>
        </w:rPr>
        <w:t xml:space="preserve">[29]	</w:t>
      </w:r>
      <w:r>
        <w:rPr>
          <w:sz w:val="22"/>
          <w:szCs w:val="22"/>
        </w:rPr>
        <w:t xml:space="preserve">E. R. DeLong, D. M. DeLong and D. L. Clarke-Pearson, "Comparing the areas under two or more correlated receiver operating characteristic curves: a nonparametric approach," Biometrics, vol. 44, no. 3, pp. 837–845, 1988.</w:t>
      </w:r>
    </w:p>
    <w:p>
      <w:pPr>
        <w:tabs>
          <w:tab w:val="left" w:pos="560"/>
        </w:tabs>
        <w:spacing w:after="80" w:line="260"/>
        <w:ind w:left="560" w:hanging="560"/>
      </w:pPr>
      <w:r>
        <w:rPr>
          <w:sz w:val="22"/>
          <w:szCs w:val="22"/>
        </w:rPr>
        <w:t xml:space="preserve">[30]	</w:t>
      </w:r>
      <w:r>
        <w:rPr>
          <w:sz w:val="22"/>
          <w:szCs w:val="22"/>
        </w:rPr>
        <w:t xml:space="preserve">X. Sun and W. Xu, "Fast implementation of DeLong's algorithm for comparing the areas under correlated receiver operating characteristic curves," IEEE Signal Process. Lett., vol. 21, no. 11, pp. 1389–1393, 2014.</w:t>
      </w:r>
    </w:p>
    <w:p>
      <w:pPr>
        <w:tabs>
          <w:tab w:val="left" w:pos="560"/>
        </w:tabs>
        <w:spacing w:after="80" w:line="260"/>
        <w:ind w:left="560" w:hanging="560"/>
      </w:pPr>
      <w:r>
        <w:rPr>
          <w:sz w:val="22"/>
          <w:szCs w:val="22"/>
        </w:rPr>
        <w:t xml:space="preserve">[31]	</w:t>
      </w:r>
      <w:r>
        <w:rPr>
          <w:sz w:val="22"/>
          <w:szCs w:val="22"/>
        </w:rPr>
        <w:t xml:space="preserve">A. Ramachandran, C. Snehalatha, S. Mary, B. Mukesh, A. D. Bhaskar and V. Vijay, "The Indian Diabetes Prevention Programme shows that lifestyle modification and metformin prevent type 2 diabetes in Asian Indian subjects with impaired glucose tolerance (IDPP-1)," Diabetologia, vol. 49, pp. 289–297, 2006.</w:t>
      </w:r>
    </w:p>
    <w:p>
      <w:pPr>
        <w:pStyle w:val="Heading1"/>
        <w:pageBreakBefore/>
      </w:pPr>
      <w:r>
        <w:t xml:space="preserve">MENTOR'S REMARKS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r>
        <w:trPr>
          <w:trHeight w:val="480" w:hRule="exact"/>
        </w:trPr>
        <w:tc>
          <w:tcPr>
            <w:tcW w:type="dxa" w:w="9386"/>
            <w:tcBorders>
              <w:top w:val="none" w:color="FFFFFF" w:sz="0"/>
              <w:left w:val="none" w:color="FFFFFF" w:sz="0"/>
              <w:bottom w:val="single" w:color="8A9AA4" w:sz="4"/>
              <w:right w:val="none" w:color="FFFFFF" w:sz="0"/>
            </w:tcBorders>
          </w:tcPr>
          <w:p/>
        </w:tc>
      </w:tr>
    </w:tbl>
    <w:p>
      <w:pPr>
        <w:spacing w:after="0" w:before="360"/>
      </w:pPr>
      <w:r>
        <w:t xml:space="preserve">Faculty Mentor: </w:t>
      </w:r>
      <w:r>
        <w:t xml:space="preserve">____________________________________</w:t>
      </w:r>
    </w:p>
    <w:p>
      <w:pPr>
        <w:spacing w:before="120"/>
      </w:pPr>
      <w:r>
        <w:t xml:space="preserve">Dr. Husanbir Singh Pannu, Assistant Professor, CSED, TIET, Patiala</w:t>
      </w:r>
    </w:p>
    <w:p>
      <w:pPr>
        <w:spacing w:after="0" w:before="360"/>
      </w:pPr>
      <w:r>
        <w:t xml:space="preserve">Signature: </w:t>
      </w:r>
      <w:r>
        <w:t xml:space="preserve">____________________________________</w:t>
      </w:r>
    </w:p>
    <w:p>
      <w:pPr>
        <w:spacing w:after="0" w:before="360"/>
      </w:pPr>
      <w:r>
        <w:t xml:space="preserve">Date: </w:t>
      </w:r>
      <w:r>
        <w:t xml:space="preserve">____________________________________</w:t>
      </w:r>
    </w:p>
    <w:sectPr>
      <w:footerReference w:type="default" r:id="rId8"/>
      <w:pgSz w:w="11906" w:h="16838" w:orient="portrait"/>
      <w:pgMar w:top="1440" w:right="1080" w:bottom="130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36d805e042732bfc286889c4364f0a5b0191f2fd.png"/><Relationship Id="rId11" Type="http://schemas.openxmlformats.org/officeDocument/2006/relationships/image" Target="media/0ca659dc6743f6b623ff1c78e4d1dca891dd182d.png"/><Relationship Id="rId12" Type="http://schemas.openxmlformats.org/officeDocument/2006/relationships/image" Target="media/c0992652e206856b7de759242ce59d53ef705e05.png"/><Relationship Id="rId13" Type="http://schemas.openxmlformats.org/officeDocument/2006/relationships/image" Target="media/fdf310a77f4633ac7b4d226baedd1cbb05c35e95.png"/><Relationship Id="rId14" Type="http://schemas.openxmlformats.org/officeDocument/2006/relationships/image" Target="media/08d2a3962bad0fa47dc89f4b476a9553ca342c4e.png"/><Relationship Id="rId15" Type="http://schemas.openxmlformats.org/officeDocument/2006/relationships/image" Target="media/20b9f4ffa11393c7556aab9ea43bd46c9c516910.png"/><Relationship Id="rId16" Type="http://schemas.openxmlformats.org/officeDocument/2006/relationships/image" Target="media/8fb32a744e2f776fbc5f23143a961a209d4745fc.png"/><Relationship Id="rId17" Type="http://schemas.openxmlformats.org/officeDocument/2006/relationships/image" Target="media/48e6e16634e3257006415cf9c1abf97a357be8c0.png"/><Relationship Id="rId18" Type="http://schemas.openxmlformats.org/officeDocument/2006/relationships/image" Target="media/c8697aa9cc1bae1dc3409b374a70c7580ee9071e.png"/><Relationship Id="rId19" Type="http://schemas.openxmlformats.org/officeDocument/2006/relationships/image" Target="media/e524699acca74612ce609fe45cb71d7a6d934424.png"/><Relationship Id="rId20" Type="http://schemas.openxmlformats.org/officeDocument/2006/relationships/image" Target="media/eb8373970ef2659f4aa6dc0aa87e2c6308b61042.png"/><Relationship Id="rId21" Type="http://schemas.openxmlformats.org/officeDocument/2006/relationships/image" Target="media/2c9ddaf15344604d2508f8f91a8b19b182c2fb1a.png"/><Relationship Id="rId22" Type="http://schemas.openxmlformats.org/officeDocument/2006/relationships/image" Target="media/070f1128d624ca6a15c96e2a0b9cdabd7ad962bd.png"/><Relationship Id="rId23" Type="http://schemas.openxmlformats.org/officeDocument/2006/relationships/image" Target="media/8c00746932c93568b180afb99b3ed9718505523c.png"/><Relationship Id="rId24" Type="http://schemas.openxmlformats.org/officeDocument/2006/relationships/image" Target="media/0f99f4acff2594f23b140133a4554342a13d0a38.png"/><Relationship Id="rId25" Type="http://schemas.openxmlformats.org/officeDocument/2006/relationships/image" Target="media/4b6552e66d6eded947a241c74eff9d94fa7c3e40.png"/><Relationship Id="rId26" Type="http://schemas.openxmlformats.org/officeDocument/2006/relationships/image" Target="media/56e21c24a855342f4b75fa97ef752f31b1e06ccf.png"/><Relationship Id="rId27" Type="http://schemas.openxmlformats.org/officeDocument/2006/relationships/image" Target="media/ce882a9694a8379f2cea2b6b56d159ba47116dfd.png"/><Relationship Id="rId28" Type="http://schemas.openxmlformats.org/officeDocument/2006/relationships/image" Target="media/05bd8faadddb5d54d5e08d40e66d25669c6f061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QGenomix: Quantum-Classical Hybrid Framework for Polygenic Disease Risk Prediction: Mentor Evaluation Report</dc:title>
  <dc:subject>Capstone Project CPG 218, Computer Science and Engineering Department, TIET, Patiala</dc:subject>
  <dc:creator>Aritro Chowdhury, Suyash Gupta, Rishabh Sharma, Akshat Ahuja, Anshh Pasriccha</dc:creator>
  <cp:keywords>type 2 diabetes, South Asians, polygenic risk, QAOA, variational quantum circuit</cp:keywords>
  <cp:lastModifiedBy>Aritro Chowdhury, Suyash Gupta, Rishabh Sharma, Akshat Ahuja, Anshh Pasriccha</cp:lastModifiedBy>
  <cp:revision>1</cp:revision>
  <dcterms:created xsi:type="dcterms:W3CDTF">2026-10-27T15:10:58.924Z</dcterms:created>
  <dcterms:modified xsi:type="dcterms:W3CDTF">2026-10-27T15:10:58.924Z</dcterms:modified>
</cp:coreProperties>
</file>

<file path=docProps/custom.xml><?xml version="1.0" encoding="utf-8"?>
<Properties xmlns="http://schemas.openxmlformats.org/officeDocument/2006/custom-properties" xmlns:vt="http://schemas.openxmlformats.org/officeDocument/2006/docPropsVTypes"/>
</file>