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37AF6">
      <w:pPr>
        <w:ind w:firstLine="0" w:firstLineChars="0"/>
        <w:jc w:val="both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2BAB0DB6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C03C980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4DF6982">
      <w:pPr>
        <w:ind w:firstLine="0" w:firstLineChars="0"/>
        <w:jc w:val="center"/>
        <w:rPr>
          <w:rFonts w:hint="default" w:ascii="宋体" w:hAnsi="宋体" w:eastAsia="宋体"/>
          <w:b/>
          <w:color w:val="000000"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eastAsia="宋体"/>
          <w:b/>
          <w:color w:val="000000"/>
          <w:kern w:val="0"/>
          <w:sz w:val="52"/>
          <w:szCs w:val="52"/>
          <w:lang w:val="en-US" w:eastAsia="zh-CN"/>
        </w:rPr>
        <w:t>流程配置引擎</w:t>
      </w:r>
    </w:p>
    <w:p w14:paraId="15A33ABC">
      <w:pPr>
        <w:ind w:firstLine="0" w:firstLineChars="0"/>
        <w:jc w:val="center"/>
        <w:rPr>
          <w:rFonts w:hint="eastAsia" w:asciiTheme="minorEastAsia" w:hAnsiTheme="minorEastAsia" w:eastAsiaTheme="minorEastAsia"/>
          <w:b/>
          <w:color w:val="000000"/>
          <w:kern w:val="0"/>
          <w:sz w:val="52"/>
          <w:szCs w:val="52"/>
          <w:lang w:val="en-US" w:eastAsia="zh-CN"/>
        </w:rPr>
      </w:pPr>
      <w:r>
        <w:rPr>
          <w:rFonts w:hint="eastAsia" w:ascii="宋体" w:hAnsi="宋体" w:eastAsia="宋体"/>
          <w:b/>
          <w:color w:val="000000"/>
          <w:kern w:val="0"/>
          <w:sz w:val="52"/>
          <w:szCs w:val="52"/>
        </w:rPr>
        <w:t>软件</w:t>
      </w:r>
      <w:r>
        <w:rPr>
          <w:rFonts w:hint="eastAsia" w:asciiTheme="minorEastAsia" w:hAnsiTheme="minorEastAsia"/>
          <w:b/>
          <w:color w:val="000000"/>
          <w:kern w:val="0"/>
          <w:sz w:val="52"/>
          <w:szCs w:val="52"/>
          <w:lang w:val="en-US" w:eastAsia="zh-CN"/>
        </w:rPr>
        <w:t>V1.0</w:t>
      </w:r>
    </w:p>
    <w:p w14:paraId="76939A44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52"/>
          <w:szCs w:val="52"/>
          <w:lang w:val="en-US" w:eastAsia="zh-CN"/>
        </w:rPr>
        <w:t>使用说明书</w:t>
      </w:r>
    </w:p>
    <w:p w14:paraId="7E0DFE78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EB857E6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66A5374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E69BD5A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56CDB399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3C6CC471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4F237B4E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54AD96FC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39DEFDA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052B6952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6CC32CBC">
      <w:pPr>
        <w:ind w:firstLine="0" w:firstLineChars="0"/>
        <w:jc w:val="center"/>
        <w:rPr>
          <w:rFonts w:asciiTheme="minorEastAsia" w:hAnsiTheme="minorEastAsia"/>
          <w:b/>
          <w:color w:val="000000"/>
          <w:kern w:val="0"/>
          <w:sz w:val="28"/>
          <w:szCs w:val="28"/>
        </w:rPr>
      </w:pPr>
    </w:p>
    <w:p w14:paraId="7EAD3D44">
      <w:pPr>
        <w:ind w:firstLine="0" w:firstLineChars="0"/>
        <w:jc w:val="center"/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  <w:lang w:val="en-US" w:eastAsia="zh-CN"/>
        </w:rPr>
        <w:t>2025</w:t>
      </w:r>
      <w:r>
        <w:rPr>
          <w:rFonts w:asciiTheme="minorEastAsia" w:hAnsiTheme="minorEastAsia"/>
          <w:b/>
          <w:color w:val="000000"/>
          <w:kern w:val="0"/>
          <w:sz w:val="40"/>
          <w:szCs w:val="28"/>
        </w:rPr>
        <w:t>年</w:t>
      </w: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  <w:lang w:val="en-US" w:eastAsia="zh-CN"/>
        </w:rPr>
        <w:t>3</w:t>
      </w: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  <w:t>月</w:t>
      </w:r>
    </w:p>
    <w:p w14:paraId="0F09A8C7"/>
    <w:p w14:paraId="1B537838">
      <w:pP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</w:pPr>
      <w:r>
        <w:rPr>
          <w:rFonts w:hint="eastAsia" w:asciiTheme="minorEastAsia" w:hAnsiTheme="minorEastAsia"/>
          <w:b/>
          <w:color w:val="000000"/>
          <w:kern w:val="0"/>
          <w:sz w:val="40"/>
          <w:szCs w:val="28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1235"/>
        <w15:color w:val="DBDBDB"/>
        <w:docPartObj>
          <w:docPartGallery w:val="Table of Contents"/>
          <w:docPartUnique/>
        </w:docPartObj>
      </w:sdtPr>
      <w:sdtEndPr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sdtEndPr>
      <w:sdtContent>
        <w:p w14:paraId="690679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C6A456">
          <w:pPr>
            <w:pStyle w:val="8"/>
            <w:tabs>
              <w:tab w:val="right" w:leader="dot" w:pos="8306"/>
              <w:tab w:val="clear" w:pos="650"/>
              <w:tab w:val="clear" w:pos="8720"/>
            </w:tabs>
            <w:jc w:val="both"/>
          </w:pP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instrText xml:space="preserve">TOC \o "1-3" \h \u </w:instrText>
          </w:r>
          <w:r>
            <w:rPr>
              <w:rFonts w:hint="eastAsia" w:asciiTheme="minorEastAsia" w:hAnsiTheme="minorEastAsia"/>
              <w:b/>
              <w:color w:val="000000"/>
              <w:kern w:val="0"/>
              <w:sz w:val="40"/>
              <w:szCs w:val="28"/>
            </w:rPr>
            <w:fldChar w:fldCharType="separate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_Toc14267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1. </w:t>
          </w:r>
          <w:r>
            <w:rPr>
              <w:rFonts w:hint="eastAsia" w:asciiTheme="minorEastAsia" w:hAnsiTheme="minorEastAsia"/>
              <w:szCs w:val="28"/>
            </w:rPr>
            <w:t>平台简介</w:t>
          </w:r>
          <w:r>
            <w:tab/>
          </w:r>
          <w:r>
            <w:fldChar w:fldCharType="begin"/>
          </w:r>
          <w:r>
            <w:instrText xml:space="preserve"> PAGEREF _Toc14267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3E2D07C4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_Toc27792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/>
              <w:szCs w:val="28"/>
            </w:rPr>
            <w:t>1.1. 主要功能</w:t>
          </w:r>
          <w:r>
            <w:tab/>
          </w:r>
          <w:r>
            <w:fldChar w:fldCharType="begin"/>
          </w:r>
          <w:r>
            <w:instrText xml:space="preserve"> PAGEREF _Toc27792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0A4F7BB9">
          <w:pPr>
            <w:pStyle w:val="9"/>
            <w:tabs>
              <w:tab w:val="right" w:leader="dot" w:pos="8306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_Toc7607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eastAsia" w:asciiTheme="minorEastAsia" w:hAnsiTheme="minorEastAsia" w:eastAsiaTheme="minorEastAsia"/>
              <w:szCs w:val="28"/>
            </w:rPr>
            <w:t>1.2. 技术特点</w:t>
          </w:r>
          <w:r>
            <w:tab/>
          </w:r>
          <w:r>
            <w:fldChar w:fldCharType="begin"/>
          </w:r>
          <w:r>
            <w:instrText xml:space="preserve"> PAGEREF _Toc7607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46873186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_Toc1789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2.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流程台账</w:t>
          </w:r>
          <w:r>
            <w:tab/>
          </w:r>
          <w:r>
            <w:fldChar w:fldCharType="begin"/>
          </w:r>
          <w:r>
            <w:instrText xml:space="preserve"> PAGEREF _Toc1789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05F10C50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_Toc20970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3.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新增流程</w:t>
          </w:r>
          <w:r>
            <w:tab/>
          </w:r>
          <w:r>
            <w:fldChar w:fldCharType="begin"/>
          </w:r>
          <w:r>
            <w:instrText xml:space="preserve"> PAGEREF _Toc20970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59446D01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_Toc9747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</w:rPr>
            <w:t xml:space="preserve">4. </w:t>
          </w:r>
          <w:r>
            <w:rPr>
              <w:rFonts w:hint="eastAsia" w:asciiTheme="minorEastAsia" w:hAnsiTheme="minorEastAsia"/>
              <w:szCs w:val="28"/>
              <w:lang w:val="en-US" w:eastAsia="zh-CN"/>
            </w:rPr>
            <w:t>左侧配置</w:t>
          </w:r>
          <w:r>
            <w:tab/>
          </w:r>
          <w:r>
            <w:fldChar w:fldCharType="begin"/>
          </w:r>
          <w:r>
            <w:instrText xml:space="preserve"> PAGEREF _Toc9747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258DDCC4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_Toc28476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  <w:lang w:val="en-US" w:eastAsia="zh-CN"/>
            </w:rPr>
            <w:t xml:space="preserve">5. </w:t>
          </w:r>
          <w:r>
            <w:rPr>
              <w:rFonts w:hint="eastAsia"/>
            </w:rPr>
            <w:t>流程画布</w:t>
          </w:r>
          <w:r>
            <w:tab/>
          </w:r>
          <w:r>
            <w:fldChar w:fldCharType="begin"/>
          </w:r>
          <w:r>
            <w:instrText xml:space="preserve"> PAGEREF _Toc28476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26C64C8B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_Toc21891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 w:asciiTheme="minorEastAsia" w:hAnsiTheme="minorEastAsia"/>
              <w:szCs w:val="28"/>
              <w:lang w:val="en-US" w:eastAsia="zh-CN"/>
            </w:rPr>
            <w:t xml:space="preserve">6. </w:t>
          </w:r>
          <w:r>
            <w:rPr>
              <w:rFonts w:hint="eastAsia"/>
            </w:rPr>
            <w:t>基本设置</w:t>
          </w:r>
          <w:r>
            <w:tab/>
          </w:r>
          <w:r>
            <w:fldChar w:fldCharType="begin"/>
          </w:r>
          <w:r>
            <w:instrText xml:space="preserve"> PAGEREF _Toc21891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1F08D868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_Toc25946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ascii="宋体" w:hAnsi="宋体" w:eastAsia="宋体" w:cs="Times New Roman"/>
              <w:szCs w:val="24"/>
              <w:lang w:val="en-US" w:eastAsia="zh-CN"/>
            </w:rPr>
            <w:t xml:space="preserve">7. </w:t>
          </w:r>
          <w:r>
            <w:rPr>
              <w:rFonts w:hint="eastAsia"/>
            </w:rPr>
            <w:t>按钮设置</w:t>
          </w:r>
          <w:r>
            <w:tab/>
          </w:r>
          <w:r>
            <w:fldChar w:fldCharType="begin"/>
          </w:r>
          <w:r>
            <w:instrText xml:space="preserve"> PAGEREF _Toc25946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34170C87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_Toc5633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附件文书设置</w:t>
          </w:r>
          <w:r>
            <w:tab/>
          </w:r>
          <w:r>
            <w:fldChar w:fldCharType="begin"/>
          </w:r>
          <w:r>
            <w:instrText xml:space="preserve"> PAGEREF _Toc5633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2B36D99E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_Toc11001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/>
              <w:lang w:val="en-US" w:eastAsia="zh-CN"/>
            </w:rPr>
            <w:t xml:space="preserve">9. </w:t>
          </w:r>
          <w:r>
            <w:rPr>
              <w:rFonts w:hint="eastAsia"/>
            </w:rPr>
            <w:t>表单设置</w:t>
          </w:r>
          <w:r>
            <w:tab/>
          </w:r>
          <w:r>
            <w:fldChar w:fldCharType="begin"/>
          </w:r>
          <w:r>
            <w:instrText xml:space="preserve"> PAGEREF _Toc11001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62044FAD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_Toc24822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/>
              <w:szCs w:val="24"/>
              <w:lang w:val="en-US" w:eastAsia="zh-CN"/>
            </w:rPr>
            <w:t xml:space="preserve">10. </w:t>
          </w:r>
          <w:r>
            <w:rPr>
              <w:rFonts w:hint="eastAsia"/>
            </w:rPr>
            <w:t>可发起措施</w:t>
          </w:r>
          <w:r>
            <w:tab/>
          </w:r>
          <w:r>
            <w:fldChar w:fldCharType="begin"/>
          </w:r>
          <w:r>
            <w:instrText xml:space="preserve"> PAGEREF _Toc24822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4F9E470A">
          <w:pPr>
            <w:pStyle w:val="8"/>
            <w:tabs>
              <w:tab w:val="right" w:leader="dot" w:pos="8306"/>
              <w:tab w:val="clear" w:pos="650"/>
              <w:tab w:val="clear" w:pos="8720"/>
            </w:tabs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begin"/>
          </w:r>
          <w:r>
            <w:rPr>
              <w:rFonts w:hint="eastAsia" w:asciiTheme="minorEastAsia" w:hAnsiTheme="minorEastAsia"/>
              <w:kern w:val="0"/>
              <w:szCs w:val="28"/>
            </w:rPr>
            <w:instrText xml:space="preserve"> HYPERLINK \l _Toc25410 </w:instrText>
          </w:r>
          <w:r>
            <w:rPr>
              <w:rFonts w:hint="eastAsia" w:asciiTheme="minorEastAsia" w:hAnsiTheme="minorEastAsia"/>
              <w:kern w:val="0"/>
              <w:szCs w:val="28"/>
            </w:rPr>
            <w:fldChar w:fldCharType="separate"/>
          </w:r>
          <w:r>
            <w:rPr>
              <w:rFonts w:hint="default" w:cs="Times New Roman"/>
              <w:lang w:val="en-US" w:eastAsia="zh-CN"/>
            </w:rPr>
            <w:t xml:space="preserve">11. </w:t>
          </w:r>
          <w:r>
            <w:rPr>
              <w:rFonts w:hint="eastAsia"/>
            </w:rPr>
            <w:t>业务属性设置</w:t>
          </w:r>
          <w:r>
            <w:tab/>
          </w:r>
          <w:r>
            <w:fldChar w:fldCharType="begin"/>
          </w:r>
          <w:r>
            <w:instrText xml:space="preserve"> PAGEREF _Toc25410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  <w:p w14:paraId="1BB3C6EC">
          <w:pPr>
            <w:ind w:left="0" w:leftChars="0" w:firstLine="0" w:firstLineChars="0"/>
            <w:rPr>
              <w:rFonts w:hint="eastAsia" w:eastAsia="宋体" w:asciiTheme="minorEastAsia" w:hAnsiTheme="minorEastAsia" w:cstheme="minorBidi"/>
              <w:color w:val="000000"/>
              <w:kern w:val="0"/>
              <w:sz w:val="21"/>
              <w:szCs w:val="28"/>
              <w:lang w:val="en-US" w:eastAsia="zh-CN" w:bidi="ar-SA"/>
            </w:rPr>
          </w:pPr>
          <w:r>
            <w:rPr>
              <w:rFonts w:hint="eastAsia" w:asciiTheme="minorEastAsia" w:hAnsiTheme="minorEastAsia"/>
              <w:color w:val="000000"/>
              <w:kern w:val="0"/>
              <w:szCs w:val="28"/>
            </w:rPr>
            <w:fldChar w:fldCharType="end"/>
          </w:r>
        </w:p>
      </w:sdtContent>
    </w:sdt>
    <w:p w14:paraId="532FFE41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2D4B7ADA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253C4E13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5CB93E98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0CCCA86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5F66DB0D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8279B26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04BADB1B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BBA7A53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7C90955A">
      <w:pPr>
        <w:ind w:left="0" w:leftChars="0" w:firstLine="0" w:firstLineChars="0"/>
        <w:rPr>
          <w:rFonts w:hint="eastAsia" w:eastAsia="宋体" w:asciiTheme="minorEastAsia" w:hAnsiTheme="minorEastAsia" w:cstheme="minorBidi"/>
          <w:color w:val="000000"/>
          <w:kern w:val="0"/>
          <w:sz w:val="21"/>
          <w:szCs w:val="28"/>
          <w:lang w:val="en-US" w:eastAsia="zh-CN" w:bidi="ar-SA"/>
        </w:rPr>
      </w:pPr>
    </w:p>
    <w:p w14:paraId="6FD054E5">
      <w:pPr>
        <w:pStyle w:val="2"/>
        <w:numPr>
          <w:ilvl w:val="0"/>
          <w:numId w:val="1"/>
        </w:numPr>
        <w:ind w:firstLine="803"/>
        <w:rPr>
          <w:rFonts w:asciiTheme="minorEastAsia" w:hAnsiTheme="minorEastAsia"/>
          <w:sz w:val="28"/>
          <w:szCs w:val="28"/>
        </w:rPr>
      </w:pPr>
      <w:bookmarkStart w:id="0" w:name="_Toc28098"/>
      <w:bookmarkStart w:id="1" w:name="_Toc18544"/>
      <w:bookmarkStart w:id="2" w:name="_Toc14267"/>
      <w:bookmarkStart w:id="3" w:name="_Toc500765814"/>
      <w:r>
        <w:rPr>
          <w:rFonts w:hint="eastAsia" w:asciiTheme="minorEastAsia" w:hAnsiTheme="minorEastAsia"/>
          <w:sz w:val="28"/>
          <w:szCs w:val="28"/>
        </w:rPr>
        <w:t>平台简介</w:t>
      </w:r>
      <w:bookmarkEnd w:id="0"/>
      <w:bookmarkEnd w:id="1"/>
      <w:bookmarkEnd w:id="2"/>
      <w:bookmarkEnd w:id="3"/>
    </w:p>
    <w:p w14:paraId="0DC95CCB">
      <w:pPr>
        <w:ind w:firstLine="1120" w:firstLineChars="40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  <w:t>流程配置引擎</w:t>
      </w: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操作</w:t>
      </w:r>
      <w:r>
        <w:rPr>
          <w:rFonts w:hint="eastAsia" w:asciiTheme="minorEastAsia" w:hAnsiTheme="minorEastAsia"/>
          <w:sz w:val="28"/>
          <w:szCs w:val="28"/>
        </w:rPr>
        <w:t>界面如图1所示。</w:t>
      </w:r>
    </w:p>
    <w:p w14:paraId="4DC96389">
      <w:pPr>
        <w:ind w:left="0" w:leftChars="0" w:firstLine="0" w:firstLineChars="0"/>
        <w:jc w:val="both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drawing>
          <wp:inline distT="0" distB="0" distL="114300" distR="114300">
            <wp:extent cx="5265420" cy="2870200"/>
            <wp:effectExtent l="0" t="0" r="1143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C494">
      <w:pPr>
        <w:ind w:firstLine="560"/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 xml:space="preserve">图1 </w:t>
      </w:r>
      <w:r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  <w:t>流程配置引擎</w:t>
      </w: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操作</w:t>
      </w:r>
      <w:r>
        <w:rPr>
          <w:rFonts w:hint="eastAsia" w:asciiTheme="minorEastAsia" w:hAnsiTheme="minorEastAsia"/>
          <w:sz w:val="28"/>
          <w:szCs w:val="28"/>
        </w:rPr>
        <w:t>界面</w:t>
      </w:r>
      <w:bookmarkStart w:id="4" w:name="topic_软件开发现状分析"/>
      <w:bookmarkEnd w:id="4"/>
      <w:bookmarkStart w:id="5" w:name="_Toc440214813"/>
    </w:p>
    <w:p w14:paraId="6306E6BF">
      <w:pPr>
        <w:pStyle w:val="3"/>
        <w:ind w:firstLine="562"/>
        <w:rPr>
          <w:rFonts w:asciiTheme="minorEastAsia" w:hAnsiTheme="minorEastAsia" w:eastAsiaTheme="minorEastAsia"/>
          <w:szCs w:val="28"/>
        </w:rPr>
      </w:pPr>
      <w:bookmarkStart w:id="6" w:name="_Toc500765815"/>
      <w:bookmarkStart w:id="7" w:name="_Toc16036"/>
      <w:bookmarkStart w:id="8" w:name="_Toc14967"/>
      <w:bookmarkStart w:id="9" w:name="_Toc27792"/>
      <w:r>
        <w:rPr>
          <w:rFonts w:hint="eastAsia" w:asciiTheme="minorEastAsia" w:hAnsiTheme="minorEastAsia" w:eastAsiaTheme="minorEastAsia"/>
          <w:szCs w:val="28"/>
        </w:rPr>
        <w:t>1.1. 主要功能</w:t>
      </w:r>
      <w:bookmarkEnd w:id="5"/>
      <w:bookmarkEnd w:id="6"/>
      <w:bookmarkEnd w:id="7"/>
      <w:bookmarkEnd w:id="8"/>
      <w:bookmarkEnd w:id="9"/>
    </w:p>
    <w:p w14:paraId="59EC24FA">
      <w:pPr>
        <w:ind w:firstLine="640"/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  <w:t>流程配置引擎作为一体化业务平台的基础功能，赋予现场人员依实际需求配置业务流程的能力。</w:t>
      </w: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该功能</w:t>
      </w:r>
      <w:r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  <w:t>将业务工作以信息化、流程化方式表征，涵盖串行、并行、分支、新流程、子流程、传阅、会签等多种模式。在流程步骤中，支持配置审批权限、操作按钮，可制作文书、</w:t>
      </w:r>
      <w:r>
        <w:rPr>
          <w:rFonts w:hint="eastAsia" w:asciiTheme="minorEastAsia" w:hAnsiTheme="minorEastAsia" w:cstheme="minorBidi"/>
          <w:kern w:val="2"/>
          <w:sz w:val="28"/>
          <w:szCs w:val="28"/>
          <w:lang w:val="en-US" w:eastAsia="zh-CN" w:bidi="ar-SA"/>
        </w:rPr>
        <w:t>显示表单</w:t>
      </w:r>
      <w:r>
        <w:rPr>
          <w:rFonts w:hint="eastAsia" w:asciiTheme="minorEastAsia" w:hAnsiTheme="minorEastAsia" w:eastAsiaTheme="minorEastAsia" w:cstheme="minorBidi"/>
          <w:kern w:val="2"/>
          <w:sz w:val="28"/>
          <w:szCs w:val="28"/>
          <w:lang w:val="en-US" w:eastAsia="zh-CN" w:bidi="ar-SA"/>
        </w:rPr>
        <w:t>等功能，且这些模型可互相组合，灵活应对复杂业务场景。</w:t>
      </w:r>
    </w:p>
    <w:p w14:paraId="3B75DF10">
      <w:pPr>
        <w:pStyle w:val="3"/>
        <w:ind w:firstLine="562"/>
        <w:rPr>
          <w:rFonts w:asciiTheme="minorEastAsia" w:hAnsiTheme="minorEastAsia" w:eastAsiaTheme="minorEastAsia"/>
          <w:szCs w:val="28"/>
        </w:rPr>
      </w:pPr>
      <w:bookmarkStart w:id="10" w:name="topic_功能定位、建设目标"/>
      <w:bookmarkEnd w:id="10"/>
      <w:bookmarkStart w:id="11" w:name="_Toc440214814"/>
      <w:bookmarkStart w:id="12" w:name="_Toc500765816"/>
      <w:bookmarkStart w:id="13" w:name="_Toc796"/>
      <w:bookmarkStart w:id="14" w:name="_Toc7607"/>
      <w:bookmarkStart w:id="15" w:name="_Toc7981"/>
      <w:r>
        <w:rPr>
          <w:rFonts w:hint="eastAsia" w:asciiTheme="minorEastAsia" w:hAnsiTheme="minorEastAsia" w:eastAsiaTheme="minorEastAsia"/>
          <w:szCs w:val="28"/>
        </w:rPr>
        <w:t>1.2. 技术特点</w:t>
      </w:r>
      <w:bookmarkEnd w:id="11"/>
      <w:bookmarkEnd w:id="12"/>
      <w:r>
        <w:rPr>
          <w:rFonts w:hint="eastAsia" w:asciiTheme="minorEastAsia" w:hAnsiTheme="minorEastAsia" w:eastAsiaTheme="minorEastAsia"/>
          <w:szCs w:val="28"/>
        </w:rPr>
        <w:fldChar w:fldCharType="begin"/>
      </w:r>
      <w:r>
        <w:rPr>
          <w:rFonts w:hint="eastAsia" w:asciiTheme="minorEastAsia" w:hAnsiTheme="minorEastAsia" w:eastAsiaTheme="minorEastAsia"/>
          <w:szCs w:val="28"/>
        </w:rPr>
        <w:instrText xml:space="preserve">xe "功能定位"</w:instrText>
      </w:r>
      <w:r>
        <w:rPr>
          <w:rFonts w:hint="eastAsia" w:asciiTheme="minorEastAsia" w:hAnsiTheme="minorEastAsia" w:eastAsiaTheme="minorEastAsia"/>
          <w:szCs w:val="28"/>
        </w:rPr>
        <w:fldChar w:fldCharType="end"/>
      </w:r>
      <w:r>
        <w:rPr>
          <w:rFonts w:hint="eastAsia" w:asciiTheme="minorEastAsia" w:hAnsiTheme="minorEastAsia" w:eastAsiaTheme="minorEastAsia"/>
          <w:szCs w:val="28"/>
        </w:rPr>
        <w:fldChar w:fldCharType="begin"/>
      </w:r>
      <w:r>
        <w:rPr>
          <w:rFonts w:hint="eastAsia" w:asciiTheme="minorEastAsia" w:hAnsiTheme="minorEastAsia" w:eastAsiaTheme="minorEastAsia"/>
          <w:szCs w:val="28"/>
        </w:rPr>
        <w:instrText xml:space="preserve">xe "建设目标"</w:instrText>
      </w:r>
      <w:r>
        <w:rPr>
          <w:rFonts w:hint="eastAsia" w:asciiTheme="minorEastAsia" w:hAnsiTheme="minorEastAsia" w:eastAsiaTheme="minorEastAsia"/>
          <w:szCs w:val="28"/>
        </w:rPr>
        <w:fldChar w:fldCharType="end"/>
      </w:r>
      <w:bookmarkEnd w:id="13"/>
      <w:bookmarkEnd w:id="14"/>
      <w:bookmarkEnd w:id="15"/>
    </w:p>
    <w:p w14:paraId="66534619">
      <w:pPr>
        <w:ind w:left="420" w:leftChars="0" w:firstLine="420" w:firstLineChars="0"/>
        <w:rPr>
          <w:rFonts w:hint="eastAsia" w:asciiTheme="minorEastAsia" w:hAnsiTheme="minorEastAsia"/>
          <w:sz w:val="28"/>
          <w:szCs w:val="28"/>
        </w:rPr>
      </w:pPr>
      <w:bookmarkStart w:id="16" w:name="_Toc20117"/>
      <w:bookmarkStart w:id="17" w:name="_Toc500765817"/>
      <w:bookmarkStart w:id="18" w:name="_Toc19534"/>
      <w:r>
        <w:rPr>
          <w:rFonts w:hint="eastAsia" w:asciiTheme="minorEastAsia" w:hAnsiTheme="minorEastAsia"/>
          <w:sz w:val="28"/>
          <w:szCs w:val="28"/>
        </w:rPr>
        <w:t>该本互联网应用基于标准“服务器-客户端”架构，前端适配市面主流浏览器（如Chrome、Firefox、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奇安信</w:t>
      </w:r>
      <w:r>
        <w:rPr>
          <w:rFonts w:hint="eastAsia" w:asciiTheme="minorEastAsia" w:hAnsiTheme="minorEastAsia"/>
          <w:sz w:val="28"/>
          <w:szCs w:val="28"/>
        </w:rPr>
        <w:t>、Edge等），遵循W3C标准规范。用户仅需通过浏览器输入URL访问服务器端应用，无需安装额外客户端软件，降低运维成本，简化使用流程，便于统一管理和权限分配。</w:t>
      </w:r>
    </w:p>
    <w:p w14:paraId="2502A95D">
      <w:pPr>
        <w:ind w:left="420" w:leftChars="0" w:firstLine="420" w:firstLineChars="0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系统采用前后端分离策略，前端负责数据采集与用户交互界面展示，后端承担业务逻辑处理与数据存储任务。数据管理采用关系型与非关系型数据库结合，确保数据高效存储读取，遵循ACID原则保障数据一致性、完整性与隔离性。</w:t>
      </w:r>
    </w:p>
    <w:p w14:paraId="21069DFE">
      <w:pPr>
        <w:ind w:left="420" w:leftChars="0" w:firstLine="420" w:firstLineChars="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通信协议全面采用HTTPS加密，保障数据传输安全，防止信息泄露与中间人攻击。系统支持跨平台运行，兼容Windows、macOS、Linux等主流操作系统，确保不同设备与环境下无缝对接与稳定访问。</w:t>
      </w:r>
    </w:p>
    <w:bookmarkEnd w:id="16"/>
    <w:bookmarkEnd w:id="17"/>
    <w:bookmarkEnd w:id="18"/>
    <w:p w14:paraId="0259D192">
      <w:pPr>
        <w:pStyle w:val="2"/>
        <w:numPr>
          <w:ilvl w:val="0"/>
          <w:numId w:val="1"/>
        </w:numPr>
        <w:ind w:firstLine="562"/>
        <w:rPr>
          <w:rFonts w:asciiTheme="minorEastAsia" w:hAnsiTheme="minorEastAsia"/>
          <w:sz w:val="28"/>
          <w:szCs w:val="28"/>
        </w:rPr>
      </w:pPr>
      <w:bookmarkStart w:id="19" w:name="topic_软件安装、配置、运行方法"/>
      <w:bookmarkEnd w:id="19"/>
      <w:bookmarkStart w:id="20" w:name="topic_系统运行环境配置"/>
      <w:bookmarkEnd w:id="20"/>
      <w:bookmarkStart w:id="21" w:name="topic_安装程序、数据库设计、数据库文件"/>
      <w:bookmarkEnd w:id="21"/>
      <w:bookmarkStart w:id="22" w:name="topic_目标用户群体"/>
      <w:bookmarkEnd w:id="22"/>
      <w:bookmarkStart w:id="23" w:name="_Toc1789"/>
      <w:r>
        <w:rPr>
          <w:rFonts w:hint="eastAsia" w:asciiTheme="minorEastAsia" w:hAnsiTheme="minorEastAsia"/>
          <w:sz w:val="28"/>
          <w:szCs w:val="28"/>
          <w:lang w:val="en-US" w:eastAsia="zh-CN"/>
        </w:rPr>
        <w:t>流程台账</w:t>
      </w:r>
      <w:bookmarkEnd w:id="23"/>
    </w:p>
    <w:p w14:paraId="310D0AE6">
      <w:pPr>
        <w:ind w:firstLine="560"/>
        <w:rPr>
          <w:rFonts w:asciiTheme="minorEastAsia" w:hAnsiTheme="minorEastAsia"/>
          <w:sz w:val="28"/>
          <w:szCs w:val="28"/>
        </w:rPr>
      </w:pPr>
      <w:bookmarkStart w:id="24" w:name="topic_系统登录"/>
      <w:bookmarkEnd w:id="24"/>
      <w:r>
        <w:rPr>
          <w:rFonts w:hint="eastAsia" w:asciiTheme="minorEastAsia" w:hAnsiTheme="minorEastAsia"/>
          <w:sz w:val="28"/>
          <w:szCs w:val="28"/>
          <w:lang w:val="en-US" w:eastAsia="zh-CN"/>
        </w:rPr>
        <w:t>流程台账页面主体部分呈现为一个流程台账列表，左侧设有导航栏。列表以表格形式展示，表头涵盖 “流程名称”“业务对象”“流程状态”“负责人”“流程实例（总数 / 运行数）”“流程实例 ID”“流程发起时间”“平均耗时（小时）”“操作” 等列，每行对应一个流程实例，如 “廉政审查主流程”“案审流程案件审理” 等，详细显示各流程的相关信息。表格右侧上方设有 “刷新” 按钮，用于更新列表数据。流程台账</w:t>
      </w:r>
      <w:r>
        <w:rPr>
          <w:rFonts w:hint="eastAsia" w:asciiTheme="minorEastAsia" w:hAnsiTheme="minorEastAsia"/>
          <w:sz w:val="28"/>
          <w:szCs w:val="28"/>
        </w:rPr>
        <w:t>界面如图2所示。</w:t>
      </w:r>
    </w:p>
    <w:p w14:paraId="329F673B">
      <w:pPr>
        <w:widowControl/>
        <w:autoSpaceDE w:val="0"/>
        <w:autoSpaceDN w:val="0"/>
        <w:adjustRightInd w:val="0"/>
        <w:spacing w:before="45"/>
        <w:ind w:firstLine="0" w:firstLineChars="0"/>
        <w:jc w:val="center"/>
        <w:rPr>
          <w:rFonts w:cs="宋体" w:asciiTheme="minorEastAsia" w:hAnsiTheme="minorEastAsia"/>
          <w:b/>
          <w:bCs/>
          <w:kern w:val="0"/>
          <w:sz w:val="28"/>
          <w:szCs w:val="28"/>
        </w:rPr>
      </w:pPr>
      <w:r>
        <w:drawing>
          <wp:inline distT="0" distB="0" distL="114300" distR="114300">
            <wp:extent cx="5262880" cy="2499360"/>
            <wp:effectExtent l="0" t="0" r="13970" b="152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5865">
      <w:pPr>
        <w:ind w:firstLine="560"/>
        <w:jc w:val="center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流程台账</w:t>
      </w:r>
      <w:r>
        <w:rPr>
          <w:rFonts w:hint="eastAsia" w:asciiTheme="minorEastAsia" w:hAnsiTheme="minorEastAsia"/>
          <w:sz w:val="28"/>
          <w:szCs w:val="28"/>
        </w:rPr>
        <w:t>页面</w:t>
      </w:r>
    </w:p>
    <w:p w14:paraId="2E3391A9">
      <w:pPr>
        <w:ind w:firstLine="560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/>
          <w:sz w:val="28"/>
          <w:szCs w:val="28"/>
          <w:lang w:eastAsia="zh-CN"/>
        </w:rPr>
        <w:t>。</w:t>
      </w:r>
    </w:p>
    <w:p w14:paraId="2753793E">
      <w:pPr>
        <w:pStyle w:val="2"/>
        <w:numPr>
          <w:ilvl w:val="0"/>
          <w:numId w:val="1"/>
        </w:numPr>
        <w:tabs>
          <w:tab w:val="left" w:pos="697"/>
        </w:tabs>
        <w:ind w:firstLine="562"/>
        <w:rPr>
          <w:rFonts w:hint="eastAsia" w:asciiTheme="minorEastAsia" w:hAnsiTheme="minorEastAsia"/>
          <w:sz w:val="28"/>
          <w:szCs w:val="28"/>
        </w:rPr>
      </w:pPr>
      <w:bookmarkStart w:id="25" w:name="_Toc20970"/>
      <w:r>
        <w:rPr>
          <w:rFonts w:hint="eastAsia" w:asciiTheme="minorEastAsia" w:hAnsiTheme="minorEastAsia"/>
          <w:sz w:val="28"/>
          <w:szCs w:val="28"/>
          <w:lang w:val="en-US" w:eastAsia="zh-CN"/>
        </w:rPr>
        <w:t>新增流程</w:t>
      </w:r>
      <w:bookmarkEnd w:id="25"/>
    </w:p>
    <w:p w14:paraId="49C24693">
      <w:pPr>
        <w:ind w:left="0" w:leftChars="0" w:firstLine="560" w:firstLineChars="200"/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点击后，新开页面中左边是流程的参数属性，右边是流程画布</w:t>
      </w:r>
      <w:r>
        <w:rPr>
          <w:rFonts w:hint="eastAsia" w:asciiTheme="minorEastAsia" w:hAnsiTheme="minorEastAsia"/>
          <w:sz w:val="28"/>
          <w:szCs w:val="28"/>
        </w:rPr>
        <w:t>。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如图3所示。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5264785" cy="2388235"/>
            <wp:effectExtent l="0" t="0" r="1206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766A">
      <w:pPr>
        <w:ind w:firstLine="2160" w:firstLineChars="900"/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新增流程</w:t>
      </w:r>
      <w:r>
        <w:rPr>
          <w:rFonts w:hint="eastAsia" w:asciiTheme="minorEastAsia" w:hAnsiTheme="minorEastAsia"/>
          <w:sz w:val="28"/>
          <w:szCs w:val="28"/>
        </w:rPr>
        <w:t>界面</w:t>
      </w:r>
    </w:p>
    <w:p w14:paraId="7D27C672">
      <w:pPr>
        <w:jc w:val="both"/>
        <w:rPr>
          <w:rFonts w:hint="eastAsia" w:asciiTheme="minorEastAsia" w:hAnsiTheme="minorEastAsia"/>
          <w:sz w:val="28"/>
          <w:szCs w:val="28"/>
        </w:rPr>
      </w:pPr>
    </w:p>
    <w:p w14:paraId="6F1435F3">
      <w:pPr>
        <w:pStyle w:val="2"/>
        <w:numPr>
          <w:ilvl w:val="0"/>
          <w:numId w:val="1"/>
        </w:numPr>
        <w:tabs>
          <w:tab w:val="left" w:pos="697"/>
        </w:tabs>
        <w:ind w:left="502" w:leftChars="0" w:firstLine="562" w:firstLineChars="200"/>
        <w:rPr>
          <w:rFonts w:asciiTheme="minorEastAsia" w:hAnsiTheme="minorEastAsia"/>
          <w:sz w:val="28"/>
          <w:szCs w:val="28"/>
        </w:rPr>
      </w:pPr>
      <w:bookmarkStart w:id="26" w:name="_Toc9747"/>
      <w:r>
        <w:rPr>
          <w:rFonts w:hint="eastAsia" w:asciiTheme="minorEastAsia" w:hAnsiTheme="minorEastAsia"/>
          <w:sz w:val="28"/>
          <w:szCs w:val="28"/>
          <w:lang w:val="en-US" w:eastAsia="zh-CN"/>
        </w:rPr>
        <w:t>左侧配置</w:t>
      </w:r>
      <w:bookmarkEnd w:id="26"/>
    </w:p>
    <w:p w14:paraId="6522D467">
      <w:pPr>
        <w:jc w:val="both"/>
        <w:rPr>
          <w:rFonts w:hint="default" w:asciiTheme="minorEastAsia" w:hAnsiTheme="minorEastAsia" w:eastAsiaTheme="minorEastAsia"/>
          <w:sz w:val="28"/>
          <w:szCs w:val="28"/>
          <w:lang w:val="en-US" w:eastAsia="zh-CN"/>
        </w:rPr>
      </w:pPr>
      <w:bookmarkStart w:id="27" w:name="_Toc30447"/>
      <w:bookmarkStart w:id="28" w:name="_Toc26758"/>
      <w:bookmarkStart w:id="29" w:name="_Toc500765825"/>
      <w:r>
        <w:rPr>
          <w:rFonts w:hint="eastAsia" w:asciiTheme="minorEastAsia" w:hAnsiTheme="minorEastAsia"/>
          <w:sz w:val="28"/>
          <w:szCs w:val="28"/>
          <w:lang w:val="en-US" w:eastAsia="zh-CN"/>
        </w:rPr>
        <w:t>以下是左侧配置详细描述：</w:t>
      </w:r>
    </w:p>
    <w:p w14:paraId="61C2821C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流程名 ：可手动输入，是流程的主要标识，在列表和业务发起页面展示，便于用户快速识别和区分不同的流程。</w:t>
      </w:r>
    </w:p>
    <w:p w14:paraId="71FB3417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流程别名 ：支持手动输入，作为流程的辅助标识，可在特定场景下使用，为用户提供更灵活的流程命名方式。</w:t>
      </w:r>
    </w:p>
    <w:p w14:paraId="1F78B525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流程 key ：需手动输入，是流程发起的唯一依据，具有不可重复性，例如 “mea_talk”，确保每个流程在系统中的唯一性和准确性。</w:t>
      </w:r>
    </w:p>
    <w:p w14:paraId="2D76928D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流程图标 ：可选择展示图标，该图标会在业务发起页面展示，直观地呈现流程的性质或类别，方便用户快速定位和操作。</w:t>
      </w:r>
    </w:p>
    <w:p w14:paraId="31D5352D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数据源 ：需选择该流程的后台数据表名，若是新增流程则要先建立数据表，除非开发人员编写了特殊逻辑，可不选数据源，确保流程数据的规范存储和有效管理。</w:t>
      </w:r>
    </w:p>
    <w:p w14:paraId="74DC5ADF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流程实例 bean ：用于定义业务数据的生产方式，现有选项为一般流程实例、线索案件实例、措施实例。选择一般流程实例和措施实例时，默认从数据源选择的库里新增数据；线索案件实例因写了特殊逻辑，可不选择数据源，灵活满足不同业务的数据处理需求。</w:t>
      </w:r>
    </w:p>
    <w:p w14:paraId="0E0C246E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关联表单 ：要选择对应的表单，新建流程需在表单设计处添加对应表单，确保流程与表单的关联性，实现数据的有效收集和展示。</w:t>
      </w:r>
    </w:p>
    <w:p w14:paraId="5ADBFAE1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类型 ：即流程类型，用于对流程进行分类，在业务发起对应的 tab 下展示，方便用户按类型筛选和发起流程，提高工作效率。</w:t>
      </w:r>
    </w:p>
    <w:p w14:paraId="347E4831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发起方式 ：对应流程的发起方式，在业务办理发起时体现，选项包括直接发起、关联发起（在台账点击发起时弹出关联选项）、直接发起和关联发起（在业务发起页面发起）、不可发起，满足不同业务场景下的流程发起需求。</w:t>
      </w:r>
    </w:p>
    <w:p w14:paraId="087FD1C0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关联规则 ：当发起方式包含关联发起时，需要填写的规则，具体规则由开发人员提供，确保关联发起的准确性和有效性。</w:t>
      </w:r>
    </w:p>
    <w:p w14:paraId="52761785">
      <w:pPr>
        <w:jc w:val="both"/>
        <w:rPr>
          <w:rFonts w:hint="eastAsia"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待办标题 ：确定流程标题的生成方式，使用户在待办任务中能够清晰地识别流程，便于快速了解和处理待办事项。</w:t>
      </w:r>
    </w:p>
    <w:p w14:paraId="1C30672A">
      <w:pPr>
        <w:ind w:left="0" w:leftChars="0" w:firstLine="560" w:firstLineChars="200"/>
        <w:jc w:val="left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如图4所示。</w:t>
      </w:r>
    </w:p>
    <w:p w14:paraId="5B2D6E33">
      <w:pPr>
        <w:ind w:left="0" w:leftChars="0" w:firstLine="560" w:firstLineChars="200"/>
        <w:jc w:val="center"/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br w:type="textWrapping"/>
      </w:r>
      <w:r>
        <w:drawing>
          <wp:inline distT="0" distB="0" distL="114300" distR="114300">
            <wp:extent cx="2384425" cy="3632200"/>
            <wp:effectExtent l="0" t="0" r="1587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E1A0">
      <w:pPr>
        <w:ind w:firstLine="2160" w:firstLineChars="900"/>
        <w:jc w:val="both"/>
        <w:rPr>
          <w:rFonts w:asciiTheme="minorEastAsia" w:hAnsiTheme="minorEastAsia"/>
          <w:sz w:val="28"/>
          <w:szCs w:val="28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/>
          <w:sz w:val="28"/>
          <w:szCs w:val="28"/>
        </w:rPr>
        <w:t xml:space="preserve"> 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左侧配置</w:t>
      </w:r>
      <w:r>
        <w:rPr>
          <w:rFonts w:hint="eastAsia" w:asciiTheme="minorEastAsia" w:hAnsiTheme="minorEastAsia"/>
          <w:sz w:val="28"/>
          <w:szCs w:val="28"/>
        </w:rPr>
        <w:t>界面</w:t>
      </w:r>
    </w:p>
    <w:bookmarkEnd w:id="27"/>
    <w:bookmarkEnd w:id="28"/>
    <w:bookmarkEnd w:id="29"/>
    <w:p w14:paraId="6ACACDF5">
      <w:pPr>
        <w:pStyle w:val="2"/>
        <w:numPr>
          <w:ilvl w:val="0"/>
          <w:numId w:val="1"/>
        </w:numPr>
        <w:tabs>
          <w:tab w:val="left" w:pos="697"/>
        </w:tabs>
        <w:ind w:firstLine="562"/>
        <w:rPr>
          <w:rFonts w:hint="eastAsia" w:asciiTheme="minorEastAsia" w:hAnsiTheme="minorEastAsia"/>
          <w:sz w:val="28"/>
          <w:szCs w:val="28"/>
          <w:lang w:val="en-US" w:eastAsia="zh-CN"/>
        </w:rPr>
      </w:pPr>
      <w:bookmarkStart w:id="30" w:name="_Toc28476"/>
      <w:r>
        <w:rPr>
          <w:rFonts w:hint="eastAsia"/>
        </w:rPr>
        <w:t>流程画布</w:t>
      </w:r>
      <w:bookmarkEnd w:id="30"/>
    </w:p>
    <w:p w14:paraId="2EDFE7D5">
      <w:pPr>
        <w:ind w:firstLine="560"/>
        <w:rPr>
          <w:rFonts w:hint="default" w:asciiTheme="minorEastAsia" w:hAnsi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流程画布是流程配置引擎中的核心组件，支持用户通过直观的图形化界面进行流程设计与编辑。左侧提供步骤列表，用户可按住步骤拖动至右侧画布区域，画布以网格为背景，提供 “撤销”“删除”等操作按钮，便于用户灵活调整和管理流程布局。双击画布上的步骤可修改名称，以满足不同流程环节的个性化命名需求。步骤之间可用箭头线连接，直观展现流程的走向和顺序。鼠标移到步骤上右击可弹出设置弹框，用户可对步骤进行详细设置，如配置审批权限、操作按钮、制作文书等。如图5所示。</w:t>
      </w:r>
    </w:p>
    <w:p w14:paraId="34B4813C">
      <w:pPr>
        <w:numPr>
          <w:ilvl w:val="0"/>
          <w:numId w:val="0"/>
        </w:numPr>
        <w:jc w:val="both"/>
      </w:pPr>
      <w:r>
        <w:drawing>
          <wp:inline distT="0" distB="0" distL="0" distR="0">
            <wp:extent cx="5274310" cy="2540000"/>
            <wp:effectExtent l="0" t="0" r="2540" b="0"/>
            <wp:docPr id="1442767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6767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6DC">
      <w:pPr>
        <w:numPr>
          <w:ilvl w:val="0"/>
          <w:numId w:val="0"/>
        </w:numPr>
        <w:ind w:leftChars="200"/>
        <w:jc w:val="both"/>
        <w:rPr>
          <w:rFonts w:hint="eastAsia" w:asciiTheme="minorEastAsia" w:hAnsiTheme="minor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                </w:t>
      </w:r>
      <w:r>
        <w:rPr>
          <w:rFonts w:hint="eastAsia" w:asciiTheme="minorEastAsia" w:hAnsiTheme="minorEastAsia"/>
          <w:sz w:val="28"/>
          <w:szCs w:val="28"/>
        </w:rPr>
        <w:t>图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5 流程画布</w:t>
      </w:r>
    </w:p>
    <w:p w14:paraId="264C513F">
      <w:pPr>
        <w:pStyle w:val="2"/>
        <w:numPr>
          <w:ilvl w:val="0"/>
          <w:numId w:val="1"/>
        </w:numPr>
        <w:tabs>
          <w:tab w:val="left" w:pos="697"/>
        </w:tabs>
        <w:ind w:leftChars="200" w:firstLine="562"/>
        <w:jc w:val="both"/>
        <w:rPr>
          <w:rFonts w:hint="default" w:asciiTheme="minorEastAsia" w:hAnsiTheme="minorEastAsia"/>
          <w:sz w:val="28"/>
          <w:szCs w:val="28"/>
          <w:lang w:val="en-US" w:eastAsia="zh-CN"/>
        </w:rPr>
      </w:pPr>
      <w:bookmarkStart w:id="31" w:name="_Toc21891"/>
      <w:r>
        <w:rPr>
          <w:rFonts w:hint="eastAsia"/>
        </w:rPr>
        <w:t>基本设置</w:t>
      </w:r>
      <w:bookmarkEnd w:id="31"/>
    </w:p>
    <w:p w14:paraId="2524A0D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步骤ID：自动生成，不需要再进行修改；</w:t>
      </w:r>
    </w:p>
    <w:p w14:paraId="034E91E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步骤名称：可以修改当前步骤展示的名称，也可以在步骤双击进行修改；</w:t>
      </w:r>
    </w:p>
    <w:p w14:paraId="73198180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步骤别称：可以输入步骤别称；</w:t>
      </w:r>
    </w:p>
    <w:p w14:paraId="63E281F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步骤阶段：选择流程属于的阶段，对于步骤的打标签，用于后续统计或分类使用；</w:t>
      </w:r>
    </w:p>
    <w:p w14:paraId="7EDDED17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关联表单：默认展示。</w:t>
      </w:r>
    </w:p>
    <w:p w14:paraId="6C79A246">
      <w:pPr>
        <w:ind w:left="0" w:leftChars="0" w:firstLine="0" w:firstLineChars="0"/>
        <w:jc w:val="left"/>
      </w:pPr>
      <w:r>
        <w:drawing>
          <wp:inline distT="0" distB="0" distL="0" distR="0">
            <wp:extent cx="5274310" cy="2058670"/>
            <wp:effectExtent l="0" t="0" r="2540" b="17780"/>
            <wp:docPr id="1258768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6895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D9E4">
      <w:pPr>
        <w:ind w:left="0" w:leftChars="0" w:firstLine="0" w:firstLineChars="0"/>
        <w:jc w:val="center"/>
        <w:rPr>
          <w:rFonts w:hint="eastAsia" w:ascii="宋体" w:hAnsi="宋体" w:eastAsia="宋体" w:cs="宋体"/>
          <w:sz w:val="28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4"/>
          <w:lang w:val="en-US" w:eastAsia="zh-CN"/>
        </w:rPr>
        <w:t>图6 基本设置</w:t>
      </w:r>
    </w:p>
    <w:p w14:paraId="0264F1F3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 w:ascii="宋体" w:hAnsi="宋体" w:eastAsia="宋体" w:cs="宋体"/>
          <w:sz w:val="28"/>
          <w:szCs w:val="24"/>
          <w:lang w:val="en-US" w:eastAsia="zh-CN"/>
        </w:rPr>
      </w:pPr>
      <w:bookmarkStart w:id="32" w:name="_Toc25946"/>
      <w:r>
        <w:rPr>
          <w:rFonts w:hint="eastAsia"/>
        </w:rPr>
        <w:t>按钮设置</w:t>
      </w:r>
      <w:bookmarkEnd w:id="32"/>
    </w:p>
    <w:p w14:paraId="742A08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功能按钮用于实现页面中的基础功能。按钮名和图标可在相应库中选择并展示。功能脚本由前端提供，按钮的显示策略支持根据单位和部门配置，可设置是否显示。它还有审批通过后展示、按钮说明及弹框提示，操作含新增、删除、拖拉排序。</w:t>
      </w:r>
    </w:p>
    <w:p w14:paraId="1640B01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流转按钮用于将流程流转至下一步骤。按钮名和图标在页面中展示并可配置。按钮显示策略支持根据单位和部门配置其显示或隐藏，且刚进入步骤时不展示，需审批通过后展示。它还包含按钮说明和弹框提示，目标步骤可从当前流程的其他步骤中选择，按钮事件供前端开发，流转后事件供后端开发，操作同样包括新增、删除、拖拉排序。</w:t>
      </w:r>
    </w:p>
    <w:p w14:paraId="1CF7C2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审批按钮用于发起审批流程。按钮名和图标在页面中展示并可配置。按钮显示策略支持根据单位和部门配置显示或隐藏，且有按钮说明和弹框提示。允许开启或关闭纸质呈批，审批模板可在相应配置菜单中修改，意见栏布局供前端开发使用。表单和审批表二选一，前者在表单设计中制作，后者在文书模板中设置为审批表的模板。审批通过自动下一步可开启或关闭，开启后可选择目标步骤，操作同样包括新增、删除、拖拉排序。</w:t>
      </w:r>
      <w:r>
        <w:rPr>
          <w:rFonts w:hint="eastAsia"/>
          <w:sz w:val="28"/>
          <w:szCs w:val="28"/>
          <w:lang w:val="en-US" w:eastAsia="zh-CN"/>
        </w:rPr>
        <w:t>如图7所示。</w:t>
      </w:r>
    </w:p>
    <w:p w14:paraId="1DF0D12F">
      <w:pPr>
        <w:ind w:left="0" w:leftChars="0" w:firstLine="0" w:firstLineChars="0"/>
        <w:jc w:val="left"/>
      </w:pPr>
      <w:r>
        <w:drawing>
          <wp:inline distT="0" distB="0" distL="0" distR="0">
            <wp:extent cx="5250180" cy="2797810"/>
            <wp:effectExtent l="0" t="0" r="7620" b="2540"/>
            <wp:docPr id="1785544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417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l="1" r="450"/>
                    <a:stretch>
                      <a:fillRect/>
                    </a:stretch>
                  </pic:blipFill>
                  <pic:spPr>
                    <a:xfrm>
                      <a:off x="0" y="0"/>
                      <a:ext cx="5250543" cy="27984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F868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图7 按钮设置</w:t>
      </w:r>
    </w:p>
    <w:p w14:paraId="79EB437C">
      <w:pPr>
        <w:rPr>
          <w:rFonts w:hint="default"/>
          <w:sz w:val="28"/>
          <w:szCs w:val="28"/>
          <w:lang w:val="en-US" w:eastAsia="zh-CN"/>
        </w:rPr>
      </w:pPr>
    </w:p>
    <w:p w14:paraId="1C55C162">
      <w:pPr>
        <w:rPr>
          <w:rFonts w:hint="default"/>
          <w:sz w:val="28"/>
          <w:szCs w:val="28"/>
          <w:lang w:val="en-US" w:eastAsia="zh-CN"/>
        </w:rPr>
      </w:pPr>
    </w:p>
    <w:p w14:paraId="603A3769">
      <w:pPr>
        <w:rPr>
          <w:rFonts w:hint="default"/>
          <w:lang w:val="en-US" w:eastAsia="zh-CN"/>
        </w:rPr>
      </w:pPr>
    </w:p>
    <w:p w14:paraId="7B3D1F62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/>
          <w:lang w:val="en-US" w:eastAsia="zh-CN"/>
        </w:rPr>
      </w:pPr>
      <w:bookmarkStart w:id="33" w:name="_Toc5633"/>
      <w:r>
        <w:rPr>
          <w:rFonts w:hint="eastAsia"/>
          <w:lang w:val="en-US" w:eastAsia="zh-CN"/>
        </w:rPr>
        <w:t>附件文书设置</w:t>
      </w:r>
      <w:bookmarkEnd w:id="33"/>
    </w:p>
    <w:p w14:paraId="4527166F">
      <w:pPr>
        <w:rPr>
          <w:rFonts w:hint="default"/>
          <w:lang w:val="en-US" w:eastAsia="zh-CN"/>
        </w:rPr>
      </w:pPr>
    </w:p>
    <w:p w14:paraId="62A7303C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允许编号功能可开启或关闭，开启后在对应的步骤可以发起编号流程，用于对文书进行编号操作，以便于后续的管理和查询。</w:t>
      </w:r>
    </w:p>
    <w:p w14:paraId="3AC80B78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允许签章功能可开启或关闭，开启后在对应的步骤可以发起签章流程，支持对文书进行电子签章操作，确保文书的合法性和安全性。</w:t>
      </w:r>
    </w:p>
    <w:p w14:paraId="356F7A66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允许销号功能可开启或关闭，开启后在对应的步骤可以发起销号流程，用于对已处理完毕的文书进行销号处理，表明该文书的流程已结束。</w:t>
      </w:r>
    </w:p>
    <w:p w14:paraId="52B7933E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允许取消用印功能可开启或关闭，开启后在对应的步骤可以发起取消用印流程，用于在文书用印前取消用印申请，避免不必要的用印操作。</w:t>
      </w:r>
    </w:p>
    <w:p w14:paraId="38226BD9">
      <w:pPr>
        <w:ind w:left="0" w:leftChars="0" w:firstLine="0" w:firstLineChars="0"/>
        <w:jc w:val="left"/>
      </w:pPr>
      <w:r>
        <w:drawing>
          <wp:inline distT="0" distB="0" distL="0" distR="0">
            <wp:extent cx="5274310" cy="1229360"/>
            <wp:effectExtent l="0" t="0" r="2540" b="8890"/>
            <wp:docPr id="896217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703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55C5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图8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sz w:val="28"/>
          <w:szCs w:val="24"/>
          <w:lang w:val="en-US" w:eastAsia="zh-CN"/>
        </w:rPr>
        <w:t>编号</w:t>
      </w:r>
      <w:r>
        <w:rPr>
          <w:rFonts w:hint="eastAsia"/>
          <w:sz w:val="28"/>
          <w:szCs w:val="24"/>
          <w:lang w:val="en-US" w:eastAsia="zh-CN"/>
        </w:rPr>
        <w:t>/</w:t>
      </w:r>
      <w:r>
        <w:rPr>
          <w:rFonts w:hint="default"/>
          <w:sz w:val="28"/>
          <w:szCs w:val="24"/>
          <w:lang w:val="en-US" w:eastAsia="zh-CN"/>
        </w:rPr>
        <w:t>签章</w:t>
      </w:r>
      <w:r>
        <w:rPr>
          <w:rFonts w:hint="eastAsia"/>
          <w:sz w:val="28"/>
          <w:szCs w:val="24"/>
          <w:lang w:val="en-US" w:eastAsia="zh-CN"/>
        </w:rPr>
        <w:t>/</w:t>
      </w:r>
      <w:r>
        <w:rPr>
          <w:rFonts w:hint="default"/>
          <w:sz w:val="28"/>
          <w:szCs w:val="24"/>
          <w:lang w:val="en-US" w:eastAsia="zh-CN"/>
        </w:rPr>
        <w:t>销号</w:t>
      </w:r>
      <w:r>
        <w:rPr>
          <w:rFonts w:hint="eastAsia"/>
          <w:sz w:val="28"/>
          <w:szCs w:val="24"/>
          <w:lang w:val="en-US" w:eastAsia="zh-CN"/>
        </w:rPr>
        <w:t>/</w:t>
      </w:r>
      <w:r>
        <w:rPr>
          <w:rFonts w:hint="default"/>
          <w:sz w:val="28"/>
          <w:szCs w:val="24"/>
          <w:lang w:val="en-US" w:eastAsia="zh-CN"/>
        </w:rPr>
        <w:t>取消用印</w:t>
      </w:r>
    </w:p>
    <w:p w14:paraId="4809B5B1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文书类型功能支持勾选当前步骤可以制作的文书类型，已选类型能够在页面中展示并供用户选择使用。</w:t>
      </w:r>
    </w:p>
    <w:p w14:paraId="2B602E3C">
      <w:pPr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已选类型是指已勾选的文书类型，用户可从这些类型中选择需要制作的文书类型，满足不同业务场景下的文书制作需求。</w:t>
      </w:r>
    </w:p>
    <w:p w14:paraId="575E5049">
      <w:pPr>
        <w:rPr>
          <w:rFonts w:hint="default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必填类型是从已选类型中选择的必填文书类型，在页面中会标红显示，审批或下一步时会弹出必做文书提示，确保关键文书的完整性和规范性。</w:t>
      </w:r>
    </w:p>
    <w:p w14:paraId="0E7BE988"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如图9所示。</w:t>
      </w:r>
    </w:p>
    <w:p w14:paraId="676EB4BC">
      <w:pPr>
        <w:ind w:left="0" w:leftChars="0" w:firstLine="0" w:firstLineChars="0"/>
        <w:jc w:val="left"/>
      </w:pPr>
      <w:r>
        <w:drawing>
          <wp:inline distT="0" distB="0" distL="0" distR="0">
            <wp:extent cx="5274310" cy="1812925"/>
            <wp:effectExtent l="0" t="0" r="2540" b="15875"/>
            <wp:docPr id="159251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14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8678">
      <w:pPr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 附件文书设置</w:t>
      </w:r>
    </w:p>
    <w:p w14:paraId="6B9394BB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/>
          <w:lang w:val="en-US" w:eastAsia="zh-CN"/>
        </w:rPr>
      </w:pPr>
      <w:bookmarkStart w:id="34" w:name="_Toc11001"/>
      <w:r>
        <w:rPr>
          <w:rFonts w:hint="eastAsia"/>
        </w:rPr>
        <w:t>表单设置</w:t>
      </w:r>
      <w:bookmarkEnd w:id="34"/>
    </w:p>
    <w:p w14:paraId="33BD1851">
      <w:pPr>
        <w:rPr>
          <w:rFonts w:hint="default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在</w:t>
      </w:r>
      <w:r>
        <w:rPr>
          <w:rFonts w:hint="eastAsia"/>
          <w:sz w:val="28"/>
          <w:szCs w:val="24"/>
          <w:lang w:val="en-US" w:eastAsia="zh-CN"/>
        </w:rPr>
        <w:t>表单配置</w:t>
      </w:r>
      <w:r>
        <w:rPr>
          <w:rFonts w:hint="default"/>
          <w:sz w:val="28"/>
          <w:szCs w:val="24"/>
          <w:lang w:val="en-US" w:eastAsia="zh-CN"/>
        </w:rPr>
        <w:t>中，可设置当前步骤表单字段是否可编辑及是否必填，以满足不同业务场景需求。对于复杂表单校验，如线索案件流程表单，</w:t>
      </w:r>
      <w:r>
        <w:rPr>
          <w:rFonts w:hint="eastAsia"/>
          <w:sz w:val="28"/>
          <w:szCs w:val="24"/>
          <w:lang w:val="en-US" w:eastAsia="zh-CN"/>
        </w:rPr>
        <w:t>会由</w:t>
      </w:r>
      <w:r>
        <w:rPr>
          <w:rFonts w:hint="default"/>
          <w:sz w:val="28"/>
          <w:szCs w:val="24"/>
          <w:lang w:val="en-US" w:eastAsia="zh-CN"/>
        </w:rPr>
        <w:t>前端编写逻辑，实现精准校验。</w:t>
      </w:r>
      <w:r>
        <w:rPr>
          <w:rFonts w:hint="eastAsia"/>
          <w:sz w:val="28"/>
          <w:szCs w:val="24"/>
          <w:lang w:val="en-US" w:eastAsia="zh-CN"/>
        </w:rPr>
        <w:t>如图10。</w:t>
      </w:r>
    </w:p>
    <w:p w14:paraId="10934ECE">
      <w:pPr>
        <w:ind w:left="0" w:leftChars="0" w:firstLine="0" w:firstLineChars="0"/>
      </w:pPr>
      <w:r>
        <w:drawing>
          <wp:inline distT="0" distB="0" distL="0" distR="0">
            <wp:extent cx="5274310" cy="2256155"/>
            <wp:effectExtent l="0" t="0" r="2540" b="10795"/>
            <wp:docPr id="174131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1186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65A7">
      <w:pPr>
        <w:ind w:left="0" w:leftChars="0" w:firstLine="0" w:firstLineChars="0"/>
        <w:jc w:val="center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图10 表单设置</w:t>
      </w:r>
    </w:p>
    <w:p w14:paraId="75D16996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/>
          <w:sz w:val="28"/>
          <w:szCs w:val="24"/>
          <w:lang w:val="en-US" w:eastAsia="zh-CN"/>
        </w:rPr>
      </w:pPr>
      <w:bookmarkStart w:id="35" w:name="_Toc24822"/>
      <w:r>
        <w:rPr>
          <w:rFonts w:hint="eastAsia"/>
        </w:rPr>
        <w:t>可发起措施</w:t>
      </w:r>
      <w:bookmarkEnd w:id="35"/>
    </w:p>
    <w:p w14:paraId="1F0AF4AB"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</w:rPr>
        <w:t>设置当前步骤可发起措施，该功能支持在案件处理流程中设置当前步骤可发起的措施，规范流程节点操作并确保执行动作符合业务规则</w:t>
      </w:r>
      <w:r>
        <w:rPr>
          <w:rFonts w:hint="eastAsia"/>
          <w:sz w:val="28"/>
          <w:szCs w:val="24"/>
          <w:lang w:eastAsia="zh-CN"/>
        </w:rPr>
        <w:t>，</w:t>
      </w:r>
      <w:r>
        <w:rPr>
          <w:rFonts w:hint="eastAsia"/>
          <w:sz w:val="28"/>
          <w:szCs w:val="24"/>
          <w:lang w:val="en-US" w:eastAsia="zh-CN"/>
        </w:rPr>
        <w:t>如图11。</w:t>
      </w:r>
    </w:p>
    <w:p w14:paraId="148BD7EE">
      <w:pPr>
        <w:ind w:left="0" w:leftChars="0" w:firstLine="0" w:firstLineChars="0"/>
      </w:pPr>
      <w:r>
        <w:drawing>
          <wp:inline distT="0" distB="0" distL="0" distR="0">
            <wp:extent cx="5274310" cy="1687830"/>
            <wp:effectExtent l="0" t="0" r="2540" b="7620"/>
            <wp:docPr id="110954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46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C3FF">
      <w:pPr>
        <w:ind w:left="0" w:leftChars="0" w:firstLine="0" w:firstLineChars="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图11 </w:t>
      </w:r>
      <w:r>
        <w:rPr>
          <w:rFonts w:hint="eastAsia"/>
        </w:rPr>
        <w:t>可发起措施</w:t>
      </w:r>
    </w:p>
    <w:p w14:paraId="59F002AF">
      <w:pPr>
        <w:ind w:left="0" w:leftChars="0" w:firstLine="0" w:firstLineChars="0"/>
        <w:jc w:val="both"/>
        <w:rPr>
          <w:rFonts w:hint="eastAsia"/>
        </w:rPr>
      </w:pPr>
    </w:p>
    <w:p w14:paraId="229C1D66">
      <w:pPr>
        <w:ind w:left="0" w:leftChars="0" w:firstLine="0" w:firstLineChars="0"/>
        <w:jc w:val="both"/>
        <w:rPr>
          <w:rFonts w:hint="eastAsia"/>
        </w:rPr>
      </w:pPr>
    </w:p>
    <w:p w14:paraId="064C5238">
      <w:pPr>
        <w:pStyle w:val="2"/>
        <w:numPr>
          <w:ilvl w:val="0"/>
          <w:numId w:val="1"/>
        </w:numPr>
        <w:tabs>
          <w:tab w:val="left" w:pos="697"/>
        </w:tabs>
        <w:ind w:left="480" w:leftChars="200" w:firstLine="562" w:firstLineChars="0"/>
        <w:jc w:val="both"/>
        <w:rPr>
          <w:rFonts w:hint="default"/>
          <w:lang w:val="en-US" w:eastAsia="zh-CN"/>
        </w:rPr>
      </w:pPr>
      <w:bookmarkStart w:id="36" w:name="_Toc25410"/>
      <w:r>
        <w:rPr>
          <w:rFonts w:hint="eastAsia"/>
        </w:rPr>
        <w:t>业务属性设置</w:t>
      </w:r>
      <w:bookmarkEnd w:id="36"/>
    </w:p>
    <w:p w14:paraId="1314D624">
      <w:pPr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</w:rPr>
        <w:t>用于需要定制化开发的</w:t>
      </w:r>
      <w:r>
        <w:rPr>
          <w:rFonts w:hint="eastAsia"/>
          <w:sz w:val="28"/>
          <w:szCs w:val="24"/>
          <w:lang w:val="en-US" w:eastAsia="zh-CN"/>
        </w:rPr>
        <w:t>功能，如图12。</w:t>
      </w:r>
    </w:p>
    <w:p w14:paraId="409D444A">
      <w:pPr>
        <w:ind w:left="0" w:leftChars="0" w:firstLine="0" w:firstLineChars="0"/>
        <w:jc w:val="center"/>
      </w:pPr>
      <w:r>
        <w:drawing>
          <wp:inline distT="0" distB="0" distL="114300" distR="114300">
            <wp:extent cx="5268595" cy="1585595"/>
            <wp:effectExtent l="0" t="0" r="8255" b="146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1A92C">
      <w:pPr>
        <w:ind w:left="0" w:leftChars="0" w:firstLine="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图12 业务属性设置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2F7B1">
    <w:pPr>
      <w:pStyle w:val="6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16B069"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16B069"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1B2A13D">
    <w:pPr>
      <w:pStyle w:val="6"/>
      <w:tabs>
        <w:tab w:val="clear" w:pos="4153"/>
      </w:tabs>
      <w:ind w:firstLineChars="111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5671F">
    <w:pPr>
      <w:pStyle w:val="7"/>
      <w:ind w:firstLine="360"/>
    </w:pPr>
    <w:r>
      <w:rPr>
        <w:rFonts w:hint="eastAsia"/>
        <w:lang w:val="en-US" w:eastAsia="zh-CN"/>
      </w:rPr>
      <w:t>流程配置引擎</w:t>
    </w:r>
    <w:r>
      <w:rPr>
        <w:rFonts w:hint="eastAsia"/>
      </w:rPr>
      <w:t>软件说明书</w:t>
    </w:r>
    <w:r>
      <w:rPr>
        <w:rFonts w:hint="eastAsia"/>
        <w:lang w:val="en-US" w:eastAsia="zh-CN"/>
      </w:rPr>
      <w:t xml:space="preserve"> v1.0</w:t>
    </w:r>
    <w:bookmarkStart w:id="37" w:name="_GoBack"/>
    <w:bookmarkEnd w:id="37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56CF9"/>
    <w:multiLevelType w:val="multilevel"/>
    <w:tmpl w:val="5DE56CF9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036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456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876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296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716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136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556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976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jOWQ2Mjc1OWJmYzY5NjA5NDljNWQwYWZkYzVjNTIifQ=="/>
  </w:docVars>
  <w:rsids>
    <w:rsidRoot w:val="25A91BF9"/>
    <w:rsid w:val="00101A70"/>
    <w:rsid w:val="00252285"/>
    <w:rsid w:val="00541B3C"/>
    <w:rsid w:val="005F5BB5"/>
    <w:rsid w:val="007A1CA0"/>
    <w:rsid w:val="007B6478"/>
    <w:rsid w:val="007C54FC"/>
    <w:rsid w:val="0080458E"/>
    <w:rsid w:val="009D3E84"/>
    <w:rsid w:val="00A927DE"/>
    <w:rsid w:val="00CA56BE"/>
    <w:rsid w:val="00DF78AD"/>
    <w:rsid w:val="00E820FD"/>
    <w:rsid w:val="00ED3627"/>
    <w:rsid w:val="011B1A4A"/>
    <w:rsid w:val="02551A35"/>
    <w:rsid w:val="029562D6"/>
    <w:rsid w:val="02A77544"/>
    <w:rsid w:val="05907F43"/>
    <w:rsid w:val="05AD0062"/>
    <w:rsid w:val="06BD6296"/>
    <w:rsid w:val="07AF38C6"/>
    <w:rsid w:val="07B244C9"/>
    <w:rsid w:val="08311325"/>
    <w:rsid w:val="09825908"/>
    <w:rsid w:val="09DE0562"/>
    <w:rsid w:val="0B4260A9"/>
    <w:rsid w:val="0C373B28"/>
    <w:rsid w:val="0CC1118C"/>
    <w:rsid w:val="0CFB2887"/>
    <w:rsid w:val="0D224C0A"/>
    <w:rsid w:val="0FC043FE"/>
    <w:rsid w:val="10FD4D24"/>
    <w:rsid w:val="129768A6"/>
    <w:rsid w:val="12CA3D79"/>
    <w:rsid w:val="13655850"/>
    <w:rsid w:val="13806555"/>
    <w:rsid w:val="139C2C3A"/>
    <w:rsid w:val="13ED0608"/>
    <w:rsid w:val="14487200"/>
    <w:rsid w:val="15A72150"/>
    <w:rsid w:val="18F33784"/>
    <w:rsid w:val="1D143E78"/>
    <w:rsid w:val="1D195B8B"/>
    <w:rsid w:val="1D56673C"/>
    <w:rsid w:val="1EDE0B15"/>
    <w:rsid w:val="207B5463"/>
    <w:rsid w:val="247456F2"/>
    <w:rsid w:val="257E48F0"/>
    <w:rsid w:val="258930E6"/>
    <w:rsid w:val="25A91BF9"/>
    <w:rsid w:val="260A1B8D"/>
    <w:rsid w:val="262F3DFF"/>
    <w:rsid w:val="26B71A80"/>
    <w:rsid w:val="26DD5F63"/>
    <w:rsid w:val="27DC037F"/>
    <w:rsid w:val="27EA5288"/>
    <w:rsid w:val="28221F34"/>
    <w:rsid w:val="2838132E"/>
    <w:rsid w:val="286769BB"/>
    <w:rsid w:val="28760635"/>
    <w:rsid w:val="298F4CF6"/>
    <w:rsid w:val="29E63E0B"/>
    <w:rsid w:val="2ACB46DB"/>
    <w:rsid w:val="2ACF5F79"/>
    <w:rsid w:val="2D2A26E7"/>
    <w:rsid w:val="2D4F33A1"/>
    <w:rsid w:val="2E7A5BC1"/>
    <w:rsid w:val="2F7132DA"/>
    <w:rsid w:val="304C5E35"/>
    <w:rsid w:val="311E5564"/>
    <w:rsid w:val="31E22597"/>
    <w:rsid w:val="31F91B2E"/>
    <w:rsid w:val="3402116D"/>
    <w:rsid w:val="364E2B99"/>
    <w:rsid w:val="36923F54"/>
    <w:rsid w:val="36C3024B"/>
    <w:rsid w:val="36E7464B"/>
    <w:rsid w:val="378B328C"/>
    <w:rsid w:val="3A214E4D"/>
    <w:rsid w:val="3A23599A"/>
    <w:rsid w:val="3BE27C11"/>
    <w:rsid w:val="3C3329AF"/>
    <w:rsid w:val="3FAB557C"/>
    <w:rsid w:val="3FD61996"/>
    <w:rsid w:val="40281C1E"/>
    <w:rsid w:val="41216AFC"/>
    <w:rsid w:val="413466DE"/>
    <w:rsid w:val="41D41C6F"/>
    <w:rsid w:val="444B77A2"/>
    <w:rsid w:val="44935E12"/>
    <w:rsid w:val="44F16ACD"/>
    <w:rsid w:val="45390767"/>
    <w:rsid w:val="46A00792"/>
    <w:rsid w:val="48657AC5"/>
    <w:rsid w:val="49995C78"/>
    <w:rsid w:val="4A063378"/>
    <w:rsid w:val="4CCB6EF7"/>
    <w:rsid w:val="4CF436ED"/>
    <w:rsid w:val="4DA266D9"/>
    <w:rsid w:val="4E28674F"/>
    <w:rsid w:val="51BD30E1"/>
    <w:rsid w:val="540F5B2C"/>
    <w:rsid w:val="545035A8"/>
    <w:rsid w:val="545A7D97"/>
    <w:rsid w:val="547706C9"/>
    <w:rsid w:val="54B60107"/>
    <w:rsid w:val="55514F39"/>
    <w:rsid w:val="5A4E26F3"/>
    <w:rsid w:val="5AA7485B"/>
    <w:rsid w:val="5BD2700C"/>
    <w:rsid w:val="5EF7101F"/>
    <w:rsid w:val="5FD72BFF"/>
    <w:rsid w:val="5FE962B0"/>
    <w:rsid w:val="622814F0"/>
    <w:rsid w:val="622E7335"/>
    <w:rsid w:val="627222EF"/>
    <w:rsid w:val="63F27673"/>
    <w:rsid w:val="657607C4"/>
    <w:rsid w:val="67662509"/>
    <w:rsid w:val="699679EA"/>
    <w:rsid w:val="6A741585"/>
    <w:rsid w:val="6B49139D"/>
    <w:rsid w:val="6B57505D"/>
    <w:rsid w:val="6ED92793"/>
    <w:rsid w:val="7006594D"/>
    <w:rsid w:val="70195703"/>
    <w:rsid w:val="70534214"/>
    <w:rsid w:val="70A02B99"/>
    <w:rsid w:val="71B71BE6"/>
    <w:rsid w:val="71E9117C"/>
    <w:rsid w:val="72C427D0"/>
    <w:rsid w:val="73256A2A"/>
    <w:rsid w:val="73FB175F"/>
    <w:rsid w:val="741B2266"/>
    <w:rsid w:val="75913E80"/>
    <w:rsid w:val="7625127B"/>
    <w:rsid w:val="784135BA"/>
    <w:rsid w:val="787D149F"/>
    <w:rsid w:val="798D6D60"/>
    <w:rsid w:val="79E61F64"/>
    <w:rsid w:val="7BF30DFF"/>
    <w:rsid w:val="7F6455C2"/>
    <w:rsid w:val="7F994EA0"/>
    <w:rsid w:val="7FA26BAA"/>
    <w:rsid w:val="7FD0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Autospacing="1" w:after="100" w:afterAutospacing="1"/>
      <w:outlineLvl w:val="1"/>
    </w:pPr>
    <w:rPr>
      <w:rFonts w:ascii="Arial" w:hAnsi="Arial" w:eastAsia="黑体"/>
      <w:b/>
      <w:bCs/>
      <w:sz w:val="28"/>
      <w:szCs w:val="32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next w:val="1"/>
    <w:qFormat/>
    <w:uiPriority w:val="0"/>
    <w:pPr>
      <w:spacing w:line="360" w:lineRule="auto"/>
      <w:ind w:firstLine="570"/>
    </w:pPr>
    <w:rPr>
      <w:sz w:val="24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left" w:pos="650"/>
        <w:tab w:val="right" w:leader="dot" w:pos="8720"/>
      </w:tabs>
      <w:ind w:firstLine="402"/>
      <w:jc w:val="center"/>
    </w:pPr>
    <w:rPr>
      <w:rFonts w:ascii="Calibri" w:hAnsi="Calibri"/>
      <w:b/>
      <w:bCs/>
      <w:caps/>
      <w:sz w:val="20"/>
      <w:szCs w:val="20"/>
    </w:rPr>
  </w:style>
  <w:style w:type="paragraph" w:styleId="9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10">
    <w:name w:val="Body Text First Indent 2"/>
    <w:basedOn w:val="4"/>
    <w:next w:val="1"/>
    <w:qFormat/>
    <w:uiPriority w:val="99"/>
    <w:pPr>
      <w:ind w:firstLine="420" w:firstLineChars="200"/>
    </w:pPr>
  </w:style>
  <w:style w:type="table" w:styleId="12">
    <w:name w:val="Table Grid"/>
    <w:basedOn w:val="11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Hyperlink"/>
    <w:basedOn w:val="13"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/>
    </w:pPr>
  </w:style>
  <w:style w:type="paragraph" w:customStyle="1" w:styleId="16">
    <w:name w:val="Andy"/>
    <w:basedOn w:val="1"/>
    <w:qFormat/>
    <w:uiPriority w:val="0"/>
    <w:pPr>
      <w:spacing w:line="360" w:lineRule="auto"/>
      <w:ind w:firstLine="600" w:firstLineChars="200"/>
    </w:pPr>
    <w:rPr>
      <w:rFonts w:ascii="仿宋_GB2312" w:hAnsi="仿宋" w:eastAsia="仿宋_GB231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3014</Words>
  <Characters>3110</Characters>
  <Lines>42</Lines>
  <Paragraphs>12</Paragraphs>
  <TotalTime>0</TotalTime>
  <ScaleCrop>false</ScaleCrop>
  <LinksUpToDate>false</LinksUpToDate>
  <CharactersWithSpaces>3200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2017-12-10T01:55:00Z</dcterms:created>
  <dc:creator>Anastasia</dc:creator>
  <cp:lastModifiedBy>喻灵子</cp:lastModifiedBy>
  <dcterms:modified xsi:type="dcterms:W3CDTF">2025-03-07T19:38:59Z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B238D925DC194C0EB1B25715C2AB6C2A_13</vt:lpwstr>
  </property>
  <property fmtid="{D5CDD505-2E9C-101B-9397-08002B2CF9AE}" pid="4" name="KSOTemplateDocerSaveRecord">
    <vt:lpwstr>eyJoZGlkIjoiYjdiNDczOTE4NWE1NWUyMjA2Mjk3ZjE3MTdiYTM1YWIiLCJ1c2VySWQiOiIzNjM3OTU4ODkifQ==</vt:lpwstr>
  </property>
</Properties>
</file>