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6CD" w:rsidRDefault="001156CD" w:rsidP="00A3172D">
      <w:pPr>
        <w:pStyle w:val="NoSpacing"/>
        <w:jc w:val="center"/>
      </w:pPr>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262388" w:rsidRDefault="00262388" w:rsidP="00F900F7"/>
    <w:p w:rsidR="00262388" w:rsidRDefault="00A3172D" w:rsidP="001D2D41">
      <w:pPr>
        <w:jc w:val="center"/>
      </w:pPr>
      <w:r>
        <w:rPr>
          <w:noProof/>
        </w:rPr>
        <w:drawing>
          <wp:inline distT="0" distB="0" distL="0" distR="0">
            <wp:extent cx="1562100" cy="11083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dar-0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7026" cy="1111814"/>
                    </a:xfrm>
                    <a:prstGeom prst="rect">
                      <a:avLst/>
                    </a:prstGeom>
                  </pic:spPr>
                </pic:pic>
              </a:graphicData>
            </a:graphic>
          </wp:inline>
        </w:drawing>
      </w:r>
    </w:p>
    <w:p w:rsidR="00782BFD" w:rsidRPr="00DC3E1C" w:rsidRDefault="00782BFD" w:rsidP="00F900F7">
      <w:pPr>
        <w:rPr>
          <w:sz w:val="36"/>
        </w:rPr>
      </w:pPr>
    </w:p>
    <w:p w:rsidR="00C04510" w:rsidRPr="00DC3E1C" w:rsidRDefault="00C04510" w:rsidP="00F900F7">
      <w:pPr>
        <w:rPr>
          <w:sz w:val="36"/>
        </w:rPr>
      </w:pPr>
    </w:p>
    <w:p w:rsidR="009A3605" w:rsidRDefault="009A3605" w:rsidP="00ED08B4">
      <w:pPr>
        <w:jc w:val="center"/>
        <w:rPr>
          <w:b/>
          <w:sz w:val="36"/>
        </w:rPr>
      </w:pPr>
      <w:r>
        <w:rPr>
          <w:b/>
          <w:sz w:val="36"/>
        </w:rPr>
        <w:t xml:space="preserve">Personal Data </w:t>
      </w:r>
    </w:p>
    <w:p w:rsidR="001156CD" w:rsidRPr="00ED08B4" w:rsidRDefault="009A3605" w:rsidP="00ED08B4">
      <w:pPr>
        <w:jc w:val="center"/>
        <w:rPr>
          <w:b/>
          <w:sz w:val="36"/>
        </w:rPr>
      </w:pPr>
      <w:r>
        <w:rPr>
          <w:b/>
          <w:sz w:val="36"/>
        </w:rPr>
        <w:t>Breach Notification</w:t>
      </w:r>
      <w:r w:rsidR="005E13B5" w:rsidRPr="00ED08B4">
        <w:rPr>
          <w:b/>
          <w:sz w:val="36"/>
        </w:rPr>
        <w:t xml:space="preserve"> Procedure</w:t>
      </w:r>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782BFD" w:rsidRDefault="00782BFD" w:rsidP="00F900F7"/>
    <w:p w:rsidR="00782BFD" w:rsidRDefault="00782BFD" w:rsidP="00F900F7"/>
    <w:p w:rsidR="00782BFD" w:rsidRDefault="00782BFD" w:rsidP="00F900F7"/>
    <w:p w:rsidR="00782BFD" w:rsidRDefault="00782BFD" w:rsidP="00F900F7"/>
    <w:p w:rsidR="00782BFD" w:rsidRDefault="00782BFD" w:rsidP="00F900F7"/>
    <w:p w:rsidR="00782BFD" w:rsidRDefault="00782BFD" w:rsidP="00F900F7"/>
    <w:p w:rsidR="00ED08B4" w:rsidRDefault="00ED08B4" w:rsidP="00ED08B4">
      <w:pPr>
        <w:jc w:val="right"/>
        <w:rPr>
          <w:b/>
          <w:sz w:val="28"/>
        </w:rPr>
      </w:pPr>
    </w:p>
    <w:p w:rsidR="00ED08B4" w:rsidRDefault="00ED08B4" w:rsidP="00ED08B4">
      <w:pPr>
        <w:jc w:val="right"/>
        <w:rPr>
          <w:b/>
          <w:sz w:val="28"/>
        </w:rPr>
      </w:pPr>
    </w:p>
    <w:p w:rsidR="001156CD" w:rsidRPr="00C04510" w:rsidRDefault="001156CD" w:rsidP="00F900F7">
      <w:pPr>
        <w:rPr>
          <w:b/>
        </w:rPr>
      </w:pPr>
      <w:r w:rsidRPr="00C04510">
        <w:rPr>
          <w:b/>
        </w:rPr>
        <w:t>Contents</w:t>
      </w:r>
    </w:p>
    <w:p w:rsidR="001156CD" w:rsidRDefault="001156CD" w:rsidP="00F900F7"/>
    <w:p w:rsidR="008F4B68" w:rsidRDefault="00805783">
      <w:pPr>
        <w:pStyle w:val="TOC1"/>
        <w:tabs>
          <w:tab w:val="left" w:pos="480"/>
          <w:tab w:val="right" w:leader="dot" w:pos="9016"/>
        </w:tabs>
        <w:rPr>
          <w:rFonts w:asciiTheme="minorHAnsi" w:eastAsiaTheme="minorEastAsia" w:hAnsiTheme="minorHAnsi" w:cstheme="minorBidi"/>
          <w:b w:val="0"/>
          <w:caps w:val="0"/>
          <w:sz w:val="22"/>
        </w:rPr>
      </w:pPr>
      <w:r>
        <w:rPr>
          <w:rFonts w:cs="Arial"/>
          <w:bCs/>
          <w:sz w:val="28"/>
        </w:rPr>
        <w:fldChar w:fldCharType="begin"/>
      </w:r>
      <w:r>
        <w:rPr>
          <w:rFonts w:cs="Arial"/>
          <w:bCs/>
          <w:sz w:val="28"/>
        </w:rPr>
        <w:instrText xml:space="preserve"> TOC \o "1-3" \h \z \u </w:instrText>
      </w:r>
      <w:r>
        <w:rPr>
          <w:rFonts w:cs="Arial"/>
          <w:bCs/>
          <w:sz w:val="28"/>
        </w:rPr>
        <w:fldChar w:fldCharType="separate"/>
      </w:r>
      <w:hyperlink w:anchor="_Toc484774701" w:history="1">
        <w:r w:rsidR="008F4B68" w:rsidRPr="00751A23">
          <w:rPr>
            <w:rStyle w:val="Hyperlink"/>
          </w:rPr>
          <w:t>1</w:t>
        </w:r>
        <w:r w:rsidR="008F4B68">
          <w:rPr>
            <w:rFonts w:asciiTheme="minorHAnsi" w:eastAsiaTheme="minorEastAsia" w:hAnsiTheme="minorHAnsi" w:cstheme="minorBidi"/>
            <w:b w:val="0"/>
            <w:caps w:val="0"/>
            <w:sz w:val="22"/>
          </w:rPr>
          <w:tab/>
        </w:r>
        <w:r w:rsidR="008F4B68" w:rsidRPr="00751A23">
          <w:rPr>
            <w:rStyle w:val="Hyperlink"/>
          </w:rPr>
          <w:t>Introduction</w:t>
        </w:r>
        <w:r w:rsidR="008F4B68">
          <w:rPr>
            <w:webHidden/>
          </w:rPr>
          <w:tab/>
        </w:r>
        <w:r w:rsidR="008F4B68">
          <w:rPr>
            <w:webHidden/>
          </w:rPr>
          <w:fldChar w:fldCharType="begin"/>
        </w:r>
        <w:r w:rsidR="008F4B68">
          <w:rPr>
            <w:webHidden/>
          </w:rPr>
          <w:instrText xml:space="preserve"> PAGEREF _Toc484774701 \h </w:instrText>
        </w:r>
        <w:r w:rsidR="008F4B68">
          <w:rPr>
            <w:webHidden/>
          </w:rPr>
        </w:r>
        <w:r w:rsidR="008F4B68">
          <w:rPr>
            <w:webHidden/>
          </w:rPr>
          <w:fldChar w:fldCharType="separate"/>
        </w:r>
        <w:r w:rsidR="008F4B68">
          <w:rPr>
            <w:webHidden/>
          </w:rPr>
          <w:t>8</w:t>
        </w:r>
        <w:r w:rsidR="008F4B68">
          <w:rPr>
            <w:webHidden/>
          </w:rPr>
          <w:fldChar w:fldCharType="end"/>
        </w:r>
      </w:hyperlink>
    </w:p>
    <w:p w:rsidR="008F4B68" w:rsidRDefault="00514FEC">
      <w:pPr>
        <w:pStyle w:val="TOC1"/>
        <w:tabs>
          <w:tab w:val="left" w:pos="480"/>
          <w:tab w:val="right" w:leader="dot" w:pos="9016"/>
        </w:tabs>
        <w:rPr>
          <w:rFonts w:asciiTheme="minorHAnsi" w:eastAsiaTheme="minorEastAsia" w:hAnsiTheme="minorHAnsi" w:cstheme="minorBidi"/>
          <w:b w:val="0"/>
          <w:caps w:val="0"/>
          <w:sz w:val="22"/>
        </w:rPr>
      </w:pPr>
      <w:hyperlink w:anchor="_Toc484774702" w:history="1">
        <w:r w:rsidR="008F4B68" w:rsidRPr="00751A23">
          <w:rPr>
            <w:rStyle w:val="Hyperlink"/>
          </w:rPr>
          <w:t>2</w:t>
        </w:r>
        <w:r w:rsidR="008F4B68">
          <w:rPr>
            <w:rFonts w:asciiTheme="minorHAnsi" w:eastAsiaTheme="minorEastAsia" w:hAnsiTheme="minorHAnsi" w:cstheme="minorBidi"/>
            <w:b w:val="0"/>
            <w:caps w:val="0"/>
            <w:sz w:val="22"/>
          </w:rPr>
          <w:tab/>
        </w:r>
        <w:r w:rsidR="008F4B68" w:rsidRPr="00751A23">
          <w:rPr>
            <w:rStyle w:val="Hyperlink"/>
          </w:rPr>
          <w:t>Personal Data Breach Notification Procedure</w:t>
        </w:r>
        <w:r w:rsidR="008F4B68">
          <w:rPr>
            <w:webHidden/>
          </w:rPr>
          <w:tab/>
        </w:r>
        <w:r w:rsidR="008F4B68">
          <w:rPr>
            <w:webHidden/>
          </w:rPr>
          <w:fldChar w:fldCharType="begin"/>
        </w:r>
        <w:r w:rsidR="008F4B68">
          <w:rPr>
            <w:webHidden/>
          </w:rPr>
          <w:instrText xml:space="preserve"> PAGEREF _Toc484774702 \h </w:instrText>
        </w:r>
        <w:r w:rsidR="008F4B68">
          <w:rPr>
            <w:webHidden/>
          </w:rPr>
        </w:r>
        <w:r w:rsidR="008F4B68">
          <w:rPr>
            <w:webHidden/>
          </w:rPr>
          <w:fldChar w:fldCharType="separate"/>
        </w:r>
        <w:r w:rsidR="008F4B68">
          <w:rPr>
            <w:webHidden/>
          </w:rPr>
          <w:t>9</w:t>
        </w:r>
        <w:r w:rsidR="008F4B68">
          <w:rPr>
            <w:webHidden/>
          </w:rPr>
          <w:fldChar w:fldCharType="end"/>
        </w:r>
      </w:hyperlink>
    </w:p>
    <w:p w:rsidR="008F4B68" w:rsidRDefault="00514FEC">
      <w:pPr>
        <w:pStyle w:val="TOC2"/>
        <w:tabs>
          <w:tab w:val="left" w:pos="880"/>
          <w:tab w:val="right" w:leader="dot" w:pos="9016"/>
        </w:tabs>
        <w:rPr>
          <w:rFonts w:asciiTheme="minorHAnsi" w:eastAsiaTheme="minorEastAsia" w:hAnsiTheme="minorHAnsi" w:cstheme="minorBidi"/>
          <w:smallCaps w:val="0"/>
          <w:noProof/>
          <w:sz w:val="22"/>
        </w:rPr>
      </w:pPr>
      <w:hyperlink w:anchor="_Toc484774703" w:history="1">
        <w:r w:rsidR="008F4B68" w:rsidRPr="00751A23">
          <w:rPr>
            <w:rStyle w:val="Hyperlink"/>
            <w:noProof/>
          </w:rPr>
          <w:t>2.1</w:t>
        </w:r>
        <w:r w:rsidR="008F4B68">
          <w:rPr>
            <w:rFonts w:asciiTheme="minorHAnsi" w:eastAsiaTheme="minorEastAsia" w:hAnsiTheme="minorHAnsi" w:cstheme="minorBidi"/>
            <w:smallCaps w:val="0"/>
            <w:noProof/>
            <w:sz w:val="22"/>
          </w:rPr>
          <w:tab/>
        </w:r>
        <w:r w:rsidR="008F4B68" w:rsidRPr="00751A23">
          <w:rPr>
            <w:rStyle w:val="Hyperlink"/>
            <w:noProof/>
          </w:rPr>
          <w:t>The Supervisory Authority</w:t>
        </w:r>
        <w:r w:rsidR="008F4B68">
          <w:rPr>
            <w:noProof/>
            <w:webHidden/>
          </w:rPr>
          <w:tab/>
        </w:r>
        <w:r w:rsidR="008F4B68">
          <w:rPr>
            <w:noProof/>
            <w:webHidden/>
          </w:rPr>
          <w:fldChar w:fldCharType="begin"/>
        </w:r>
        <w:r w:rsidR="008F4B68">
          <w:rPr>
            <w:noProof/>
            <w:webHidden/>
          </w:rPr>
          <w:instrText xml:space="preserve"> PAGEREF _Toc484774703 \h </w:instrText>
        </w:r>
        <w:r w:rsidR="008F4B68">
          <w:rPr>
            <w:noProof/>
            <w:webHidden/>
          </w:rPr>
        </w:r>
        <w:r w:rsidR="008F4B68">
          <w:rPr>
            <w:noProof/>
            <w:webHidden/>
          </w:rPr>
          <w:fldChar w:fldCharType="separate"/>
        </w:r>
        <w:r w:rsidR="008F4B68">
          <w:rPr>
            <w:noProof/>
            <w:webHidden/>
          </w:rPr>
          <w:t>9</w:t>
        </w:r>
        <w:r w:rsidR="008F4B68">
          <w:rPr>
            <w:noProof/>
            <w:webHidden/>
          </w:rPr>
          <w:fldChar w:fldCharType="end"/>
        </w:r>
      </w:hyperlink>
    </w:p>
    <w:p w:rsidR="008F4B68" w:rsidRDefault="00514FEC">
      <w:pPr>
        <w:pStyle w:val="TOC3"/>
        <w:tabs>
          <w:tab w:val="left" w:pos="1320"/>
          <w:tab w:val="right" w:leader="dot" w:pos="9016"/>
        </w:tabs>
        <w:rPr>
          <w:rFonts w:asciiTheme="minorHAnsi" w:eastAsiaTheme="minorEastAsia" w:hAnsiTheme="minorHAnsi" w:cstheme="minorBidi"/>
          <w:i w:val="0"/>
          <w:noProof/>
          <w:sz w:val="22"/>
        </w:rPr>
      </w:pPr>
      <w:hyperlink w:anchor="_Toc484774704" w:history="1">
        <w:r w:rsidR="008F4B68" w:rsidRPr="00751A23">
          <w:rPr>
            <w:rStyle w:val="Hyperlink"/>
            <w:noProof/>
          </w:rPr>
          <w:t>2.1.1</w:t>
        </w:r>
        <w:r w:rsidR="008F4B68">
          <w:rPr>
            <w:rFonts w:asciiTheme="minorHAnsi" w:eastAsiaTheme="minorEastAsia" w:hAnsiTheme="minorHAnsi" w:cstheme="minorBidi"/>
            <w:i w:val="0"/>
            <w:noProof/>
            <w:sz w:val="22"/>
          </w:rPr>
          <w:tab/>
        </w:r>
        <w:r w:rsidR="008F4B68" w:rsidRPr="00751A23">
          <w:rPr>
            <w:rStyle w:val="Hyperlink"/>
            <w:noProof/>
          </w:rPr>
          <w:t>Deciding whether to notify the Supervisory Authority</w:t>
        </w:r>
        <w:r w:rsidR="008F4B68">
          <w:rPr>
            <w:noProof/>
            <w:webHidden/>
          </w:rPr>
          <w:tab/>
        </w:r>
        <w:r w:rsidR="008F4B68">
          <w:rPr>
            <w:noProof/>
            <w:webHidden/>
          </w:rPr>
          <w:fldChar w:fldCharType="begin"/>
        </w:r>
        <w:r w:rsidR="008F4B68">
          <w:rPr>
            <w:noProof/>
            <w:webHidden/>
          </w:rPr>
          <w:instrText xml:space="preserve"> PAGEREF _Toc484774704 \h </w:instrText>
        </w:r>
        <w:r w:rsidR="008F4B68">
          <w:rPr>
            <w:noProof/>
            <w:webHidden/>
          </w:rPr>
        </w:r>
        <w:r w:rsidR="008F4B68">
          <w:rPr>
            <w:noProof/>
            <w:webHidden/>
          </w:rPr>
          <w:fldChar w:fldCharType="separate"/>
        </w:r>
        <w:r w:rsidR="008F4B68">
          <w:rPr>
            <w:noProof/>
            <w:webHidden/>
          </w:rPr>
          <w:t>9</w:t>
        </w:r>
        <w:r w:rsidR="008F4B68">
          <w:rPr>
            <w:noProof/>
            <w:webHidden/>
          </w:rPr>
          <w:fldChar w:fldCharType="end"/>
        </w:r>
      </w:hyperlink>
    </w:p>
    <w:p w:rsidR="008F4B68" w:rsidRDefault="00514FEC">
      <w:pPr>
        <w:pStyle w:val="TOC3"/>
        <w:tabs>
          <w:tab w:val="left" w:pos="1320"/>
          <w:tab w:val="right" w:leader="dot" w:pos="9016"/>
        </w:tabs>
        <w:rPr>
          <w:rFonts w:asciiTheme="minorHAnsi" w:eastAsiaTheme="minorEastAsia" w:hAnsiTheme="minorHAnsi" w:cstheme="minorBidi"/>
          <w:i w:val="0"/>
          <w:noProof/>
          <w:sz w:val="22"/>
        </w:rPr>
      </w:pPr>
      <w:hyperlink w:anchor="_Toc484774705" w:history="1">
        <w:r w:rsidR="008F4B68" w:rsidRPr="00751A23">
          <w:rPr>
            <w:rStyle w:val="Hyperlink"/>
            <w:noProof/>
          </w:rPr>
          <w:t>2.1.2</w:t>
        </w:r>
        <w:r w:rsidR="008F4B68">
          <w:rPr>
            <w:rFonts w:asciiTheme="minorHAnsi" w:eastAsiaTheme="minorEastAsia" w:hAnsiTheme="minorHAnsi" w:cstheme="minorBidi"/>
            <w:i w:val="0"/>
            <w:noProof/>
            <w:sz w:val="22"/>
          </w:rPr>
          <w:tab/>
        </w:r>
        <w:r w:rsidR="008F4B68" w:rsidRPr="00751A23">
          <w:rPr>
            <w:rStyle w:val="Hyperlink"/>
            <w:noProof/>
          </w:rPr>
          <w:t>How to notify the Supervisory Authority</w:t>
        </w:r>
        <w:r w:rsidR="008F4B68">
          <w:rPr>
            <w:noProof/>
            <w:webHidden/>
          </w:rPr>
          <w:tab/>
        </w:r>
        <w:r w:rsidR="008F4B68">
          <w:rPr>
            <w:noProof/>
            <w:webHidden/>
          </w:rPr>
          <w:fldChar w:fldCharType="begin"/>
        </w:r>
        <w:r w:rsidR="008F4B68">
          <w:rPr>
            <w:noProof/>
            <w:webHidden/>
          </w:rPr>
          <w:instrText xml:space="preserve"> PAGEREF _Toc484774705 \h </w:instrText>
        </w:r>
        <w:r w:rsidR="008F4B68">
          <w:rPr>
            <w:noProof/>
            <w:webHidden/>
          </w:rPr>
        </w:r>
        <w:r w:rsidR="008F4B68">
          <w:rPr>
            <w:noProof/>
            <w:webHidden/>
          </w:rPr>
          <w:fldChar w:fldCharType="separate"/>
        </w:r>
        <w:r w:rsidR="008F4B68">
          <w:rPr>
            <w:noProof/>
            <w:webHidden/>
          </w:rPr>
          <w:t>10</w:t>
        </w:r>
        <w:r w:rsidR="008F4B68">
          <w:rPr>
            <w:noProof/>
            <w:webHidden/>
          </w:rPr>
          <w:fldChar w:fldCharType="end"/>
        </w:r>
      </w:hyperlink>
    </w:p>
    <w:p w:rsidR="008F4B68" w:rsidRDefault="00514FEC">
      <w:pPr>
        <w:pStyle w:val="TOC2"/>
        <w:tabs>
          <w:tab w:val="left" w:pos="880"/>
          <w:tab w:val="right" w:leader="dot" w:pos="9016"/>
        </w:tabs>
        <w:rPr>
          <w:rFonts w:asciiTheme="minorHAnsi" w:eastAsiaTheme="minorEastAsia" w:hAnsiTheme="minorHAnsi" w:cstheme="minorBidi"/>
          <w:smallCaps w:val="0"/>
          <w:noProof/>
          <w:sz w:val="22"/>
        </w:rPr>
      </w:pPr>
      <w:hyperlink w:anchor="_Toc484774706" w:history="1">
        <w:r w:rsidR="008F4B68" w:rsidRPr="00751A23">
          <w:rPr>
            <w:rStyle w:val="Hyperlink"/>
            <w:noProof/>
          </w:rPr>
          <w:t>2.2</w:t>
        </w:r>
        <w:r w:rsidR="008F4B68">
          <w:rPr>
            <w:rFonts w:asciiTheme="minorHAnsi" w:eastAsiaTheme="minorEastAsia" w:hAnsiTheme="minorHAnsi" w:cstheme="minorBidi"/>
            <w:smallCaps w:val="0"/>
            <w:noProof/>
            <w:sz w:val="22"/>
          </w:rPr>
          <w:tab/>
        </w:r>
        <w:r w:rsidR="008F4B68" w:rsidRPr="00751A23">
          <w:rPr>
            <w:rStyle w:val="Hyperlink"/>
            <w:noProof/>
          </w:rPr>
          <w:t>Data Subjects</w:t>
        </w:r>
        <w:r w:rsidR="008F4B68">
          <w:rPr>
            <w:noProof/>
            <w:webHidden/>
          </w:rPr>
          <w:tab/>
        </w:r>
        <w:r w:rsidR="008F4B68">
          <w:rPr>
            <w:noProof/>
            <w:webHidden/>
          </w:rPr>
          <w:fldChar w:fldCharType="begin"/>
        </w:r>
        <w:r w:rsidR="008F4B68">
          <w:rPr>
            <w:noProof/>
            <w:webHidden/>
          </w:rPr>
          <w:instrText xml:space="preserve"> PAGEREF _Toc484774706 \h </w:instrText>
        </w:r>
        <w:r w:rsidR="008F4B68">
          <w:rPr>
            <w:noProof/>
            <w:webHidden/>
          </w:rPr>
        </w:r>
        <w:r w:rsidR="008F4B68">
          <w:rPr>
            <w:noProof/>
            <w:webHidden/>
          </w:rPr>
          <w:fldChar w:fldCharType="separate"/>
        </w:r>
        <w:r w:rsidR="008F4B68">
          <w:rPr>
            <w:noProof/>
            <w:webHidden/>
          </w:rPr>
          <w:t>11</w:t>
        </w:r>
        <w:r w:rsidR="008F4B68">
          <w:rPr>
            <w:noProof/>
            <w:webHidden/>
          </w:rPr>
          <w:fldChar w:fldCharType="end"/>
        </w:r>
      </w:hyperlink>
    </w:p>
    <w:p w:rsidR="008F4B68" w:rsidRDefault="00514FEC">
      <w:pPr>
        <w:pStyle w:val="TOC3"/>
        <w:tabs>
          <w:tab w:val="left" w:pos="1320"/>
          <w:tab w:val="right" w:leader="dot" w:pos="9016"/>
        </w:tabs>
        <w:rPr>
          <w:rFonts w:asciiTheme="minorHAnsi" w:eastAsiaTheme="minorEastAsia" w:hAnsiTheme="minorHAnsi" w:cstheme="minorBidi"/>
          <w:i w:val="0"/>
          <w:noProof/>
          <w:sz w:val="22"/>
        </w:rPr>
      </w:pPr>
      <w:hyperlink w:anchor="_Toc484774707" w:history="1">
        <w:r w:rsidR="008F4B68" w:rsidRPr="00751A23">
          <w:rPr>
            <w:rStyle w:val="Hyperlink"/>
            <w:noProof/>
          </w:rPr>
          <w:t>2.2.1</w:t>
        </w:r>
        <w:r w:rsidR="008F4B68">
          <w:rPr>
            <w:rFonts w:asciiTheme="minorHAnsi" w:eastAsiaTheme="minorEastAsia" w:hAnsiTheme="minorHAnsi" w:cstheme="minorBidi"/>
            <w:i w:val="0"/>
            <w:noProof/>
            <w:sz w:val="22"/>
          </w:rPr>
          <w:tab/>
        </w:r>
        <w:r w:rsidR="008F4B68" w:rsidRPr="00751A23">
          <w:rPr>
            <w:rStyle w:val="Hyperlink"/>
            <w:noProof/>
          </w:rPr>
          <w:t>Deciding whether to notify data subjects</w:t>
        </w:r>
        <w:r w:rsidR="008F4B68">
          <w:rPr>
            <w:noProof/>
            <w:webHidden/>
          </w:rPr>
          <w:tab/>
        </w:r>
        <w:r w:rsidR="008F4B68">
          <w:rPr>
            <w:noProof/>
            <w:webHidden/>
          </w:rPr>
          <w:fldChar w:fldCharType="begin"/>
        </w:r>
        <w:r w:rsidR="008F4B68">
          <w:rPr>
            <w:noProof/>
            <w:webHidden/>
          </w:rPr>
          <w:instrText xml:space="preserve"> PAGEREF _Toc484774707 \h </w:instrText>
        </w:r>
        <w:r w:rsidR="008F4B68">
          <w:rPr>
            <w:noProof/>
            <w:webHidden/>
          </w:rPr>
        </w:r>
        <w:r w:rsidR="008F4B68">
          <w:rPr>
            <w:noProof/>
            <w:webHidden/>
          </w:rPr>
          <w:fldChar w:fldCharType="separate"/>
        </w:r>
        <w:r w:rsidR="008F4B68">
          <w:rPr>
            <w:noProof/>
            <w:webHidden/>
          </w:rPr>
          <w:t>11</w:t>
        </w:r>
        <w:r w:rsidR="008F4B68">
          <w:rPr>
            <w:noProof/>
            <w:webHidden/>
          </w:rPr>
          <w:fldChar w:fldCharType="end"/>
        </w:r>
      </w:hyperlink>
    </w:p>
    <w:p w:rsidR="008F4B68" w:rsidRDefault="00514FEC">
      <w:pPr>
        <w:pStyle w:val="TOC3"/>
        <w:tabs>
          <w:tab w:val="left" w:pos="1320"/>
          <w:tab w:val="right" w:leader="dot" w:pos="9016"/>
        </w:tabs>
        <w:rPr>
          <w:rFonts w:asciiTheme="minorHAnsi" w:eastAsiaTheme="minorEastAsia" w:hAnsiTheme="minorHAnsi" w:cstheme="minorBidi"/>
          <w:i w:val="0"/>
          <w:noProof/>
          <w:sz w:val="22"/>
        </w:rPr>
      </w:pPr>
      <w:hyperlink w:anchor="_Toc484774708" w:history="1">
        <w:r w:rsidR="008F4B68" w:rsidRPr="00751A23">
          <w:rPr>
            <w:rStyle w:val="Hyperlink"/>
            <w:noProof/>
          </w:rPr>
          <w:t>2.2.2</w:t>
        </w:r>
        <w:r w:rsidR="008F4B68">
          <w:rPr>
            <w:rFonts w:asciiTheme="minorHAnsi" w:eastAsiaTheme="minorEastAsia" w:hAnsiTheme="minorHAnsi" w:cstheme="minorBidi"/>
            <w:i w:val="0"/>
            <w:noProof/>
            <w:sz w:val="22"/>
          </w:rPr>
          <w:tab/>
        </w:r>
        <w:r w:rsidR="008F4B68" w:rsidRPr="00751A23">
          <w:rPr>
            <w:rStyle w:val="Hyperlink"/>
            <w:noProof/>
          </w:rPr>
          <w:t>How to notify data subjects</w:t>
        </w:r>
        <w:r w:rsidR="008F4B68">
          <w:rPr>
            <w:noProof/>
            <w:webHidden/>
          </w:rPr>
          <w:tab/>
        </w:r>
        <w:r w:rsidR="008F4B68">
          <w:rPr>
            <w:noProof/>
            <w:webHidden/>
          </w:rPr>
          <w:fldChar w:fldCharType="begin"/>
        </w:r>
        <w:r w:rsidR="008F4B68">
          <w:rPr>
            <w:noProof/>
            <w:webHidden/>
          </w:rPr>
          <w:instrText xml:space="preserve"> PAGEREF _Toc484774708 \h </w:instrText>
        </w:r>
        <w:r w:rsidR="008F4B68">
          <w:rPr>
            <w:noProof/>
            <w:webHidden/>
          </w:rPr>
        </w:r>
        <w:r w:rsidR="008F4B68">
          <w:rPr>
            <w:noProof/>
            <w:webHidden/>
          </w:rPr>
          <w:fldChar w:fldCharType="separate"/>
        </w:r>
        <w:r w:rsidR="008F4B68">
          <w:rPr>
            <w:noProof/>
            <w:webHidden/>
          </w:rPr>
          <w:t>12</w:t>
        </w:r>
        <w:r w:rsidR="008F4B68">
          <w:rPr>
            <w:noProof/>
            <w:webHidden/>
          </w:rPr>
          <w:fldChar w:fldCharType="end"/>
        </w:r>
      </w:hyperlink>
    </w:p>
    <w:p w:rsidR="001156CD" w:rsidRDefault="00805783" w:rsidP="00A96A1D">
      <w:pPr>
        <w:rPr>
          <w:rFonts w:ascii="Times New Roman" w:hAnsi="Times New Roman" w:cs="Arial"/>
          <w:bCs/>
          <w:noProof/>
          <w:sz w:val="28"/>
        </w:rPr>
      </w:pPr>
      <w:r>
        <w:rPr>
          <w:rFonts w:ascii="Times New Roman" w:hAnsi="Times New Roman" w:cs="Arial"/>
          <w:bCs/>
          <w:noProof/>
          <w:sz w:val="28"/>
        </w:rPr>
        <w:fldChar w:fldCharType="end"/>
      </w:r>
    </w:p>
    <w:p w:rsidR="009D3EAF" w:rsidRPr="009D3EAF" w:rsidRDefault="009D3EAF" w:rsidP="00A96A1D">
      <w:pPr>
        <w:rPr>
          <w:b/>
        </w:rPr>
      </w:pPr>
      <w:r w:rsidRPr="009D3EAF">
        <w:rPr>
          <w:b/>
        </w:rPr>
        <w:t>List of Tables</w:t>
      </w:r>
    </w:p>
    <w:p w:rsidR="009D3EAF" w:rsidRDefault="009D3EAF" w:rsidP="00A96A1D"/>
    <w:p w:rsidR="008F4B68" w:rsidRDefault="009D3EAF">
      <w:pPr>
        <w:pStyle w:val="TableofFigures"/>
        <w:tabs>
          <w:tab w:val="right" w:leader="dot" w:pos="9016"/>
        </w:tabs>
        <w:rPr>
          <w:rFonts w:asciiTheme="minorHAnsi" w:eastAsiaTheme="minorEastAsia" w:hAnsiTheme="minorHAnsi" w:cstheme="minorBidi"/>
          <w:smallCaps w:val="0"/>
          <w:noProof/>
          <w:sz w:val="22"/>
        </w:rPr>
      </w:pPr>
      <w:r>
        <w:fldChar w:fldCharType="begin"/>
      </w:r>
      <w:r>
        <w:instrText xml:space="preserve"> TOC \h \z \c "Table" </w:instrText>
      </w:r>
      <w:r>
        <w:fldChar w:fldCharType="separate"/>
      </w:r>
      <w:hyperlink w:anchor="_Toc484774710" w:history="1">
        <w:r w:rsidR="008F4B68" w:rsidRPr="002073DD">
          <w:rPr>
            <w:rStyle w:val="Hyperlink"/>
            <w:noProof/>
          </w:rPr>
          <w:t>Table 1 - Supervisory authority contact details</w:t>
        </w:r>
        <w:r w:rsidR="008F4B68">
          <w:rPr>
            <w:noProof/>
            <w:webHidden/>
          </w:rPr>
          <w:tab/>
        </w:r>
        <w:r w:rsidR="008F4B68">
          <w:rPr>
            <w:noProof/>
            <w:webHidden/>
          </w:rPr>
          <w:fldChar w:fldCharType="begin"/>
        </w:r>
        <w:r w:rsidR="008F4B68">
          <w:rPr>
            <w:noProof/>
            <w:webHidden/>
          </w:rPr>
          <w:instrText xml:space="preserve"> PAGEREF _Toc484774710 \h </w:instrText>
        </w:r>
        <w:r w:rsidR="008F4B68">
          <w:rPr>
            <w:noProof/>
            <w:webHidden/>
          </w:rPr>
        </w:r>
        <w:r w:rsidR="008F4B68">
          <w:rPr>
            <w:noProof/>
            <w:webHidden/>
          </w:rPr>
          <w:fldChar w:fldCharType="separate"/>
        </w:r>
        <w:r w:rsidR="008F4B68">
          <w:rPr>
            <w:noProof/>
            <w:webHidden/>
          </w:rPr>
          <w:t>9</w:t>
        </w:r>
        <w:r w:rsidR="008F4B68">
          <w:rPr>
            <w:noProof/>
            <w:webHidden/>
          </w:rPr>
          <w:fldChar w:fldCharType="end"/>
        </w:r>
      </w:hyperlink>
    </w:p>
    <w:p w:rsidR="009D3EAF" w:rsidRDefault="009D3EAF" w:rsidP="00A96A1D">
      <w:r>
        <w:fldChar w:fldCharType="end"/>
      </w:r>
    </w:p>
    <w:p w:rsidR="001156CD" w:rsidRDefault="001156CD" w:rsidP="00A96A1D">
      <w:r>
        <w:br w:type="page"/>
      </w:r>
    </w:p>
    <w:p w:rsidR="001156CD" w:rsidRDefault="001156CD" w:rsidP="00F900F7">
      <w:pPr>
        <w:pStyle w:val="Heading1"/>
      </w:pPr>
      <w:bookmarkStart w:id="0" w:name="_Toc484774701"/>
      <w:r>
        <w:lastRenderedPageBreak/>
        <w:t>Introduction</w:t>
      </w:r>
      <w:bookmarkEnd w:id="0"/>
    </w:p>
    <w:p w:rsidR="001156CD" w:rsidRDefault="001156CD" w:rsidP="00F900F7"/>
    <w:p w:rsidR="00572F05" w:rsidRDefault="00572F05" w:rsidP="00F900F7">
      <w:r>
        <w:t xml:space="preserve">This </w:t>
      </w:r>
      <w:r w:rsidR="00F55ED5">
        <w:t>procedure</w:t>
      </w:r>
      <w:r>
        <w:t xml:space="preserve"> is intended to be used when a</w:t>
      </w:r>
      <w:r w:rsidR="00297506">
        <w:t>n</w:t>
      </w:r>
      <w:r>
        <w:t xml:space="preserve"> incident of some kind has occurred that </w:t>
      </w:r>
      <w:r w:rsidR="00F55ED5">
        <w:t>has resulted in, or is believed to have resulted in, a loss of</w:t>
      </w:r>
      <w:r w:rsidR="009E3FE4">
        <w:t xml:space="preserve"> personal data for which</w:t>
      </w:r>
      <w:r w:rsidR="003C129E">
        <w:t xml:space="preserve"> </w:t>
      </w:r>
      <w:r w:rsidR="009E3FE4">
        <w:t xml:space="preserve">the organization </w:t>
      </w:r>
      <w:r w:rsidR="003C129E">
        <w:t>is a controller</w:t>
      </w:r>
      <w:r w:rsidR="00727782">
        <w:t>.</w:t>
      </w:r>
      <w:r w:rsidR="00F55ED5">
        <w:t xml:space="preserve"> This document should be used in conjunction with the </w:t>
      </w:r>
      <w:r w:rsidR="00F55ED5">
        <w:rPr>
          <w:i/>
        </w:rPr>
        <w:t xml:space="preserve">Information Security Incident </w:t>
      </w:r>
      <w:r w:rsidR="00F55ED5" w:rsidRPr="00F55ED5">
        <w:rPr>
          <w:i/>
        </w:rPr>
        <w:t>Response Procedure</w:t>
      </w:r>
      <w:r w:rsidR="00F55ED5">
        <w:rPr>
          <w:i/>
        </w:rPr>
        <w:t xml:space="preserve"> </w:t>
      </w:r>
      <w:r w:rsidR="00F55ED5" w:rsidRPr="00F55ED5">
        <w:t>which describes</w:t>
      </w:r>
      <w:r w:rsidR="00F55ED5">
        <w:t xml:space="preserve"> the overall process of reacting to an incident affecting the information security of</w:t>
      </w:r>
      <w:r w:rsidR="00F55ED5" w:rsidRPr="00F55ED5">
        <w:t xml:space="preserve"> </w:t>
      </w:r>
      <w:proofErr w:type="spellStart"/>
      <w:r w:rsidR="008F6EA6">
        <w:t>Defradar</w:t>
      </w:r>
      <w:proofErr w:type="spellEnd"/>
      <w:r w:rsidR="008F6EA6">
        <w:t xml:space="preserve"> Technologies.</w:t>
      </w:r>
    </w:p>
    <w:p w:rsidR="00F55ED5" w:rsidRDefault="00F55ED5" w:rsidP="00F900F7"/>
    <w:p w:rsidR="00F55ED5" w:rsidRDefault="00F55ED5" w:rsidP="00F900F7">
      <w:r w:rsidRPr="00F55ED5">
        <w:t>It is a requirement of the EU General Data Protection Regulation 2016 (GDPR) that incidents affecting personal data that are likely to result in a risk to the rights and freedoms of data subjects must be reported to the data protection supervisory authority without undue delay and where feasible, within 72 hours of becoming aware of it. In the event that the 72-hour target is not met, reasons for the delay must be given.</w:t>
      </w:r>
    </w:p>
    <w:p w:rsidR="00F55ED5" w:rsidRDefault="00F55ED5" w:rsidP="00F900F7"/>
    <w:p w:rsidR="00F55ED5" w:rsidRDefault="00F55ED5" w:rsidP="00F55ED5">
      <w:r>
        <w:t xml:space="preserve">Where an incident affects personal data, a decision must be taken regarding the extent, timing and content of communication with data subjects. The GDPR requires that communication must happen “without undue delay” if the breach is likely to result in “a high risk to the rights and freedoms of natural persons”.  </w:t>
      </w:r>
    </w:p>
    <w:p w:rsidR="00F55ED5" w:rsidRDefault="00F55ED5" w:rsidP="00F900F7"/>
    <w:p w:rsidR="00572F05" w:rsidRDefault="00572F05" w:rsidP="00F900F7">
      <w:r>
        <w:t xml:space="preserve">The </w:t>
      </w:r>
      <w:r w:rsidR="00F55ED5">
        <w:t>actions</w:t>
      </w:r>
      <w:r>
        <w:t xml:space="preserve"> set out in this document should be used only as guidance when responding to an incident. The exact nature of an incident and its impact cannot be predicted with any degree of certainty and so it is important that a good degree of common sense is used when deciding </w:t>
      </w:r>
      <w:r w:rsidR="00F55ED5">
        <w:t>what to do</w:t>
      </w:r>
      <w:r>
        <w:t>.</w:t>
      </w:r>
      <w:r w:rsidR="00F55ED5">
        <w:t xml:space="preserve"> </w:t>
      </w:r>
      <w:r w:rsidR="00631FD2">
        <w:t>However,</w:t>
      </w:r>
      <w:r>
        <w:t xml:space="preserve"> it is </w:t>
      </w:r>
      <w:r w:rsidR="00ED08B4">
        <w:t>intended</w:t>
      </w:r>
      <w:r>
        <w:t xml:space="preserve"> that the </w:t>
      </w:r>
      <w:r w:rsidR="00F55ED5">
        <w:t>steps</w:t>
      </w:r>
      <w:r w:rsidR="008422E3">
        <w:t xml:space="preserve"> set out here will prove useful in </w:t>
      </w:r>
      <w:r w:rsidR="00F55ED5">
        <w:t>ensuring that our obligations under the GDPR are fulfilled</w:t>
      </w:r>
      <w:r w:rsidR="008422E3">
        <w:t>.</w:t>
      </w:r>
    </w:p>
    <w:p w:rsidR="00572F05" w:rsidRDefault="00572F05" w:rsidP="00F900F7"/>
    <w:p w:rsidR="00BA40F9" w:rsidRDefault="00BA40F9" w:rsidP="00F900F7"/>
    <w:p w:rsidR="00E44C32" w:rsidRDefault="00E44C32" w:rsidP="00E44C32"/>
    <w:p w:rsidR="00E44C32" w:rsidRDefault="00E44C32" w:rsidP="00E44C32"/>
    <w:p w:rsidR="00E44C32" w:rsidRDefault="00E44C32" w:rsidP="00E44C32"/>
    <w:p w:rsidR="00E44C32" w:rsidRDefault="00E44C32" w:rsidP="00E44C32">
      <w:r>
        <w:t xml:space="preserve"> </w:t>
      </w:r>
    </w:p>
    <w:p w:rsidR="00E44C32" w:rsidRDefault="00E44C32" w:rsidP="00E44C32"/>
    <w:p w:rsidR="00E44C32" w:rsidRDefault="00E44C32" w:rsidP="00E44C32"/>
    <w:p w:rsidR="008F05DC" w:rsidRDefault="008422E3" w:rsidP="008F05DC">
      <w:pPr>
        <w:pStyle w:val="Heading1"/>
      </w:pPr>
      <w:r>
        <w:br w:type="page"/>
      </w:r>
      <w:bookmarkStart w:id="1" w:name="_Toc484774702"/>
      <w:r w:rsidR="004B3BAF">
        <w:lastRenderedPageBreak/>
        <w:t xml:space="preserve">Personal Data Breach Notification </w:t>
      </w:r>
      <w:r w:rsidR="008F05DC">
        <w:t>Procedure</w:t>
      </w:r>
      <w:bookmarkEnd w:id="1"/>
    </w:p>
    <w:p w:rsidR="008F05DC" w:rsidRDefault="008F05DC" w:rsidP="008F05DC"/>
    <w:p w:rsidR="004B3BAF" w:rsidRDefault="004B3BAF" w:rsidP="008F05DC"/>
    <w:p w:rsidR="00DF78F5" w:rsidRDefault="008F05DC" w:rsidP="008F05DC">
      <w:r>
        <w:t xml:space="preserve">Once it has been decided that a breach of personal data has occurred, </w:t>
      </w:r>
      <w:r w:rsidR="00633946">
        <w:t xml:space="preserve">there are two parties who may be required </w:t>
      </w:r>
      <w:r w:rsidR="00DF78F5">
        <w:t xml:space="preserve">by the GDPR </w:t>
      </w:r>
      <w:r w:rsidR="00633946">
        <w:t>to be informed</w:t>
      </w:r>
      <w:r w:rsidR="00DF78F5">
        <w:t>. These are:</w:t>
      </w:r>
    </w:p>
    <w:p w:rsidR="00DF78F5" w:rsidRDefault="00DF78F5" w:rsidP="008F05DC"/>
    <w:p w:rsidR="00DF78F5" w:rsidRDefault="009C5339" w:rsidP="00DF78F5">
      <w:pPr>
        <w:pStyle w:val="ListParagraph"/>
        <w:numPr>
          <w:ilvl w:val="0"/>
          <w:numId w:val="27"/>
        </w:numPr>
      </w:pPr>
      <w:r>
        <w:t>The supervisory a</w:t>
      </w:r>
      <w:r w:rsidR="00DF78F5">
        <w:t>uthority</w:t>
      </w:r>
    </w:p>
    <w:p w:rsidR="00DF78F5" w:rsidRDefault="00DF78F5" w:rsidP="00DF78F5">
      <w:pPr>
        <w:pStyle w:val="ListParagraph"/>
        <w:numPr>
          <w:ilvl w:val="0"/>
          <w:numId w:val="27"/>
        </w:numPr>
      </w:pPr>
      <w:r>
        <w:t>The data subjects affected</w:t>
      </w:r>
    </w:p>
    <w:p w:rsidR="00DF78F5" w:rsidRDefault="00DF78F5" w:rsidP="00DF78F5"/>
    <w:p w:rsidR="00DF78F5" w:rsidRDefault="00DF78F5" w:rsidP="00DF78F5">
      <w:r>
        <w:t xml:space="preserve">It is not a foregone conclusion that the breach must be notified; this depends upon an assessment of the risk that the breach represents to </w:t>
      </w:r>
      <w:r w:rsidRPr="00DF78F5">
        <w:rPr>
          <w:i/>
        </w:rPr>
        <w:t>“the rights and freedoms of natural persons” (GDPR Article 33)</w:t>
      </w:r>
      <w:r>
        <w:t xml:space="preserve">. </w:t>
      </w:r>
      <w:r w:rsidR="00EF500C">
        <w:t>The following sections describe how this decision must be taken and what to do if notification is required.</w:t>
      </w:r>
    </w:p>
    <w:p w:rsidR="00EF500C" w:rsidRDefault="00EF500C" w:rsidP="00DF78F5"/>
    <w:p w:rsidR="00EF500C" w:rsidRDefault="00EF500C" w:rsidP="00DF78F5"/>
    <w:p w:rsidR="00EF500C" w:rsidRDefault="00EF500C" w:rsidP="00EF500C">
      <w:pPr>
        <w:pStyle w:val="Heading2"/>
      </w:pPr>
      <w:bookmarkStart w:id="2" w:name="_Toc484774703"/>
      <w:r>
        <w:t>The Supervisory Authority</w:t>
      </w:r>
      <w:bookmarkEnd w:id="2"/>
    </w:p>
    <w:p w:rsidR="00EF500C" w:rsidRDefault="00EF500C" w:rsidP="00DF78F5"/>
    <w:p w:rsidR="00EF500C" w:rsidRDefault="00EF500C" w:rsidP="00DF78F5">
      <w:r>
        <w:t xml:space="preserve">The supervisory authority for the purposes of the GDPR for </w:t>
      </w:r>
      <w:r w:rsidR="002C1267">
        <w:fldChar w:fldCharType="begin"/>
      </w:r>
      <w:r w:rsidR="002C1267">
        <w:instrText xml:space="preserve"> DOCPROPERTY  "Organization Name"  \* MERGEFORMAT </w:instrText>
      </w:r>
      <w:r w:rsidR="002C1267">
        <w:fldChar w:fldCharType="separate"/>
      </w:r>
      <w:r w:rsidR="008F6EA6" w:rsidRPr="008F6EA6">
        <w:t xml:space="preserve"> </w:t>
      </w:r>
      <w:proofErr w:type="spellStart"/>
      <w:r w:rsidR="008F6EA6">
        <w:t>Defradar</w:t>
      </w:r>
      <w:proofErr w:type="spellEnd"/>
      <w:r w:rsidR="008F6EA6">
        <w:t xml:space="preserve"> Technologies</w:t>
      </w:r>
      <w:r w:rsidR="008F6EA6">
        <w:t xml:space="preserve"> </w:t>
      </w:r>
      <w:r w:rsidR="002C1267">
        <w:fldChar w:fldCharType="end"/>
      </w:r>
      <w:r>
        <w:t xml:space="preserve"> is as follows:</w:t>
      </w:r>
    </w:p>
    <w:p w:rsidR="00EF500C" w:rsidRDefault="00EF500C" w:rsidP="00DF78F5"/>
    <w:tbl>
      <w:tblPr>
        <w:tblStyle w:val="GridTable2-Accent4"/>
        <w:tblW w:w="0" w:type="auto"/>
        <w:tblLook w:val="04A0" w:firstRow="1" w:lastRow="0" w:firstColumn="1" w:lastColumn="0" w:noHBand="0" w:noVBand="1"/>
      </w:tblPr>
      <w:tblGrid>
        <w:gridCol w:w="2088"/>
        <w:gridCol w:w="7154"/>
      </w:tblGrid>
      <w:tr w:rsidR="00EF500C" w:rsidTr="00743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F500C" w:rsidRPr="00EF500C" w:rsidRDefault="00EF500C" w:rsidP="00EF500C">
            <w:pPr>
              <w:rPr>
                <w:b w:val="0"/>
              </w:rPr>
            </w:pPr>
            <w:r w:rsidRPr="00EF500C">
              <w:t>Name:</w:t>
            </w:r>
          </w:p>
          <w:p w:rsidR="00EF500C" w:rsidRPr="00EF500C" w:rsidRDefault="00EF500C" w:rsidP="00DF78F5">
            <w:pPr>
              <w:rPr>
                <w:b w:val="0"/>
              </w:rPr>
            </w:pPr>
          </w:p>
        </w:tc>
        <w:tc>
          <w:tcPr>
            <w:tcW w:w="7154" w:type="dxa"/>
          </w:tcPr>
          <w:p w:rsidR="00EF500C" w:rsidRDefault="00EF500C" w:rsidP="00DF78F5">
            <w:pPr>
              <w:cnfStyle w:val="100000000000" w:firstRow="1" w:lastRow="0" w:firstColumn="0" w:lastColumn="0" w:oddVBand="0" w:evenVBand="0" w:oddHBand="0" w:evenHBand="0" w:firstRowFirstColumn="0" w:firstRowLastColumn="0" w:lastRowFirstColumn="0" w:lastRowLastColumn="0"/>
            </w:pPr>
          </w:p>
        </w:tc>
      </w:tr>
      <w:tr w:rsidR="00EF500C" w:rsidTr="007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F500C" w:rsidRPr="00EF500C" w:rsidRDefault="00EF500C" w:rsidP="00EF500C">
            <w:pPr>
              <w:rPr>
                <w:b w:val="0"/>
              </w:rPr>
            </w:pPr>
            <w:r w:rsidRPr="00EF500C">
              <w:t>Address:</w:t>
            </w:r>
          </w:p>
          <w:p w:rsidR="00EF500C" w:rsidRPr="00EF500C" w:rsidRDefault="00EF500C" w:rsidP="00DF78F5">
            <w:pPr>
              <w:rPr>
                <w:b w:val="0"/>
              </w:rPr>
            </w:pPr>
          </w:p>
        </w:tc>
        <w:tc>
          <w:tcPr>
            <w:tcW w:w="7154" w:type="dxa"/>
          </w:tcPr>
          <w:p w:rsidR="00EF500C" w:rsidRDefault="00EF500C" w:rsidP="00EF500C">
            <w:pPr>
              <w:cnfStyle w:val="000000100000" w:firstRow="0" w:lastRow="0" w:firstColumn="0" w:lastColumn="0" w:oddVBand="0" w:evenVBand="0" w:oddHBand="1" w:evenHBand="0" w:firstRowFirstColumn="0" w:firstRowLastColumn="0" w:lastRowFirstColumn="0" w:lastRowLastColumn="0"/>
            </w:pPr>
          </w:p>
        </w:tc>
      </w:tr>
      <w:tr w:rsidR="00EF500C" w:rsidTr="007433E4">
        <w:tc>
          <w:tcPr>
            <w:cnfStyle w:val="001000000000" w:firstRow="0" w:lastRow="0" w:firstColumn="1" w:lastColumn="0" w:oddVBand="0" w:evenVBand="0" w:oddHBand="0" w:evenHBand="0" w:firstRowFirstColumn="0" w:firstRowLastColumn="0" w:lastRowFirstColumn="0" w:lastRowLastColumn="0"/>
            <w:tcW w:w="2088" w:type="dxa"/>
          </w:tcPr>
          <w:p w:rsidR="00EF500C" w:rsidRPr="00EF500C" w:rsidRDefault="00EF500C" w:rsidP="00EF500C">
            <w:pPr>
              <w:rPr>
                <w:b w:val="0"/>
              </w:rPr>
            </w:pPr>
            <w:r w:rsidRPr="00EF500C">
              <w:t>Telephone:</w:t>
            </w:r>
          </w:p>
          <w:p w:rsidR="00EF500C" w:rsidRPr="00EF500C" w:rsidRDefault="00EF500C" w:rsidP="00DF78F5">
            <w:pPr>
              <w:rPr>
                <w:b w:val="0"/>
              </w:rPr>
            </w:pPr>
          </w:p>
        </w:tc>
        <w:tc>
          <w:tcPr>
            <w:tcW w:w="7154" w:type="dxa"/>
          </w:tcPr>
          <w:p w:rsidR="00EF500C" w:rsidRDefault="00EF500C" w:rsidP="00DF78F5">
            <w:pPr>
              <w:cnfStyle w:val="000000000000" w:firstRow="0" w:lastRow="0" w:firstColumn="0" w:lastColumn="0" w:oddVBand="0" w:evenVBand="0" w:oddHBand="0" w:evenHBand="0" w:firstRowFirstColumn="0" w:firstRowLastColumn="0" w:lastRowFirstColumn="0" w:lastRowLastColumn="0"/>
            </w:pPr>
          </w:p>
        </w:tc>
      </w:tr>
      <w:tr w:rsidR="00EF500C" w:rsidTr="007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F500C" w:rsidRDefault="00EF500C" w:rsidP="00EF500C">
            <w:pPr>
              <w:rPr>
                <w:b w:val="0"/>
              </w:rPr>
            </w:pPr>
            <w:r>
              <w:t>Fax:</w:t>
            </w:r>
          </w:p>
          <w:p w:rsidR="00EF500C" w:rsidRPr="00EF500C" w:rsidRDefault="00EF500C" w:rsidP="00EF500C">
            <w:pPr>
              <w:rPr>
                <w:b w:val="0"/>
              </w:rPr>
            </w:pPr>
          </w:p>
        </w:tc>
        <w:tc>
          <w:tcPr>
            <w:tcW w:w="7154" w:type="dxa"/>
          </w:tcPr>
          <w:p w:rsidR="00EF500C" w:rsidRPr="00EF500C" w:rsidRDefault="00EF500C" w:rsidP="00DF78F5">
            <w:pPr>
              <w:cnfStyle w:val="000000100000" w:firstRow="0" w:lastRow="0" w:firstColumn="0" w:lastColumn="0" w:oddVBand="0" w:evenVBand="0" w:oddHBand="1" w:evenHBand="0" w:firstRowFirstColumn="0" w:firstRowLastColumn="0" w:lastRowFirstColumn="0" w:lastRowLastColumn="0"/>
            </w:pPr>
          </w:p>
        </w:tc>
      </w:tr>
      <w:tr w:rsidR="00EF500C" w:rsidTr="007433E4">
        <w:tc>
          <w:tcPr>
            <w:cnfStyle w:val="001000000000" w:firstRow="0" w:lastRow="0" w:firstColumn="1" w:lastColumn="0" w:oddVBand="0" w:evenVBand="0" w:oddHBand="0" w:evenHBand="0" w:firstRowFirstColumn="0" w:firstRowLastColumn="0" w:lastRowFirstColumn="0" w:lastRowLastColumn="0"/>
            <w:tcW w:w="2088" w:type="dxa"/>
          </w:tcPr>
          <w:p w:rsidR="00EF500C" w:rsidRPr="00EF500C" w:rsidRDefault="00EF500C" w:rsidP="00EF500C">
            <w:pPr>
              <w:rPr>
                <w:b w:val="0"/>
              </w:rPr>
            </w:pPr>
            <w:r w:rsidRPr="00EF500C">
              <w:t>Email:</w:t>
            </w:r>
          </w:p>
          <w:p w:rsidR="00EF500C" w:rsidRPr="00EF500C" w:rsidRDefault="00EF500C" w:rsidP="00DF78F5">
            <w:pPr>
              <w:rPr>
                <w:b w:val="0"/>
              </w:rPr>
            </w:pPr>
          </w:p>
        </w:tc>
        <w:tc>
          <w:tcPr>
            <w:tcW w:w="7154" w:type="dxa"/>
          </w:tcPr>
          <w:p w:rsidR="00EF500C" w:rsidRDefault="00EF500C" w:rsidP="00EF500C">
            <w:pPr>
              <w:keepNext/>
              <w:cnfStyle w:val="000000000000" w:firstRow="0" w:lastRow="0" w:firstColumn="0" w:lastColumn="0" w:oddVBand="0" w:evenVBand="0" w:oddHBand="0" w:evenHBand="0" w:firstRowFirstColumn="0" w:firstRowLastColumn="0" w:lastRowFirstColumn="0" w:lastRowLastColumn="0"/>
            </w:pPr>
          </w:p>
        </w:tc>
      </w:tr>
    </w:tbl>
    <w:p w:rsidR="00EF500C" w:rsidRDefault="00EF500C" w:rsidP="00EF500C">
      <w:pPr>
        <w:pStyle w:val="Caption"/>
      </w:pPr>
    </w:p>
    <w:p w:rsidR="00EF500C" w:rsidRPr="00EF500C" w:rsidRDefault="00EF500C" w:rsidP="00EF500C">
      <w:pPr>
        <w:pStyle w:val="Caption"/>
        <w:rPr>
          <w:b/>
          <w:i/>
          <w:sz w:val="20"/>
        </w:rPr>
      </w:pPr>
      <w:bookmarkStart w:id="3" w:name="_Toc484774710"/>
      <w:r w:rsidRPr="00EF500C">
        <w:rPr>
          <w:i/>
          <w:sz w:val="20"/>
        </w:rPr>
        <w:t xml:space="preserve">Table </w:t>
      </w:r>
      <w:r w:rsidRPr="00EF500C">
        <w:rPr>
          <w:b/>
          <w:i/>
          <w:sz w:val="20"/>
        </w:rPr>
        <w:fldChar w:fldCharType="begin"/>
      </w:r>
      <w:r w:rsidRPr="00EF500C">
        <w:rPr>
          <w:i/>
          <w:sz w:val="20"/>
        </w:rPr>
        <w:instrText xml:space="preserve"> SEQ Table \* ARABIC </w:instrText>
      </w:r>
      <w:r w:rsidRPr="00EF500C">
        <w:rPr>
          <w:b/>
          <w:i/>
          <w:sz w:val="20"/>
        </w:rPr>
        <w:fldChar w:fldCharType="separate"/>
      </w:r>
      <w:r w:rsidRPr="00EF500C">
        <w:rPr>
          <w:i/>
          <w:noProof/>
          <w:sz w:val="20"/>
        </w:rPr>
        <w:t>1</w:t>
      </w:r>
      <w:r w:rsidRPr="00EF500C">
        <w:rPr>
          <w:b/>
          <w:i/>
          <w:sz w:val="20"/>
        </w:rPr>
        <w:fldChar w:fldCharType="end"/>
      </w:r>
      <w:r w:rsidRPr="00EF500C">
        <w:rPr>
          <w:i/>
          <w:sz w:val="20"/>
        </w:rPr>
        <w:t xml:space="preserve"> - Supervisory authority contact details</w:t>
      </w:r>
      <w:bookmarkEnd w:id="3"/>
    </w:p>
    <w:p w:rsidR="009C5339" w:rsidRDefault="009C5339" w:rsidP="00DF78F5"/>
    <w:p w:rsidR="00EF500C" w:rsidRDefault="009C5339" w:rsidP="00DF78F5">
      <w:r>
        <w:t xml:space="preserve">Where </w:t>
      </w:r>
      <w:r w:rsidR="002C1267">
        <w:fldChar w:fldCharType="begin"/>
      </w:r>
      <w:r w:rsidR="002C1267">
        <w:instrText xml:space="preserve"> DOCPROPERTY  "Organization Name"  \* MERGEFORMAT </w:instrText>
      </w:r>
      <w:r w:rsidR="002C1267">
        <w:fldChar w:fldCharType="separate"/>
      </w:r>
      <w:r w:rsidR="008F6EA6" w:rsidRPr="008F6EA6">
        <w:t xml:space="preserve"> </w:t>
      </w:r>
      <w:proofErr w:type="spellStart"/>
      <w:r w:rsidR="008F6EA6">
        <w:t>Defradar</w:t>
      </w:r>
      <w:proofErr w:type="spellEnd"/>
      <w:r w:rsidR="008F6EA6">
        <w:t xml:space="preserve"> Technologies</w:t>
      </w:r>
      <w:r w:rsidR="008F6EA6">
        <w:t xml:space="preserve"> </w:t>
      </w:r>
      <w:r w:rsidR="002C1267">
        <w:fldChar w:fldCharType="end"/>
      </w:r>
      <w:r>
        <w:t xml:space="preserve"> operates internationally, the details above are for the nominated lead supervisory authority.</w:t>
      </w:r>
    </w:p>
    <w:p w:rsidR="009C5339" w:rsidRDefault="009C5339" w:rsidP="00DF78F5"/>
    <w:p w:rsidR="009C5339" w:rsidRDefault="009C5339" w:rsidP="00DF78F5"/>
    <w:p w:rsidR="00EF500C" w:rsidRDefault="00EF500C" w:rsidP="00EF500C">
      <w:pPr>
        <w:pStyle w:val="Heading3"/>
      </w:pPr>
      <w:bookmarkStart w:id="4" w:name="_Toc484774704"/>
      <w:r>
        <w:t>Deciding whether to notify the Supervisory Authority</w:t>
      </w:r>
      <w:bookmarkEnd w:id="4"/>
    </w:p>
    <w:p w:rsidR="00EF500C" w:rsidRDefault="00EF500C" w:rsidP="00DF78F5"/>
    <w:p w:rsidR="00EF500C" w:rsidRDefault="00891842" w:rsidP="00DF78F5">
      <w:r>
        <w:t xml:space="preserve">The GDPR states that a personal data breach shall be notified to the supervisory authority </w:t>
      </w:r>
      <w:r w:rsidRPr="00891842">
        <w:rPr>
          <w:i/>
        </w:rPr>
        <w:t xml:space="preserve">“unless the personal data breach is unlikely to </w:t>
      </w:r>
      <w:bookmarkStart w:id="5" w:name="_Hlk485129496"/>
      <w:r w:rsidRPr="00891842">
        <w:rPr>
          <w:i/>
        </w:rPr>
        <w:t>result in a risk to the rights and freedoms of natural persons</w:t>
      </w:r>
      <w:bookmarkEnd w:id="5"/>
      <w:r w:rsidRPr="00891842">
        <w:rPr>
          <w:i/>
        </w:rPr>
        <w:t>” (GDPR Article 33).</w:t>
      </w:r>
      <w:r>
        <w:t xml:space="preserve"> This requires that the organization assess the level of risk before deciding whether or not to notify.</w:t>
      </w:r>
    </w:p>
    <w:p w:rsidR="005B3623" w:rsidRDefault="005B3623" w:rsidP="00DF78F5"/>
    <w:p w:rsidR="005B3623" w:rsidRDefault="005B3623" w:rsidP="00DF78F5">
      <w:r>
        <w:t>Factor</w:t>
      </w:r>
      <w:r w:rsidR="00CF72C5">
        <w:t>s to be</w:t>
      </w:r>
      <w:r>
        <w:t xml:space="preserve"> taken into account as part of this </w:t>
      </w:r>
      <w:r w:rsidR="00CF72C5">
        <w:t xml:space="preserve">risk </w:t>
      </w:r>
      <w:r>
        <w:t>assessment should include:</w:t>
      </w:r>
    </w:p>
    <w:p w:rsidR="005B3623" w:rsidRDefault="005B3623" w:rsidP="00DF78F5"/>
    <w:p w:rsidR="005B3623" w:rsidRDefault="005B3623" w:rsidP="005B3623">
      <w:pPr>
        <w:pStyle w:val="ListParagraph"/>
        <w:numPr>
          <w:ilvl w:val="0"/>
          <w:numId w:val="29"/>
        </w:numPr>
      </w:pPr>
      <w:r>
        <w:t xml:space="preserve">Whether the personal data was encrypted </w:t>
      </w:r>
    </w:p>
    <w:p w:rsidR="005B3623" w:rsidRDefault="005B3623" w:rsidP="005B3623">
      <w:pPr>
        <w:pStyle w:val="ListParagraph"/>
        <w:numPr>
          <w:ilvl w:val="0"/>
          <w:numId w:val="29"/>
        </w:numPr>
      </w:pPr>
      <w:r>
        <w:t>If encrypted, the strength of the encryption used</w:t>
      </w:r>
    </w:p>
    <w:p w:rsidR="005B3623" w:rsidRDefault="005B3623" w:rsidP="005B3623">
      <w:pPr>
        <w:pStyle w:val="ListParagraph"/>
        <w:numPr>
          <w:ilvl w:val="0"/>
          <w:numId w:val="29"/>
        </w:numPr>
      </w:pPr>
      <w:r>
        <w:t>To what extent the data was pseudonymised (i.e. whether living individuals can reasonably be identified from the data)</w:t>
      </w:r>
    </w:p>
    <w:p w:rsidR="005B3623" w:rsidRDefault="005B3623" w:rsidP="005B3623">
      <w:pPr>
        <w:pStyle w:val="ListParagraph"/>
        <w:numPr>
          <w:ilvl w:val="0"/>
          <w:numId w:val="29"/>
        </w:numPr>
      </w:pPr>
      <w:r>
        <w:t>The data items included e.g. name, address, bank details</w:t>
      </w:r>
      <w:r w:rsidR="007E75C1">
        <w:t>, biometrics</w:t>
      </w:r>
    </w:p>
    <w:p w:rsidR="005B3623" w:rsidRDefault="00CF72C5" w:rsidP="005B3623">
      <w:pPr>
        <w:pStyle w:val="ListParagraph"/>
        <w:numPr>
          <w:ilvl w:val="0"/>
          <w:numId w:val="29"/>
        </w:numPr>
      </w:pPr>
      <w:r>
        <w:t>The volume of data involved</w:t>
      </w:r>
    </w:p>
    <w:p w:rsidR="00CF72C5" w:rsidRDefault="00CF72C5" w:rsidP="005B3623">
      <w:pPr>
        <w:pStyle w:val="ListParagraph"/>
        <w:numPr>
          <w:ilvl w:val="0"/>
          <w:numId w:val="29"/>
        </w:numPr>
      </w:pPr>
      <w:r>
        <w:t>The number of data subjects affected</w:t>
      </w:r>
    </w:p>
    <w:p w:rsidR="00CF72C5" w:rsidRDefault="00CF72C5" w:rsidP="005B3623">
      <w:pPr>
        <w:pStyle w:val="ListParagraph"/>
        <w:numPr>
          <w:ilvl w:val="0"/>
          <w:numId w:val="29"/>
        </w:numPr>
      </w:pPr>
      <w:r>
        <w:t>The nature of the breach e.g. theft, accidental destruction</w:t>
      </w:r>
    </w:p>
    <w:p w:rsidR="00CF72C5" w:rsidRPr="00891842" w:rsidRDefault="00CF72C5" w:rsidP="005B3623">
      <w:pPr>
        <w:pStyle w:val="ListParagraph"/>
        <w:numPr>
          <w:ilvl w:val="0"/>
          <w:numId w:val="29"/>
        </w:numPr>
      </w:pPr>
      <w:r>
        <w:t>Any other factors that are deemed to be relevant</w:t>
      </w:r>
    </w:p>
    <w:p w:rsidR="00EF500C" w:rsidRDefault="00EF500C" w:rsidP="00DF78F5"/>
    <w:p w:rsidR="00891842" w:rsidRDefault="00CF72C5" w:rsidP="00DF78F5">
      <w:r>
        <w:t>Parties involved in this risk assessment may include representatives from the following areas, depending on the nature and circumstances of the personal data breach:</w:t>
      </w:r>
    </w:p>
    <w:p w:rsidR="00CF72C5" w:rsidRDefault="00CF72C5" w:rsidP="00DF78F5"/>
    <w:p w:rsidR="00CF72C5" w:rsidRDefault="00CF72C5" w:rsidP="00CF72C5">
      <w:pPr>
        <w:pStyle w:val="ListParagraph"/>
        <w:numPr>
          <w:ilvl w:val="0"/>
          <w:numId w:val="30"/>
        </w:numPr>
      </w:pPr>
      <w:r>
        <w:t>Top management</w:t>
      </w:r>
    </w:p>
    <w:p w:rsidR="00CF72C5" w:rsidRDefault="00CF72C5" w:rsidP="00CF72C5">
      <w:pPr>
        <w:pStyle w:val="ListParagraph"/>
        <w:numPr>
          <w:ilvl w:val="0"/>
          <w:numId w:val="30"/>
        </w:numPr>
      </w:pPr>
      <w:r>
        <w:t>Business area(s)</w:t>
      </w:r>
    </w:p>
    <w:p w:rsidR="00CF72C5" w:rsidRDefault="00CF72C5" w:rsidP="00CF72C5">
      <w:pPr>
        <w:pStyle w:val="ListParagraph"/>
        <w:numPr>
          <w:ilvl w:val="0"/>
          <w:numId w:val="30"/>
        </w:numPr>
      </w:pPr>
      <w:r>
        <w:t>Technology</w:t>
      </w:r>
    </w:p>
    <w:p w:rsidR="00CF72C5" w:rsidRDefault="00CF72C5" w:rsidP="00CF72C5">
      <w:pPr>
        <w:pStyle w:val="ListParagraph"/>
        <w:numPr>
          <w:ilvl w:val="0"/>
          <w:numId w:val="30"/>
        </w:numPr>
      </w:pPr>
      <w:r>
        <w:t>Information security</w:t>
      </w:r>
    </w:p>
    <w:p w:rsidR="00CF72C5" w:rsidRDefault="00CF72C5" w:rsidP="00CF72C5">
      <w:pPr>
        <w:pStyle w:val="ListParagraph"/>
        <w:numPr>
          <w:ilvl w:val="0"/>
          <w:numId w:val="30"/>
        </w:numPr>
      </w:pPr>
      <w:r>
        <w:t>Legal</w:t>
      </w:r>
    </w:p>
    <w:p w:rsidR="00CF72C5" w:rsidRDefault="00CF72C5" w:rsidP="00CF72C5">
      <w:pPr>
        <w:pStyle w:val="ListParagraph"/>
        <w:numPr>
          <w:ilvl w:val="0"/>
          <w:numId w:val="30"/>
        </w:numPr>
      </w:pPr>
      <w:r>
        <w:t>Data protection officer</w:t>
      </w:r>
    </w:p>
    <w:p w:rsidR="00891842" w:rsidRDefault="00891842" w:rsidP="00DF78F5"/>
    <w:p w:rsidR="00CF72C5" w:rsidRDefault="00CF72C5" w:rsidP="00DF78F5">
      <w:r>
        <w:t>The risk assessment method, its reasoning and its conclusions should be fully documented and signed off by top management.</w:t>
      </w:r>
      <w:r w:rsidR="00C505B5">
        <w:t xml:space="preserve"> </w:t>
      </w:r>
      <w:r w:rsidR="00AA0CA6">
        <w:t>The result of the risk assessment should include one of the following conclusions:</w:t>
      </w:r>
    </w:p>
    <w:p w:rsidR="00AA0CA6" w:rsidRDefault="00AA0CA6" w:rsidP="00DF78F5"/>
    <w:p w:rsidR="00AA0CA6" w:rsidRDefault="00AA0CA6" w:rsidP="00AA0CA6">
      <w:pPr>
        <w:pStyle w:val="ListParagraph"/>
        <w:numPr>
          <w:ilvl w:val="0"/>
          <w:numId w:val="31"/>
        </w:numPr>
      </w:pPr>
      <w:r>
        <w:t>The personal data breach does not require notification</w:t>
      </w:r>
    </w:p>
    <w:p w:rsidR="00AA0CA6" w:rsidRDefault="00AA0CA6" w:rsidP="00AA0CA6">
      <w:pPr>
        <w:pStyle w:val="ListParagraph"/>
        <w:numPr>
          <w:ilvl w:val="0"/>
          <w:numId w:val="31"/>
        </w:numPr>
      </w:pPr>
      <w:r>
        <w:t>The personal data breach requires notification to the supervisory authority only</w:t>
      </w:r>
    </w:p>
    <w:p w:rsidR="00AA0CA6" w:rsidRDefault="00AA0CA6" w:rsidP="00AA0CA6">
      <w:pPr>
        <w:pStyle w:val="ListParagraph"/>
        <w:numPr>
          <w:ilvl w:val="0"/>
          <w:numId w:val="31"/>
        </w:numPr>
      </w:pPr>
      <w:r>
        <w:t>The personal data breach requires notification both to the supervisory authority and to the affected data subjects</w:t>
      </w:r>
    </w:p>
    <w:p w:rsidR="00AA0CA6" w:rsidRDefault="00AA0CA6" w:rsidP="00AA0CA6"/>
    <w:p w:rsidR="00AA0CA6" w:rsidRDefault="00AA0CA6" w:rsidP="00AA0CA6">
      <w:r>
        <w:t>These conclusions may be subject to change based on feedback from the supervisory authority and further information that is discovered as part of the ongoing investigation of the breach.</w:t>
      </w:r>
    </w:p>
    <w:p w:rsidR="00EF500C" w:rsidRDefault="00EF500C" w:rsidP="00DF78F5"/>
    <w:p w:rsidR="00EF500C" w:rsidRDefault="00EF500C" w:rsidP="00EF500C">
      <w:pPr>
        <w:pStyle w:val="Heading3"/>
      </w:pPr>
      <w:bookmarkStart w:id="6" w:name="_Toc484774705"/>
      <w:r>
        <w:t>How to notify the Supervisory Authority</w:t>
      </w:r>
      <w:bookmarkEnd w:id="6"/>
    </w:p>
    <w:p w:rsidR="00EF500C" w:rsidRDefault="00EF500C" w:rsidP="00DF78F5"/>
    <w:p w:rsidR="00891842" w:rsidRDefault="00891842" w:rsidP="00DF78F5">
      <w:r>
        <w:t xml:space="preserve">In the event that it is decided to notify the supervisory authority, </w:t>
      </w:r>
      <w:r w:rsidR="00620234">
        <w:t>the GDPR requires that this</w:t>
      </w:r>
      <w:r>
        <w:t xml:space="preserve"> be done </w:t>
      </w:r>
      <w:r w:rsidRPr="00891842">
        <w:rPr>
          <w:i/>
        </w:rPr>
        <w:t xml:space="preserve">“without </w:t>
      </w:r>
      <w:r w:rsidR="00AD4780">
        <w:rPr>
          <w:i/>
        </w:rPr>
        <w:t>un</w:t>
      </w:r>
      <w:r w:rsidRPr="00891842">
        <w:rPr>
          <w:i/>
        </w:rPr>
        <w:t>due delay and, where feasible, not less than 72 hours after having become aware of it” (GDPR Article 33).</w:t>
      </w:r>
      <w:r>
        <w:t xml:space="preserve"> </w:t>
      </w:r>
      <w:r w:rsidR="00A21B33">
        <w:t>If there are legitimate reasons for not having given the notification within the required timescale, these reasons must be given as part of the notification.</w:t>
      </w:r>
    </w:p>
    <w:p w:rsidR="005B3623" w:rsidRDefault="005B3623" w:rsidP="00DF78F5"/>
    <w:p w:rsidR="005B3623" w:rsidRDefault="005B3623" w:rsidP="00DF78F5">
      <w:r>
        <w:t>The notification should be given via appropriate secure means to the body listed in Table 1</w:t>
      </w:r>
      <w:r w:rsidR="004D29CF">
        <w:t xml:space="preserve">, using the form </w:t>
      </w:r>
      <w:bookmarkStart w:id="7" w:name="_GoBack"/>
      <w:bookmarkEnd w:id="7"/>
      <w:r w:rsidR="004D29CF" w:rsidRPr="004D29CF">
        <w:rPr>
          <w:i/>
        </w:rPr>
        <w:t>Personal Data Breach Notification Form</w:t>
      </w:r>
      <w:r w:rsidR="004D29CF">
        <w:t xml:space="preserve"> as a template</w:t>
      </w:r>
      <w:r>
        <w:t>.</w:t>
      </w:r>
    </w:p>
    <w:p w:rsidR="00A21B33" w:rsidRDefault="00A21B33" w:rsidP="00DF78F5"/>
    <w:p w:rsidR="00A21B33" w:rsidRDefault="00A21B33" w:rsidP="00DF78F5">
      <w:r>
        <w:t>The following information must be given as part of the notification:</w:t>
      </w:r>
    </w:p>
    <w:p w:rsidR="00A21B33" w:rsidRDefault="00A21B33" w:rsidP="00DF78F5"/>
    <w:p w:rsidR="00A21B33" w:rsidRDefault="00A21B33" w:rsidP="00A21B33">
      <w:pPr>
        <w:pStyle w:val="ListParagraph"/>
        <w:numPr>
          <w:ilvl w:val="0"/>
          <w:numId w:val="28"/>
        </w:numPr>
      </w:pPr>
      <w:bookmarkStart w:id="8" w:name="_Hlk485129067"/>
      <w:r>
        <w:t>The nature of the personal data breach, including, where possible:</w:t>
      </w:r>
    </w:p>
    <w:p w:rsidR="00A21B33" w:rsidRDefault="00A21B33" w:rsidP="00A21B33">
      <w:pPr>
        <w:ind w:left="360"/>
      </w:pPr>
    </w:p>
    <w:p w:rsidR="00A21B33" w:rsidRDefault="00A21B33" w:rsidP="003E50BC">
      <w:pPr>
        <w:pStyle w:val="ListParagraph"/>
        <w:numPr>
          <w:ilvl w:val="0"/>
          <w:numId w:val="35"/>
        </w:numPr>
      </w:pPr>
      <w:r>
        <w:t>Categories and approximate number of data subjects concerned</w:t>
      </w:r>
    </w:p>
    <w:p w:rsidR="00A21B33" w:rsidRDefault="00A21B33" w:rsidP="003E50BC">
      <w:pPr>
        <w:ind w:left="1080"/>
      </w:pPr>
    </w:p>
    <w:p w:rsidR="00A21B33" w:rsidRDefault="00A21B33" w:rsidP="003E50BC">
      <w:pPr>
        <w:pStyle w:val="ListParagraph"/>
        <w:numPr>
          <w:ilvl w:val="0"/>
          <w:numId w:val="35"/>
        </w:numPr>
      </w:pPr>
      <w:r w:rsidRPr="00A21B33">
        <w:t>Categories and approximate number of</w:t>
      </w:r>
      <w:r>
        <w:t xml:space="preserve"> personal data records concerned</w:t>
      </w:r>
    </w:p>
    <w:bookmarkEnd w:id="8"/>
    <w:p w:rsidR="00A21B33" w:rsidRDefault="00A21B33" w:rsidP="00A21B33">
      <w:pPr>
        <w:ind w:left="360"/>
      </w:pPr>
    </w:p>
    <w:p w:rsidR="00A21B33" w:rsidRDefault="00A21B33" w:rsidP="00A21B33">
      <w:pPr>
        <w:pStyle w:val="ListParagraph"/>
        <w:numPr>
          <w:ilvl w:val="0"/>
          <w:numId w:val="28"/>
        </w:numPr>
      </w:pPr>
      <w:r>
        <w:t>Name and contact details of the data protection officer or other contact point where more information may be obtained</w:t>
      </w:r>
    </w:p>
    <w:p w:rsidR="00A21B33" w:rsidRDefault="00A21B33" w:rsidP="00A21B33"/>
    <w:p w:rsidR="00A21B33" w:rsidRDefault="005B3623" w:rsidP="00A21B33">
      <w:pPr>
        <w:pStyle w:val="ListParagraph"/>
        <w:numPr>
          <w:ilvl w:val="0"/>
          <w:numId w:val="28"/>
        </w:numPr>
      </w:pPr>
      <w:r>
        <w:t>A description of the li</w:t>
      </w:r>
      <w:r w:rsidR="00A21B33">
        <w:t>kely consequences of the personal data breach</w:t>
      </w:r>
    </w:p>
    <w:p w:rsidR="00A21B33" w:rsidRDefault="00A21B33" w:rsidP="00A21B33">
      <w:pPr>
        <w:pStyle w:val="ListParagraph"/>
      </w:pPr>
    </w:p>
    <w:p w:rsidR="00A21B33" w:rsidRDefault="005B3623" w:rsidP="00A21B33">
      <w:pPr>
        <w:pStyle w:val="ListParagraph"/>
        <w:numPr>
          <w:ilvl w:val="0"/>
          <w:numId w:val="28"/>
        </w:numPr>
      </w:pPr>
      <w:r>
        <w:t>A description of the measures taken or proposed to be taken to address the personal data breach including, where appropriate, measures to mitigate its possible adverse effects</w:t>
      </w:r>
    </w:p>
    <w:p w:rsidR="005B3623" w:rsidRDefault="005B3623" w:rsidP="005B3623">
      <w:pPr>
        <w:pStyle w:val="ListParagraph"/>
      </w:pPr>
    </w:p>
    <w:p w:rsidR="005B3623" w:rsidRDefault="005B3623" w:rsidP="005B3623">
      <w:pPr>
        <w:pStyle w:val="ListParagraph"/>
        <w:numPr>
          <w:ilvl w:val="0"/>
          <w:numId w:val="28"/>
        </w:numPr>
      </w:pPr>
      <w:r>
        <w:t xml:space="preserve">If the notification falls outside of the </w:t>
      </w:r>
      <w:r w:rsidR="00A14711">
        <w:t>72-hour</w:t>
      </w:r>
      <w:r>
        <w:t xml:space="preserve"> window, the reasons why it was not submitted earlier</w:t>
      </w:r>
    </w:p>
    <w:p w:rsidR="005B3623" w:rsidRDefault="005B3623" w:rsidP="005B3623">
      <w:pPr>
        <w:pStyle w:val="ListParagraph"/>
      </w:pPr>
    </w:p>
    <w:p w:rsidR="00C505B5" w:rsidRDefault="005B3623" w:rsidP="005B3623">
      <w:r>
        <w:t>Written confirmation should be obtained from the supervisory authority that the personal data breach notification has been received, including the date and time at which it was received.</w:t>
      </w:r>
      <w:r w:rsidR="00C505B5">
        <w:t xml:space="preserve"> </w:t>
      </w:r>
      <w:r w:rsidR="00C505B5">
        <w:lastRenderedPageBreak/>
        <w:t xml:space="preserve">Where necessary, the GDPR allows the information to be provided in phases without undue further delay. </w:t>
      </w:r>
    </w:p>
    <w:p w:rsidR="00C505B5" w:rsidRDefault="00C505B5" w:rsidP="005B3623"/>
    <w:p w:rsidR="00C505B5" w:rsidRDefault="00C505B5" w:rsidP="005B3623">
      <w:r>
        <w:t xml:space="preserve">Documentation of the personal data breach, including its effects and the remedial action taken, will be produced as part of the </w:t>
      </w:r>
      <w:r w:rsidRPr="00C505B5">
        <w:rPr>
          <w:i/>
        </w:rPr>
        <w:t xml:space="preserve">Information </w:t>
      </w:r>
      <w:r>
        <w:rPr>
          <w:i/>
        </w:rPr>
        <w:t>S</w:t>
      </w:r>
      <w:r w:rsidRPr="00C505B5">
        <w:rPr>
          <w:i/>
        </w:rPr>
        <w:t>ecurity Incident Response Procedure</w:t>
      </w:r>
      <w:r>
        <w:t>.</w:t>
      </w:r>
    </w:p>
    <w:p w:rsidR="005B3623" w:rsidRDefault="005B3623" w:rsidP="005B3623"/>
    <w:p w:rsidR="00EF500C" w:rsidRDefault="00EF500C" w:rsidP="00DF78F5"/>
    <w:p w:rsidR="00EF500C" w:rsidRDefault="00EF500C" w:rsidP="00EF500C">
      <w:pPr>
        <w:pStyle w:val="Heading2"/>
      </w:pPr>
      <w:bookmarkStart w:id="9" w:name="_Toc484774706"/>
      <w:r>
        <w:t>Data Subjects</w:t>
      </w:r>
      <w:bookmarkEnd w:id="9"/>
    </w:p>
    <w:p w:rsidR="00EF500C" w:rsidRDefault="00EF500C" w:rsidP="00DF78F5"/>
    <w:p w:rsidR="00AA0CA6" w:rsidRDefault="00AA0CA6" w:rsidP="00AA0CA6">
      <w:pPr>
        <w:pStyle w:val="Heading3"/>
      </w:pPr>
      <w:bookmarkStart w:id="10" w:name="_Toc484774707"/>
      <w:r>
        <w:t>Deciding whether to notify data subjects</w:t>
      </w:r>
      <w:bookmarkEnd w:id="10"/>
    </w:p>
    <w:p w:rsidR="00AA0CA6" w:rsidRDefault="00AA0CA6" w:rsidP="00453145"/>
    <w:p w:rsidR="00C505B5" w:rsidRDefault="00453145" w:rsidP="00453145">
      <w:r>
        <w:t xml:space="preserve">The GDPR states that a personal data breach shall be notified to the </w:t>
      </w:r>
      <w:r w:rsidR="00C505B5">
        <w:t>data subject</w:t>
      </w:r>
      <w:r>
        <w:t xml:space="preserve"> </w:t>
      </w:r>
      <w:r w:rsidRPr="00891842">
        <w:rPr>
          <w:i/>
        </w:rPr>
        <w:t>“</w:t>
      </w:r>
      <w:r w:rsidR="00C505B5">
        <w:rPr>
          <w:i/>
        </w:rPr>
        <w:t xml:space="preserve">when the personal data breach is </w:t>
      </w:r>
      <w:r w:rsidRPr="00891842">
        <w:rPr>
          <w:i/>
        </w:rPr>
        <w:t xml:space="preserve">likely to result in a </w:t>
      </w:r>
      <w:r w:rsidR="00C505B5">
        <w:rPr>
          <w:i/>
        </w:rPr>
        <w:t xml:space="preserve">high </w:t>
      </w:r>
      <w:r w:rsidRPr="00891842">
        <w:rPr>
          <w:i/>
        </w:rPr>
        <w:t>risk to the rights and freedoms of natural persons” (</w:t>
      </w:r>
      <w:r w:rsidR="00C505B5">
        <w:rPr>
          <w:i/>
        </w:rPr>
        <w:t>GDPR Article 34</w:t>
      </w:r>
      <w:r w:rsidRPr="00891842">
        <w:rPr>
          <w:i/>
        </w:rPr>
        <w:t>).</w:t>
      </w:r>
      <w:r>
        <w:t xml:space="preserve"> </w:t>
      </w:r>
      <w:r w:rsidR="00AA0CA6">
        <w:t>Note the addition of the word “high” over and above the definition given in Article 33.</w:t>
      </w:r>
    </w:p>
    <w:p w:rsidR="00AA0CA6" w:rsidRDefault="00AA0CA6" w:rsidP="00453145"/>
    <w:p w:rsidR="00E02A58" w:rsidRDefault="00AA0CA6" w:rsidP="00453145">
      <w:r>
        <w:t xml:space="preserve">The risk assessment carried out earlier in this procedure (section 2.1.1) will have determined whether the risk to the rights and freedoms of the data subjects affected is judged to be sufficiently high to justify notification to them. </w:t>
      </w:r>
    </w:p>
    <w:p w:rsidR="00E02A58" w:rsidRDefault="00E02A58" w:rsidP="00453145"/>
    <w:p w:rsidR="00E02A58" w:rsidRDefault="00E02A58" w:rsidP="00453145">
      <w:r>
        <w:t>However, if measures have subsequently been taken to mitigate the high risk to the data subjects, so that it is no longer likely to happen, then communication to the data subjects is not required by the GDPR.</w:t>
      </w:r>
    </w:p>
    <w:p w:rsidR="00E02A58" w:rsidRDefault="00E02A58" w:rsidP="00453145"/>
    <w:p w:rsidR="00E02A58" w:rsidRPr="00E02A58" w:rsidRDefault="00E02A58" w:rsidP="00453145">
      <w:r>
        <w:t xml:space="preserve">Notification to affected data subjects is also not mandated by the GDPR where it </w:t>
      </w:r>
      <w:r w:rsidRPr="00E02A58">
        <w:rPr>
          <w:i/>
        </w:rPr>
        <w:t>“would involve disproportionate effort” (GDPR Article 34).</w:t>
      </w:r>
      <w:r>
        <w:t xml:space="preserve"> However, in this case a form of public communication should be used instead.</w:t>
      </w:r>
    </w:p>
    <w:p w:rsidR="00EF500C" w:rsidRDefault="00EF500C" w:rsidP="00DF78F5"/>
    <w:p w:rsidR="00CF72C5" w:rsidRDefault="00AA0CA6" w:rsidP="00DF78F5">
      <w:r>
        <w:t xml:space="preserve">Again, this may </w:t>
      </w:r>
      <w:r w:rsidRPr="00AA0CA6">
        <w:t>change based on feedback from the supervisory authority and further information that is discovered as part of the ongoing investigation of the breach.</w:t>
      </w:r>
    </w:p>
    <w:p w:rsidR="00CF72C5" w:rsidRDefault="00CF72C5" w:rsidP="00DF78F5"/>
    <w:p w:rsidR="00EF500C" w:rsidRDefault="00EF500C" w:rsidP="00EF500C">
      <w:pPr>
        <w:pStyle w:val="Heading3"/>
      </w:pPr>
      <w:bookmarkStart w:id="11" w:name="_Toc484774708"/>
      <w:r>
        <w:t>How to notify data subjects</w:t>
      </w:r>
      <w:bookmarkEnd w:id="11"/>
    </w:p>
    <w:p w:rsidR="00EF500C" w:rsidRDefault="00EF500C" w:rsidP="00DF78F5"/>
    <w:p w:rsidR="00EF500C" w:rsidRDefault="00E56253" w:rsidP="00DF78F5">
      <w:r>
        <w:lastRenderedPageBreak/>
        <w:t>Once it has been decided that the breach justifies communication to the data subjects affected, the GDPR requires that this be done without undue delay.</w:t>
      </w:r>
    </w:p>
    <w:p w:rsidR="00E02A58" w:rsidRDefault="00E02A58" w:rsidP="00DF78F5"/>
    <w:p w:rsidR="00A14711" w:rsidRDefault="003E50BC" w:rsidP="00DF78F5">
      <w:r>
        <w:t xml:space="preserve">The communication to the affected data subjects </w:t>
      </w:r>
      <w:r w:rsidRPr="003E50BC">
        <w:rPr>
          <w:i/>
        </w:rPr>
        <w:t>“shall describe in clear and plain language the nature of the personal data breach” (GDPR Article 34)</w:t>
      </w:r>
      <w:r>
        <w:t xml:space="preserve"> and </w:t>
      </w:r>
      <w:r w:rsidR="008F4B68">
        <w:t>must</w:t>
      </w:r>
      <w:r>
        <w:t xml:space="preserve"> also cover:</w:t>
      </w:r>
    </w:p>
    <w:p w:rsidR="003E50BC" w:rsidRDefault="003E50BC" w:rsidP="00DF78F5"/>
    <w:p w:rsidR="003E50BC" w:rsidRDefault="003E50BC" w:rsidP="003E50BC">
      <w:pPr>
        <w:pStyle w:val="ListParagraph"/>
        <w:numPr>
          <w:ilvl w:val="0"/>
          <w:numId w:val="37"/>
        </w:numPr>
      </w:pPr>
      <w:r>
        <w:t>Name and contact details of the data protection officer or other contact point where more information may be obtained</w:t>
      </w:r>
    </w:p>
    <w:p w:rsidR="003E50BC" w:rsidRDefault="003E50BC" w:rsidP="003E50BC"/>
    <w:p w:rsidR="003E50BC" w:rsidRDefault="003E50BC" w:rsidP="003E50BC">
      <w:pPr>
        <w:pStyle w:val="ListParagraph"/>
        <w:numPr>
          <w:ilvl w:val="0"/>
          <w:numId w:val="37"/>
        </w:numPr>
      </w:pPr>
      <w:r>
        <w:t>A description of the likely consequences of the personal data breach</w:t>
      </w:r>
    </w:p>
    <w:p w:rsidR="003E50BC" w:rsidRDefault="003E50BC" w:rsidP="003E50BC">
      <w:pPr>
        <w:pStyle w:val="ListParagraph"/>
      </w:pPr>
    </w:p>
    <w:p w:rsidR="003E50BC" w:rsidRDefault="003E50BC" w:rsidP="003E50BC">
      <w:pPr>
        <w:pStyle w:val="ListParagraph"/>
        <w:numPr>
          <w:ilvl w:val="0"/>
          <w:numId w:val="37"/>
        </w:numPr>
      </w:pPr>
      <w:r>
        <w:t>A description of the measures taken or proposed to be taken to address the personal data breach including, where appropriate, measures to mitigate its possible adverse effects</w:t>
      </w:r>
    </w:p>
    <w:p w:rsidR="003E50BC" w:rsidRDefault="003E50BC" w:rsidP="00DF78F5"/>
    <w:p w:rsidR="008F4B68" w:rsidRDefault="008F4B68" w:rsidP="008F4B68">
      <w:r>
        <w:t>In addition to the points required by the GDPR, it may be appropriate to offer advice to the data subject regarding actions they may be able to take to reduce the risks associated with the personal data breach.</w:t>
      </w:r>
    </w:p>
    <w:p w:rsidR="008F4B68" w:rsidRDefault="008F4B68" w:rsidP="008F4B68"/>
    <w:p w:rsidR="008F4B68" w:rsidRDefault="008F4B68" w:rsidP="008F4B68">
      <w:r>
        <w:t>In most cases it will be appropriate to notify affected data subjects via letter or email or both in order to ensure that the message has been received and that they have an opportunity to take any action required.</w:t>
      </w:r>
    </w:p>
    <w:p w:rsidR="008F4B68" w:rsidRDefault="008F4B68" w:rsidP="008F4B68"/>
    <w:p w:rsidR="00EF500C" w:rsidRDefault="00EF500C" w:rsidP="00DF78F5"/>
    <w:p w:rsidR="00EF500C" w:rsidRDefault="00EF500C" w:rsidP="00DF78F5"/>
    <w:p w:rsidR="00EF500C" w:rsidRDefault="00EF500C" w:rsidP="00DF78F5"/>
    <w:p w:rsidR="00EF500C" w:rsidRDefault="00EF500C" w:rsidP="00DF78F5"/>
    <w:p w:rsidR="00EF500C" w:rsidRDefault="00EF500C" w:rsidP="00DF78F5"/>
    <w:p w:rsidR="00EF500C" w:rsidRPr="00DF78F5" w:rsidRDefault="00EF500C" w:rsidP="00DF78F5"/>
    <w:p w:rsidR="008F05DC" w:rsidRDefault="008F05DC" w:rsidP="008F05DC"/>
    <w:p w:rsidR="00850F10" w:rsidRDefault="00613CBE" w:rsidP="008F05DC">
      <w:r>
        <w:t xml:space="preserve"> </w:t>
      </w:r>
    </w:p>
    <w:sectPr w:rsidR="00850F10" w:rsidSect="001D2D41">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09" w:footer="2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FEC" w:rsidRDefault="00514FEC" w:rsidP="00F900F7">
      <w:r>
        <w:separator/>
      </w:r>
    </w:p>
  </w:endnote>
  <w:endnote w:type="continuationSeparator" w:id="0">
    <w:p w:rsidR="00514FEC" w:rsidRDefault="00514FEC" w:rsidP="00F90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72D" w:rsidRDefault="00A317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605" w:rsidRDefault="009A3605" w:rsidP="00F900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72D" w:rsidRDefault="00A31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FEC" w:rsidRDefault="00514FEC" w:rsidP="00F900F7">
      <w:r>
        <w:separator/>
      </w:r>
    </w:p>
  </w:footnote>
  <w:footnote w:type="continuationSeparator" w:id="0">
    <w:p w:rsidR="00514FEC" w:rsidRDefault="00514FEC" w:rsidP="00F90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72D" w:rsidRDefault="00514FEC">
    <w:pPr>
      <w:pStyle w:val="Header"/>
    </w:pPr>
    <w:r>
      <w:rPr>
        <w:noProof/>
      </w:rPr>
      <w:pict w14:anchorId="380BC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682056" o:spid="_x0000_s2051" type="#_x0000_t75" alt="/Users/rolandcostea/Desktop/DefRadar/DefRadar - logo &amp; Business card/Logo &amp; business cards jpeg/radar-05.jpg" style="position:absolute;margin-left:0;margin-top:0;width:451.25pt;height:320.15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605" w:rsidRPr="001D2D41" w:rsidRDefault="00514FEC" w:rsidP="001D2D41">
    <w:pPr>
      <w:pStyle w:val="Header"/>
    </w:pPr>
    <w:r>
      <w:rPr>
        <w:noProof/>
      </w:rPr>
      <w:pict w14:anchorId="41ACAB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682057" o:spid="_x0000_s2050" type="#_x0000_t75" alt="/Users/rolandcostea/Desktop/DefRadar/DefRadar - logo &amp; Business card/Logo &amp; business cards jpeg/radar-05.jpg" style="position:absolute;margin-left:0;margin-top:0;width:451.25pt;height:320.15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72D" w:rsidRDefault="00514FEC">
    <w:pPr>
      <w:pStyle w:val="Header"/>
    </w:pPr>
    <w:r>
      <w:rPr>
        <w:noProof/>
      </w:rPr>
      <w:pict w14:anchorId="36131C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682055" o:spid="_x0000_s2049" type="#_x0000_t75" alt="/Users/rolandcostea/Desktop/DefRadar/DefRadar - logo &amp; Business card/Logo &amp; business cards jpeg/radar-05.jpg" style="position:absolute;margin-left:0;margin-top:0;width:451.25pt;height:320.15pt;z-index:-251656192;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AB7D47"/>
    <w:multiLevelType w:val="hybridMultilevel"/>
    <w:tmpl w:val="E38C2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A3D24"/>
    <w:multiLevelType w:val="hybridMultilevel"/>
    <w:tmpl w:val="C090C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A003B8"/>
    <w:multiLevelType w:val="hybridMultilevel"/>
    <w:tmpl w:val="B1BCF620"/>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7D06FC"/>
    <w:multiLevelType w:val="multilevel"/>
    <w:tmpl w:val="75722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06A63F5"/>
    <w:multiLevelType w:val="hybridMultilevel"/>
    <w:tmpl w:val="E4D0A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A0D0C"/>
    <w:multiLevelType w:val="hybridMultilevel"/>
    <w:tmpl w:val="C72A3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E2401B"/>
    <w:multiLevelType w:val="hybridMultilevel"/>
    <w:tmpl w:val="FE0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5C0F5F"/>
    <w:multiLevelType w:val="hybridMultilevel"/>
    <w:tmpl w:val="DCD0D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861B86"/>
    <w:multiLevelType w:val="hybridMultilevel"/>
    <w:tmpl w:val="539ABC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BF1C2A"/>
    <w:multiLevelType w:val="hybridMultilevel"/>
    <w:tmpl w:val="55727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571033"/>
    <w:multiLevelType w:val="hybridMultilevel"/>
    <w:tmpl w:val="03CA9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220445"/>
    <w:multiLevelType w:val="hybridMultilevel"/>
    <w:tmpl w:val="507CF6E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E049CB"/>
    <w:multiLevelType w:val="hybridMultilevel"/>
    <w:tmpl w:val="4738B190"/>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0D1E8F"/>
    <w:multiLevelType w:val="hybridMultilevel"/>
    <w:tmpl w:val="F0F0B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4D6CBA"/>
    <w:multiLevelType w:val="hybridMultilevel"/>
    <w:tmpl w:val="D686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BD361D"/>
    <w:multiLevelType w:val="hybridMultilevel"/>
    <w:tmpl w:val="473C4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914EDF"/>
    <w:multiLevelType w:val="hybridMultilevel"/>
    <w:tmpl w:val="0A500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DC3E70"/>
    <w:multiLevelType w:val="hybridMultilevel"/>
    <w:tmpl w:val="1370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D16EC1"/>
    <w:multiLevelType w:val="hybridMultilevel"/>
    <w:tmpl w:val="585AD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D10BB8"/>
    <w:multiLevelType w:val="hybridMultilevel"/>
    <w:tmpl w:val="9E9E9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94741F"/>
    <w:multiLevelType w:val="hybridMultilevel"/>
    <w:tmpl w:val="18642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1A204F"/>
    <w:multiLevelType w:val="hybridMultilevel"/>
    <w:tmpl w:val="43928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952FFE"/>
    <w:multiLevelType w:val="hybridMultilevel"/>
    <w:tmpl w:val="0994C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E72BE8"/>
    <w:multiLevelType w:val="hybridMultilevel"/>
    <w:tmpl w:val="32705F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2033F3"/>
    <w:multiLevelType w:val="hybridMultilevel"/>
    <w:tmpl w:val="DAD0F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F83328"/>
    <w:multiLevelType w:val="hybridMultilevel"/>
    <w:tmpl w:val="AACE2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5B6389"/>
    <w:multiLevelType w:val="hybridMultilevel"/>
    <w:tmpl w:val="97121B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DC2A19"/>
    <w:multiLevelType w:val="hybridMultilevel"/>
    <w:tmpl w:val="9500B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227194"/>
    <w:multiLevelType w:val="hybridMultilevel"/>
    <w:tmpl w:val="0DAE0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75641F"/>
    <w:multiLevelType w:val="hybridMultilevel"/>
    <w:tmpl w:val="A0520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0C6901"/>
    <w:multiLevelType w:val="hybridMultilevel"/>
    <w:tmpl w:val="A9083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3" w15:restartNumberingAfterBreak="0">
    <w:nsid w:val="6CA71EF8"/>
    <w:multiLevelType w:val="hybridMultilevel"/>
    <w:tmpl w:val="7CA09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322810"/>
    <w:multiLevelType w:val="hybridMultilevel"/>
    <w:tmpl w:val="6B2E363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3892DCB"/>
    <w:multiLevelType w:val="hybridMultilevel"/>
    <w:tmpl w:val="EC8A2AE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763365B7"/>
    <w:multiLevelType w:val="hybridMultilevel"/>
    <w:tmpl w:val="F1328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B44F14"/>
    <w:multiLevelType w:val="hybridMultilevel"/>
    <w:tmpl w:val="09B4A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4"/>
  </w:num>
  <w:num w:numId="3">
    <w:abstractNumId w:val="8"/>
  </w:num>
  <w:num w:numId="4">
    <w:abstractNumId w:val="16"/>
  </w:num>
  <w:num w:numId="5">
    <w:abstractNumId w:val="29"/>
  </w:num>
  <w:num w:numId="6">
    <w:abstractNumId w:val="37"/>
  </w:num>
  <w:num w:numId="7">
    <w:abstractNumId w:val="17"/>
  </w:num>
  <w:num w:numId="8">
    <w:abstractNumId w:val="18"/>
  </w:num>
  <w:num w:numId="9">
    <w:abstractNumId w:val="14"/>
  </w:num>
  <w:num w:numId="10">
    <w:abstractNumId w:val="28"/>
  </w:num>
  <w:num w:numId="11">
    <w:abstractNumId w:val="23"/>
  </w:num>
  <w:num w:numId="12">
    <w:abstractNumId w:val="6"/>
  </w:num>
  <w:num w:numId="13">
    <w:abstractNumId w:val="30"/>
  </w:num>
  <w:num w:numId="14">
    <w:abstractNumId w:val="33"/>
  </w:num>
  <w:num w:numId="15">
    <w:abstractNumId w:val="21"/>
  </w:num>
  <w:num w:numId="16">
    <w:abstractNumId w:val="2"/>
  </w:num>
  <w:num w:numId="17">
    <w:abstractNumId w:val="25"/>
  </w:num>
  <w:num w:numId="18">
    <w:abstractNumId w:val="26"/>
  </w:num>
  <w:num w:numId="19">
    <w:abstractNumId w:val="22"/>
  </w:num>
  <w:num w:numId="20">
    <w:abstractNumId w:val="32"/>
  </w:num>
  <w:num w:numId="21">
    <w:abstractNumId w:val="7"/>
  </w:num>
  <w:num w:numId="22">
    <w:abstractNumId w:val="15"/>
  </w:num>
  <w:num w:numId="23">
    <w:abstractNumId w:val="10"/>
  </w:num>
  <w:num w:numId="24">
    <w:abstractNumId w:val="36"/>
  </w:num>
  <w:num w:numId="25">
    <w:abstractNumId w:val="1"/>
  </w:num>
  <w:num w:numId="26">
    <w:abstractNumId w:val="34"/>
  </w:num>
  <w:num w:numId="27">
    <w:abstractNumId w:val="11"/>
  </w:num>
  <w:num w:numId="28">
    <w:abstractNumId w:val="12"/>
  </w:num>
  <w:num w:numId="29">
    <w:abstractNumId w:val="19"/>
  </w:num>
  <w:num w:numId="30">
    <w:abstractNumId w:val="20"/>
  </w:num>
  <w:num w:numId="31">
    <w:abstractNumId w:val="31"/>
  </w:num>
  <w:num w:numId="32">
    <w:abstractNumId w:val="9"/>
  </w:num>
  <w:num w:numId="33">
    <w:abstractNumId w:val="13"/>
  </w:num>
  <w:num w:numId="34">
    <w:abstractNumId w:val="3"/>
  </w:num>
  <w:num w:numId="35">
    <w:abstractNumId w:val="35"/>
  </w:num>
  <w:num w:numId="36">
    <w:abstractNumId w:val="24"/>
  </w:num>
  <w:num w:numId="37">
    <w:abstractNumId w:val="27"/>
  </w:num>
  <w:num w:numId="38">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508"/>
    <w:rsid w:val="00002AB9"/>
    <w:rsid w:val="000043A1"/>
    <w:rsid w:val="00015D01"/>
    <w:rsid w:val="00034E78"/>
    <w:rsid w:val="00041440"/>
    <w:rsid w:val="00087FB1"/>
    <w:rsid w:val="000C5696"/>
    <w:rsid w:val="000F2C8C"/>
    <w:rsid w:val="000F59E2"/>
    <w:rsid w:val="000F5DE0"/>
    <w:rsid w:val="00104A2E"/>
    <w:rsid w:val="00105E1B"/>
    <w:rsid w:val="001156CD"/>
    <w:rsid w:val="00134DB8"/>
    <w:rsid w:val="001453CF"/>
    <w:rsid w:val="00147E99"/>
    <w:rsid w:val="0016012A"/>
    <w:rsid w:val="00170F77"/>
    <w:rsid w:val="0017391F"/>
    <w:rsid w:val="00197547"/>
    <w:rsid w:val="001C5B86"/>
    <w:rsid w:val="001C779A"/>
    <w:rsid w:val="001D2D41"/>
    <w:rsid w:val="001D79DA"/>
    <w:rsid w:val="001E520E"/>
    <w:rsid w:val="001F5103"/>
    <w:rsid w:val="00201628"/>
    <w:rsid w:val="0022128C"/>
    <w:rsid w:val="00262388"/>
    <w:rsid w:val="00275E3C"/>
    <w:rsid w:val="00297506"/>
    <w:rsid w:val="002A3199"/>
    <w:rsid w:val="002C1267"/>
    <w:rsid w:val="002E326A"/>
    <w:rsid w:val="002F2C1E"/>
    <w:rsid w:val="002F305D"/>
    <w:rsid w:val="003039FB"/>
    <w:rsid w:val="00321253"/>
    <w:rsid w:val="003567A2"/>
    <w:rsid w:val="00356B83"/>
    <w:rsid w:val="0036778C"/>
    <w:rsid w:val="00374222"/>
    <w:rsid w:val="00376539"/>
    <w:rsid w:val="00380AB1"/>
    <w:rsid w:val="00381982"/>
    <w:rsid w:val="00383105"/>
    <w:rsid w:val="003B2508"/>
    <w:rsid w:val="003C129E"/>
    <w:rsid w:val="003C5CDD"/>
    <w:rsid w:val="003E01F3"/>
    <w:rsid w:val="003E4697"/>
    <w:rsid w:val="003E50BC"/>
    <w:rsid w:val="00440723"/>
    <w:rsid w:val="00443783"/>
    <w:rsid w:val="004454E0"/>
    <w:rsid w:val="00453145"/>
    <w:rsid w:val="004A64C8"/>
    <w:rsid w:val="004B2109"/>
    <w:rsid w:val="004B3BAF"/>
    <w:rsid w:val="004B6EE6"/>
    <w:rsid w:val="004C2D7E"/>
    <w:rsid w:val="004C7E31"/>
    <w:rsid w:val="004D29CF"/>
    <w:rsid w:val="004E6E83"/>
    <w:rsid w:val="005044DE"/>
    <w:rsid w:val="005138B0"/>
    <w:rsid w:val="00514FEC"/>
    <w:rsid w:val="00555287"/>
    <w:rsid w:val="00571BF5"/>
    <w:rsid w:val="00572F05"/>
    <w:rsid w:val="005B32F8"/>
    <w:rsid w:val="005B3623"/>
    <w:rsid w:val="005B739A"/>
    <w:rsid w:val="005C2AE4"/>
    <w:rsid w:val="005D2CB3"/>
    <w:rsid w:val="005D6198"/>
    <w:rsid w:val="005E13B5"/>
    <w:rsid w:val="00613CBE"/>
    <w:rsid w:val="00620234"/>
    <w:rsid w:val="0062194B"/>
    <w:rsid w:val="00631FD2"/>
    <w:rsid w:val="00633946"/>
    <w:rsid w:val="006465E6"/>
    <w:rsid w:val="00646708"/>
    <w:rsid w:val="00652A9F"/>
    <w:rsid w:val="00655676"/>
    <w:rsid w:val="00656B9B"/>
    <w:rsid w:val="0066203E"/>
    <w:rsid w:val="00677B14"/>
    <w:rsid w:val="0069151F"/>
    <w:rsid w:val="006A0322"/>
    <w:rsid w:val="006A3FE0"/>
    <w:rsid w:val="006B252C"/>
    <w:rsid w:val="006C35BB"/>
    <w:rsid w:val="006D5E04"/>
    <w:rsid w:val="006F1FCE"/>
    <w:rsid w:val="00701613"/>
    <w:rsid w:val="007218CE"/>
    <w:rsid w:val="00727782"/>
    <w:rsid w:val="00733131"/>
    <w:rsid w:val="007433E4"/>
    <w:rsid w:val="00764F24"/>
    <w:rsid w:val="00770266"/>
    <w:rsid w:val="007705B3"/>
    <w:rsid w:val="00782BFD"/>
    <w:rsid w:val="007857C4"/>
    <w:rsid w:val="007A015B"/>
    <w:rsid w:val="007A22AF"/>
    <w:rsid w:val="007C6344"/>
    <w:rsid w:val="007E2F67"/>
    <w:rsid w:val="007E75C1"/>
    <w:rsid w:val="007F145C"/>
    <w:rsid w:val="007F20C0"/>
    <w:rsid w:val="007F6121"/>
    <w:rsid w:val="00804888"/>
    <w:rsid w:val="00805783"/>
    <w:rsid w:val="00825ADB"/>
    <w:rsid w:val="00840F82"/>
    <w:rsid w:val="008422E3"/>
    <w:rsid w:val="0084372D"/>
    <w:rsid w:val="00845392"/>
    <w:rsid w:val="00850F10"/>
    <w:rsid w:val="00852879"/>
    <w:rsid w:val="0086061B"/>
    <w:rsid w:val="00877531"/>
    <w:rsid w:val="00891842"/>
    <w:rsid w:val="008B265C"/>
    <w:rsid w:val="008B466F"/>
    <w:rsid w:val="008B70DA"/>
    <w:rsid w:val="008D6BEC"/>
    <w:rsid w:val="008E73CC"/>
    <w:rsid w:val="008F05DC"/>
    <w:rsid w:val="008F4B68"/>
    <w:rsid w:val="008F6EA6"/>
    <w:rsid w:val="00926761"/>
    <w:rsid w:val="00926D1A"/>
    <w:rsid w:val="009658DF"/>
    <w:rsid w:val="00966531"/>
    <w:rsid w:val="00977397"/>
    <w:rsid w:val="009901EC"/>
    <w:rsid w:val="009A06D2"/>
    <w:rsid w:val="009A2E07"/>
    <w:rsid w:val="009A3605"/>
    <w:rsid w:val="009A610D"/>
    <w:rsid w:val="009A645D"/>
    <w:rsid w:val="009B4095"/>
    <w:rsid w:val="009B6A32"/>
    <w:rsid w:val="009C5339"/>
    <w:rsid w:val="009D3EAF"/>
    <w:rsid w:val="009E1121"/>
    <w:rsid w:val="009E21E1"/>
    <w:rsid w:val="009E3FE4"/>
    <w:rsid w:val="009E65EF"/>
    <w:rsid w:val="009F2D62"/>
    <w:rsid w:val="009F7052"/>
    <w:rsid w:val="009F718A"/>
    <w:rsid w:val="00A032F1"/>
    <w:rsid w:val="00A14711"/>
    <w:rsid w:val="00A1600B"/>
    <w:rsid w:val="00A21B33"/>
    <w:rsid w:val="00A312FA"/>
    <w:rsid w:val="00A3172D"/>
    <w:rsid w:val="00A321D2"/>
    <w:rsid w:val="00A40F8A"/>
    <w:rsid w:val="00A52FF5"/>
    <w:rsid w:val="00A54C2E"/>
    <w:rsid w:val="00A96A1D"/>
    <w:rsid w:val="00AA0CA6"/>
    <w:rsid w:val="00AA5C7C"/>
    <w:rsid w:val="00AC3BC4"/>
    <w:rsid w:val="00AD4780"/>
    <w:rsid w:val="00AE0133"/>
    <w:rsid w:val="00AF2324"/>
    <w:rsid w:val="00B02258"/>
    <w:rsid w:val="00B031DB"/>
    <w:rsid w:val="00B2046A"/>
    <w:rsid w:val="00B46F28"/>
    <w:rsid w:val="00B650A3"/>
    <w:rsid w:val="00B6784A"/>
    <w:rsid w:val="00B73A78"/>
    <w:rsid w:val="00B86C30"/>
    <w:rsid w:val="00B94A69"/>
    <w:rsid w:val="00BA40F9"/>
    <w:rsid w:val="00BB546F"/>
    <w:rsid w:val="00BC0F6A"/>
    <w:rsid w:val="00BE0E8E"/>
    <w:rsid w:val="00BF4E7A"/>
    <w:rsid w:val="00BF7140"/>
    <w:rsid w:val="00C0139E"/>
    <w:rsid w:val="00C04510"/>
    <w:rsid w:val="00C12D60"/>
    <w:rsid w:val="00C34A3E"/>
    <w:rsid w:val="00C40833"/>
    <w:rsid w:val="00C505B5"/>
    <w:rsid w:val="00C52E72"/>
    <w:rsid w:val="00C53BFB"/>
    <w:rsid w:val="00C54ABF"/>
    <w:rsid w:val="00C64708"/>
    <w:rsid w:val="00C866B5"/>
    <w:rsid w:val="00CA1D6B"/>
    <w:rsid w:val="00CD18EF"/>
    <w:rsid w:val="00CF72C5"/>
    <w:rsid w:val="00D02877"/>
    <w:rsid w:val="00D06A3C"/>
    <w:rsid w:val="00D361E9"/>
    <w:rsid w:val="00D4291C"/>
    <w:rsid w:val="00D62EF2"/>
    <w:rsid w:val="00D831EF"/>
    <w:rsid w:val="00D85898"/>
    <w:rsid w:val="00DC3E1C"/>
    <w:rsid w:val="00DD1630"/>
    <w:rsid w:val="00DE2A63"/>
    <w:rsid w:val="00DE36BC"/>
    <w:rsid w:val="00DF7610"/>
    <w:rsid w:val="00DF78F5"/>
    <w:rsid w:val="00E02A58"/>
    <w:rsid w:val="00E24362"/>
    <w:rsid w:val="00E36CC3"/>
    <w:rsid w:val="00E40B7D"/>
    <w:rsid w:val="00E44C32"/>
    <w:rsid w:val="00E56253"/>
    <w:rsid w:val="00E94FC9"/>
    <w:rsid w:val="00EB3436"/>
    <w:rsid w:val="00EC299C"/>
    <w:rsid w:val="00EC70AE"/>
    <w:rsid w:val="00EC7A51"/>
    <w:rsid w:val="00ED08B4"/>
    <w:rsid w:val="00EF006B"/>
    <w:rsid w:val="00EF500C"/>
    <w:rsid w:val="00EF6495"/>
    <w:rsid w:val="00F16A90"/>
    <w:rsid w:val="00F20DF3"/>
    <w:rsid w:val="00F2107C"/>
    <w:rsid w:val="00F24CBE"/>
    <w:rsid w:val="00F27057"/>
    <w:rsid w:val="00F438F5"/>
    <w:rsid w:val="00F4472C"/>
    <w:rsid w:val="00F51D13"/>
    <w:rsid w:val="00F55B8C"/>
    <w:rsid w:val="00F55ED5"/>
    <w:rsid w:val="00F77D0F"/>
    <w:rsid w:val="00F900F7"/>
    <w:rsid w:val="00FA5D68"/>
    <w:rsid w:val="00FF482A"/>
    <w:rsid w:val="00FF4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34EA4B19"/>
  <w15:docId w15:val="{CFDB1B37-EF6E-43E9-A888-1CFFD131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GB"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6EA6"/>
  </w:style>
  <w:style w:type="paragraph" w:styleId="Heading1">
    <w:name w:val="heading 1"/>
    <w:basedOn w:val="Normal"/>
    <w:next w:val="Normal"/>
    <w:link w:val="Heading1Char"/>
    <w:uiPriority w:val="9"/>
    <w:qFormat/>
    <w:rsid w:val="008F6EA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aliases w:val="H2"/>
    <w:basedOn w:val="Normal"/>
    <w:next w:val="Normal"/>
    <w:link w:val="Heading2Char"/>
    <w:uiPriority w:val="9"/>
    <w:unhideWhenUsed/>
    <w:qFormat/>
    <w:rsid w:val="008F6EA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8F6EA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8F6EA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8F6EA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8F6EA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8F6EA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8F6EA6"/>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8F6EA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EA6"/>
    <w:rPr>
      <w:caps/>
      <w:color w:val="632423" w:themeColor="accent2" w:themeShade="80"/>
      <w:spacing w:val="20"/>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rPr>
      <w:sz w:val="20"/>
      <w:szCs w:val="20"/>
    </w:rPr>
  </w:style>
  <w:style w:type="character" w:styleId="PageNumber">
    <w:name w:val="page number"/>
    <w:basedOn w:val="DefaultParagraphFont"/>
    <w:semiHidden/>
  </w:style>
  <w:style w:type="paragraph" w:styleId="TOC1">
    <w:name w:val="toc 1"/>
    <w:basedOn w:val="Normal"/>
    <w:next w:val="Normal"/>
    <w:autoRedefine/>
    <w:uiPriority w:val="39"/>
    <w:rsid w:val="00805783"/>
    <w:pPr>
      <w:spacing w:before="120" w:after="120"/>
    </w:pPr>
    <w:rPr>
      <w:rFonts w:ascii="Times New Roman" w:hAnsi="Times New Roman"/>
      <w:b/>
      <w:caps/>
      <w:noProof/>
      <w:sz w:val="20"/>
    </w:rPr>
  </w:style>
  <w:style w:type="character" w:styleId="Hyperlink">
    <w:name w:val="Hyperlink"/>
    <w:uiPriority w:val="99"/>
    <w:rPr>
      <w:color w:val="0000FF"/>
      <w:u w:val="single"/>
    </w:rPr>
  </w:style>
  <w:style w:type="paragraph" w:styleId="BodyText2">
    <w:name w:val="Body Text 2"/>
    <w:basedOn w:val="Normal"/>
    <w:link w:val="BodyText2Char"/>
    <w:semiHidden/>
    <w:pPr>
      <w:spacing w:after="120" w:line="480" w:lineRule="auto"/>
    </w:pPr>
  </w:style>
  <w:style w:type="paragraph" w:customStyle="1" w:styleId="CcList">
    <w:name w:val="Cc List"/>
    <w:basedOn w:val="Normal"/>
    <w:pPr>
      <w:widowControl w:val="0"/>
    </w:pPr>
    <w:rPr>
      <w:sz w:val="20"/>
      <w:szCs w:val="20"/>
    </w:rPr>
  </w:style>
  <w:style w:type="paragraph" w:styleId="TOC2">
    <w:name w:val="toc 2"/>
    <w:basedOn w:val="Normal"/>
    <w:next w:val="Normal"/>
    <w:autoRedefine/>
    <w:uiPriority w:val="39"/>
    <w:rsid w:val="00C04510"/>
    <w:pPr>
      <w:ind w:left="240"/>
    </w:pPr>
    <w:rPr>
      <w:rFonts w:ascii="Times New Roman" w:hAnsi="Times New Roman"/>
      <w:smallCaps/>
      <w:sz w:val="20"/>
    </w:rPr>
  </w:style>
  <w:style w:type="paragraph" w:styleId="TOC3">
    <w:name w:val="toc 3"/>
    <w:basedOn w:val="Normal"/>
    <w:next w:val="Normal"/>
    <w:autoRedefine/>
    <w:uiPriority w:val="39"/>
    <w:rsid w:val="00C04510"/>
    <w:pPr>
      <w:ind w:left="480"/>
    </w:pPr>
    <w:rPr>
      <w:rFonts w:ascii="Times New Roman" w:hAnsi="Times New Roman"/>
      <w:i/>
      <w:sz w:val="20"/>
    </w:rPr>
  </w:style>
  <w:style w:type="character" w:customStyle="1" w:styleId="StyleArial14ptBold">
    <w:name w:val="Style Arial 14 pt Bold"/>
    <w:rPr>
      <w:rFonts w:ascii="Arial" w:hAnsi="Arial"/>
      <w:b/>
      <w:bCs/>
      <w:sz w:val="28"/>
    </w:rPr>
  </w:style>
  <w:style w:type="paragraph" w:customStyle="1" w:styleId="StyleHeading2Before18ptAfter7ptTopSinglesolid">
    <w:name w:val="Style Heading 2 + Before:  18 pt After:  7 pt Top: (Single solid ..."/>
    <w:basedOn w:val="Heading2"/>
    <w:autoRedefine/>
    <w:pPr>
      <w:pBdr>
        <w:top w:val="single" w:sz="6" w:space="2" w:color="auto"/>
      </w:pBdr>
      <w:spacing w:before="360" w:after="140"/>
    </w:pPr>
    <w:rPr>
      <w:bCs/>
    </w:rPr>
  </w:style>
  <w:style w:type="paragraph" w:customStyle="1" w:styleId="StyleHeading114pt">
    <w:name w:val="Style Heading 1 + 14 pt"/>
    <w:basedOn w:val="Heading1"/>
    <w:autoRedefine/>
    <w:rPr>
      <w:bCs/>
    </w:rPr>
  </w:style>
  <w:style w:type="paragraph" w:customStyle="1" w:styleId="StyleHeading114ptAfter18ptTopSinglesolidlineAu">
    <w:name w:val="Style Heading 1 + 14 pt After:  18 pt Top: (Single solid line Au..."/>
    <w:basedOn w:val="Heading1"/>
    <w:pPr>
      <w:spacing w:after="360"/>
    </w:pPr>
    <w:rPr>
      <w:bCs/>
      <w:sz w:val="32"/>
    </w:rPr>
  </w:style>
  <w:style w:type="paragraph" w:styleId="Title">
    <w:name w:val="Title"/>
    <w:basedOn w:val="Normal"/>
    <w:next w:val="Normal"/>
    <w:link w:val="TitleChar"/>
    <w:uiPriority w:val="10"/>
    <w:qFormat/>
    <w:rsid w:val="008F6EA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BodyText3">
    <w:name w:val="Body Text 3"/>
    <w:basedOn w:val="Normal"/>
    <w:semiHidden/>
  </w:style>
  <w:style w:type="paragraph" w:styleId="ListParagraph">
    <w:name w:val="List Paragraph"/>
    <w:basedOn w:val="Normal"/>
    <w:uiPriority w:val="34"/>
    <w:qFormat/>
    <w:rsid w:val="008F6EA6"/>
    <w:pPr>
      <w:ind w:left="720"/>
      <w:contextualSpacing/>
    </w:pPr>
  </w:style>
  <w:style w:type="table" w:styleId="TableGrid">
    <w:name w:val="Table Grid"/>
    <w:basedOn w:val="TableNormal"/>
    <w:uiPriority w:val="59"/>
    <w:rsid w:val="009F2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link w:val="BodyText2"/>
    <w:semiHidden/>
    <w:rsid w:val="009E21E1"/>
    <w:rPr>
      <w:rFonts w:ascii="Arial" w:hAnsi="Arial"/>
      <w:sz w:val="24"/>
      <w:szCs w:val="24"/>
      <w:lang w:eastAsia="en-US"/>
    </w:rPr>
  </w:style>
  <w:style w:type="character" w:styleId="FollowedHyperlink">
    <w:name w:val="FollowedHyperlink"/>
    <w:uiPriority w:val="99"/>
    <w:semiHidden/>
    <w:unhideWhenUsed/>
    <w:rsid w:val="00DE36BC"/>
    <w:rPr>
      <w:color w:val="800080"/>
      <w:u w:val="single"/>
    </w:rPr>
  </w:style>
  <w:style w:type="paragraph" w:styleId="BalloonText">
    <w:name w:val="Balloon Text"/>
    <w:basedOn w:val="Normal"/>
    <w:link w:val="BalloonTextChar"/>
    <w:uiPriority w:val="99"/>
    <w:semiHidden/>
    <w:unhideWhenUsed/>
    <w:rsid w:val="001D2D41"/>
    <w:rPr>
      <w:rFonts w:ascii="Tahoma" w:hAnsi="Tahoma" w:cs="Tahoma"/>
      <w:sz w:val="16"/>
      <w:szCs w:val="16"/>
    </w:rPr>
  </w:style>
  <w:style w:type="character" w:customStyle="1" w:styleId="BalloonTextChar">
    <w:name w:val="Balloon Text Char"/>
    <w:basedOn w:val="DefaultParagraphFont"/>
    <w:link w:val="BalloonText"/>
    <w:uiPriority w:val="99"/>
    <w:semiHidden/>
    <w:rsid w:val="001D2D41"/>
    <w:rPr>
      <w:rFonts w:ascii="Tahoma" w:hAnsi="Tahoma" w:cs="Tahoma"/>
      <w:sz w:val="16"/>
      <w:szCs w:val="16"/>
      <w:lang w:eastAsia="en-US"/>
    </w:rPr>
  </w:style>
  <w:style w:type="table" w:customStyle="1" w:styleId="TableGrid1">
    <w:name w:val="Table Grid1"/>
    <w:basedOn w:val="TableNormal"/>
    <w:next w:val="TableGrid"/>
    <w:uiPriority w:val="59"/>
    <w:rsid w:val="001D2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1D2D41"/>
  </w:style>
  <w:style w:type="character" w:customStyle="1" w:styleId="DateofPublication">
    <w:name w:val="Date of Publication"/>
    <w:basedOn w:val="DefaultParagraphFont"/>
    <w:uiPriority w:val="1"/>
    <w:rsid w:val="001D2D41"/>
  </w:style>
  <w:style w:type="paragraph" w:styleId="NoSpacing">
    <w:name w:val="No Spacing"/>
    <w:basedOn w:val="Normal"/>
    <w:link w:val="NoSpacingChar"/>
    <w:uiPriority w:val="1"/>
    <w:qFormat/>
    <w:rsid w:val="008F6EA6"/>
    <w:pPr>
      <w:spacing w:after="0" w:line="240" w:lineRule="auto"/>
    </w:pPr>
  </w:style>
  <w:style w:type="character" w:customStyle="1" w:styleId="NoSpacingChar">
    <w:name w:val="No Spacing Char"/>
    <w:basedOn w:val="DefaultParagraphFont"/>
    <w:link w:val="NoSpacing"/>
    <w:uiPriority w:val="1"/>
    <w:rsid w:val="008F6EA6"/>
  </w:style>
  <w:style w:type="paragraph" w:customStyle="1" w:styleId="Classification">
    <w:name w:val="Classification"/>
    <w:basedOn w:val="Normal"/>
    <w:link w:val="ClassificationChar"/>
    <w:rsid w:val="00A321D2"/>
    <w:pPr>
      <w:jc w:val="right"/>
    </w:pPr>
    <w:rPr>
      <w:rFonts w:cs="Arial"/>
      <w:b/>
      <w:color w:val="000000" w:themeColor="text1"/>
      <w:szCs w:val="28"/>
    </w:rPr>
  </w:style>
  <w:style w:type="character" w:customStyle="1" w:styleId="ClassificationChar">
    <w:name w:val="Classification Char"/>
    <w:basedOn w:val="DefaultParagraphFont"/>
    <w:link w:val="Classification"/>
    <w:rsid w:val="00A321D2"/>
    <w:rPr>
      <w:rFonts w:ascii="Arial" w:hAnsi="Arial" w:cs="Arial"/>
      <w:b/>
      <w:color w:val="000000" w:themeColor="text1"/>
      <w:sz w:val="24"/>
      <w:szCs w:val="28"/>
    </w:rPr>
  </w:style>
  <w:style w:type="paragraph" w:styleId="Caption">
    <w:name w:val="caption"/>
    <w:basedOn w:val="Normal"/>
    <w:next w:val="Normal"/>
    <w:uiPriority w:val="35"/>
    <w:unhideWhenUsed/>
    <w:qFormat/>
    <w:rsid w:val="008F6EA6"/>
    <w:rPr>
      <w:caps/>
      <w:spacing w:val="10"/>
      <w:sz w:val="18"/>
      <w:szCs w:val="18"/>
    </w:rPr>
  </w:style>
  <w:style w:type="paragraph" w:styleId="TableofFigures">
    <w:name w:val="table of figures"/>
    <w:basedOn w:val="Normal"/>
    <w:next w:val="Normal"/>
    <w:uiPriority w:val="99"/>
    <w:unhideWhenUsed/>
    <w:rsid w:val="009D3EAF"/>
    <w:rPr>
      <w:rFonts w:ascii="Times New Roman" w:hAnsi="Times New Roman"/>
      <w:smallCaps/>
      <w:sz w:val="20"/>
    </w:rPr>
  </w:style>
  <w:style w:type="character" w:customStyle="1" w:styleId="Heading2Char">
    <w:name w:val="Heading 2 Char"/>
    <w:basedOn w:val="DefaultParagraphFont"/>
    <w:link w:val="Heading2"/>
    <w:uiPriority w:val="9"/>
    <w:rsid w:val="008F6EA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8F6EA6"/>
    <w:rPr>
      <w:caps/>
      <w:color w:val="622423" w:themeColor="accent2" w:themeShade="7F"/>
      <w:sz w:val="24"/>
      <w:szCs w:val="24"/>
    </w:rPr>
  </w:style>
  <w:style w:type="character" w:customStyle="1" w:styleId="Heading4Char">
    <w:name w:val="Heading 4 Char"/>
    <w:basedOn w:val="DefaultParagraphFont"/>
    <w:link w:val="Heading4"/>
    <w:uiPriority w:val="9"/>
    <w:rsid w:val="008F6EA6"/>
    <w:rPr>
      <w:caps/>
      <w:color w:val="622423" w:themeColor="accent2" w:themeShade="7F"/>
      <w:spacing w:val="10"/>
    </w:rPr>
  </w:style>
  <w:style w:type="character" w:customStyle="1" w:styleId="Heading5Char">
    <w:name w:val="Heading 5 Char"/>
    <w:basedOn w:val="DefaultParagraphFont"/>
    <w:link w:val="Heading5"/>
    <w:uiPriority w:val="9"/>
    <w:rsid w:val="008F6EA6"/>
    <w:rPr>
      <w:caps/>
      <w:color w:val="622423" w:themeColor="accent2" w:themeShade="7F"/>
      <w:spacing w:val="10"/>
    </w:rPr>
  </w:style>
  <w:style w:type="character" w:customStyle="1" w:styleId="Heading6Char">
    <w:name w:val="Heading 6 Char"/>
    <w:basedOn w:val="DefaultParagraphFont"/>
    <w:link w:val="Heading6"/>
    <w:uiPriority w:val="9"/>
    <w:rsid w:val="008F6EA6"/>
    <w:rPr>
      <w:caps/>
      <w:color w:val="943634" w:themeColor="accent2" w:themeShade="BF"/>
      <w:spacing w:val="10"/>
    </w:rPr>
  </w:style>
  <w:style w:type="character" w:customStyle="1" w:styleId="Heading7Char">
    <w:name w:val="Heading 7 Char"/>
    <w:basedOn w:val="DefaultParagraphFont"/>
    <w:link w:val="Heading7"/>
    <w:uiPriority w:val="9"/>
    <w:rsid w:val="008F6EA6"/>
    <w:rPr>
      <w:i/>
      <w:iCs/>
      <w:caps/>
      <w:color w:val="943634" w:themeColor="accent2" w:themeShade="BF"/>
      <w:spacing w:val="10"/>
    </w:rPr>
  </w:style>
  <w:style w:type="character" w:customStyle="1" w:styleId="Heading8Char">
    <w:name w:val="Heading 8 Char"/>
    <w:basedOn w:val="DefaultParagraphFont"/>
    <w:link w:val="Heading8"/>
    <w:uiPriority w:val="9"/>
    <w:rsid w:val="008F6EA6"/>
    <w:rPr>
      <w:caps/>
      <w:spacing w:val="10"/>
      <w:sz w:val="20"/>
      <w:szCs w:val="20"/>
    </w:rPr>
  </w:style>
  <w:style w:type="character" w:customStyle="1" w:styleId="Heading9Char">
    <w:name w:val="Heading 9 Char"/>
    <w:basedOn w:val="DefaultParagraphFont"/>
    <w:link w:val="Heading9"/>
    <w:uiPriority w:val="9"/>
    <w:rsid w:val="008F6EA6"/>
    <w:rPr>
      <w:i/>
      <w:iCs/>
      <w:caps/>
      <w:spacing w:val="10"/>
      <w:sz w:val="20"/>
      <w:szCs w:val="20"/>
    </w:rPr>
  </w:style>
  <w:style w:type="character" w:customStyle="1" w:styleId="TitleChar">
    <w:name w:val="Title Char"/>
    <w:basedOn w:val="DefaultParagraphFont"/>
    <w:link w:val="Title"/>
    <w:uiPriority w:val="10"/>
    <w:rsid w:val="008F6EA6"/>
    <w:rPr>
      <w:caps/>
      <w:color w:val="632423" w:themeColor="accent2" w:themeShade="80"/>
      <w:spacing w:val="50"/>
      <w:sz w:val="44"/>
      <w:szCs w:val="44"/>
    </w:rPr>
  </w:style>
  <w:style w:type="paragraph" w:styleId="Subtitle">
    <w:name w:val="Subtitle"/>
    <w:basedOn w:val="Normal"/>
    <w:next w:val="Normal"/>
    <w:link w:val="SubtitleChar"/>
    <w:uiPriority w:val="11"/>
    <w:qFormat/>
    <w:rsid w:val="008F6EA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F6EA6"/>
    <w:rPr>
      <w:caps/>
      <w:spacing w:val="20"/>
      <w:sz w:val="18"/>
      <w:szCs w:val="18"/>
    </w:rPr>
  </w:style>
  <w:style w:type="character" w:styleId="Strong">
    <w:name w:val="Strong"/>
    <w:uiPriority w:val="22"/>
    <w:qFormat/>
    <w:rsid w:val="008F6EA6"/>
    <w:rPr>
      <w:b/>
      <w:bCs/>
      <w:color w:val="943634" w:themeColor="accent2" w:themeShade="BF"/>
      <w:spacing w:val="5"/>
    </w:rPr>
  </w:style>
  <w:style w:type="character" w:styleId="Emphasis">
    <w:name w:val="Emphasis"/>
    <w:uiPriority w:val="20"/>
    <w:qFormat/>
    <w:rsid w:val="008F6EA6"/>
    <w:rPr>
      <w:caps/>
      <w:spacing w:val="5"/>
      <w:sz w:val="20"/>
      <w:szCs w:val="20"/>
    </w:rPr>
  </w:style>
  <w:style w:type="paragraph" w:styleId="Quote">
    <w:name w:val="Quote"/>
    <w:basedOn w:val="Normal"/>
    <w:next w:val="Normal"/>
    <w:link w:val="QuoteChar"/>
    <w:uiPriority w:val="29"/>
    <w:qFormat/>
    <w:rsid w:val="008F6EA6"/>
    <w:rPr>
      <w:i/>
      <w:iCs/>
    </w:rPr>
  </w:style>
  <w:style w:type="character" w:customStyle="1" w:styleId="QuoteChar">
    <w:name w:val="Quote Char"/>
    <w:basedOn w:val="DefaultParagraphFont"/>
    <w:link w:val="Quote"/>
    <w:uiPriority w:val="29"/>
    <w:rsid w:val="008F6EA6"/>
    <w:rPr>
      <w:i/>
      <w:iCs/>
    </w:rPr>
  </w:style>
  <w:style w:type="paragraph" w:styleId="IntenseQuote">
    <w:name w:val="Intense Quote"/>
    <w:basedOn w:val="Normal"/>
    <w:next w:val="Normal"/>
    <w:link w:val="IntenseQuoteChar"/>
    <w:uiPriority w:val="30"/>
    <w:qFormat/>
    <w:rsid w:val="008F6EA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F6EA6"/>
    <w:rPr>
      <w:caps/>
      <w:color w:val="622423" w:themeColor="accent2" w:themeShade="7F"/>
      <w:spacing w:val="5"/>
      <w:sz w:val="20"/>
      <w:szCs w:val="20"/>
    </w:rPr>
  </w:style>
  <w:style w:type="character" w:styleId="SubtleEmphasis">
    <w:name w:val="Subtle Emphasis"/>
    <w:uiPriority w:val="19"/>
    <w:qFormat/>
    <w:rsid w:val="008F6EA6"/>
    <w:rPr>
      <w:i/>
      <w:iCs/>
    </w:rPr>
  </w:style>
  <w:style w:type="character" w:styleId="IntenseEmphasis">
    <w:name w:val="Intense Emphasis"/>
    <w:uiPriority w:val="21"/>
    <w:qFormat/>
    <w:rsid w:val="008F6EA6"/>
    <w:rPr>
      <w:i/>
      <w:iCs/>
      <w:caps/>
      <w:spacing w:val="10"/>
      <w:sz w:val="20"/>
      <w:szCs w:val="20"/>
    </w:rPr>
  </w:style>
  <w:style w:type="character" w:styleId="SubtleReference">
    <w:name w:val="Subtle Reference"/>
    <w:basedOn w:val="DefaultParagraphFont"/>
    <w:uiPriority w:val="31"/>
    <w:qFormat/>
    <w:rsid w:val="008F6EA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F6EA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F6EA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8F6EA6"/>
    <w:pPr>
      <w:outlineLvl w:val="9"/>
    </w:pPr>
  </w:style>
  <w:style w:type="table" w:styleId="GridTable2-Accent4">
    <w:name w:val="Grid Table 2 Accent 4"/>
    <w:basedOn w:val="TableNormal"/>
    <w:uiPriority w:val="47"/>
    <w:rsid w:val="007433E4"/>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478FB-7554-8A4F-8504-1237D3DD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8</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CertiKit GDPR Toolkit Version 2</vt:lpstr>
    </vt:vector>
  </TitlesOfParts>
  <Manager>RC</Manager>
  <Company/>
  <LinksUpToDate>false</LinksUpToDate>
  <CharactersWithSpaces>9713</CharactersWithSpaces>
  <SharedDoc>false</SharedDoc>
  <HyperlinkBase/>
  <HLinks>
    <vt:vector size="306" baseType="variant">
      <vt:variant>
        <vt:i4>7012478</vt:i4>
      </vt:variant>
      <vt:variant>
        <vt:i4>276</vt:i4>
      </vt:variant>
      <vt:variant>
        <vt:i4>0</vt:i4>
      </vt:variant>
      <vt:variant>
        <vt:i4>5</vt:i4>
      </vt:variant>
      <vt:variant>
        <vt:lpwstr>BCMS08012 Post Incident Report Template v1.doc</vt:lpwstr>
      </vt:variant>
      <vt:variant>
        <vt:lpwstr/>
      </vt:variant>
      <vt:variant>
        <vt:i4>1441841</vt:i4>
      </vt:variant>
      <vt:variant>
        <vt:i4>273</vt:i4>
      </vt:variant>
      <vt:variant>
        <vt:i4>0</vt:i4>
      </vt:variant>
      <vt:variant>
        <vt:i4>5</vt:i4>
      </vt:variant>
      <vt:variant>
        <vt:lpwstr/>
      </vt:variant>
      <vt:variant>
        <vt:lpwstr>_APPENDIX_G_–</vt:lpwstr>
      </vt:variant>
      <vt:variant>
        <vt:i4>1441852</vt:i4>
      </vt:variant>
      <vt:variant>
        <vt:i4>270</vt:i4>
      </vt:variant>
      <vt:variant>
        <vt:i4>0</vt:i4>
      </vt:variant>
      <vt:variant>
        <vt:i4>5</vt:i4>
      </vt:variant>
      <vt:variant>
        <vt:lpwstr/>
      </vt:variant>
      <vt:variant>
        <vt:lpwstr>_APPENDIX_J_–</vt:lpwstr>
      </vt:variant>
      <vt:variant>
        <vt:i4>1441843</vt:i4>
      </vt:variant>
      <vt:variant>
        <vt:i4>267</vt:i4>
      </vt:variant>
      <vt:variant>
        <vt:i4>0</vt:i4>
      </vt:variant>
      <vt:variant>
        <vt:i4>5</vt:i4>
      </vt:variant>
      <vt:variant>
        <vt:lpwstr/>
      </vt:variant>
      <vt:variant>
        <vt:lpwstr>_APPENDIX_E_–</vt:lpwstr>
      </vt:variant>
      <vt:variant>
        <vt:i4>1441841</vt:i4>
      </vt:variant>
      <vt:variant>
        <vt:i4>264</vt:i4>
      </vt:variant>
      <vt:variant>
        <vt:i4>0</vt:i4>
      </vt:variant>
      <vt:variant>
        <vt:i4>5</vt:i4>
      </vt:variant>
      <vt:variant>
        <vt:lpwstr/>
      </vt:variant>
      <vt:variant>
        <vt:lpwstr>_APPENDIX_G_-</vt:lpwstr>
      </vt:variant>
      <vt:variant>
        <vt:i4>1441845</vt:i4>
      </vt:variant>
      <vt:variant>
        <vt:i4>261</vt:i4>
      </vt:variant>
      <vt:variant>
        <vt:i4>0</vt:i4>
      </vt:variant>
      <vt:variant>
        <vt:i4>5</vt:i4>
      </vt:variant>
      <vt:variant>
        <vt:lpwstr/>
      </vt:variant>
      <vt:variant>
        <vt:lpwstr>_Appendix_C_–</vt:lpwstr>
      </vt:variant>
      <vt:variant>
        <vt:i4>1441845</vt:i4>
      </vt:variant>
      <vt:variant>
        <vt:i4>258</vt:i4>
      </vt:variant>
      <vt:variant>
        <vt:i4>0</vt:i4>
      </vt:variant>
      <vt:variant>
        <vt:i4>5</vt:i4>
      </vt:variant>
      <vt:variant>
        <vt:lpwstr/>
      </vt:variant>
      <vt:variant>
        <vt:lpwstr>_Appendix_C_–</vt:lpwstr>
      </vt:variant>
      <vt:variant>
        <vt:i4>4792359</vt:i4>
      </vt:variant>
      <vt:variant>
        <vt:i4>255</vt:i4>
      </vt:variant>
      <vt:variant>
        <vt:i4>0</vt:i4>
      </vt:variant>
      <vt:variant>
        <vt:i4>5</vt:i4>
      </vt:variant>
      <vt:variant>
        <vt:lpwstr/>
      </vt:variant>
      <vt:variant>
        <vt:lpwstr>_APPENDIX_B_–_1</vt:lpwstr>
      </vt:variant>
      <vt:variant>
        <vt:i4>2752571</vt:i4>
      </vt:variant>
      <vt:variant>
        <vt:i4>252</vt:i4>
      </vt:variant>
      <vt:variant>
        <vt:i4>0</vt:i4>
      </vt:variant>
      <vt:variant>
        <vt:i4>5</vt:i4>
      </vt:variant>
      <vt:variant>
        <vt:lpwstr/>
      </vt:variant>
      <vt:variant>
        <vt:lpwstr>_Location_Map</vt:lpwstr>
      </vt:variant>
      <vt:variant>
        <vt:i4>1441847</vt:i4>
      </vt:variant>
      <vt:variant>
        <vt:i4>249</vt:i4>
      </vt:variant>
      <vt:variant>
        <vt:i4>0</vt:i4>
      </vt:variant>
      <vt:variant>
        <vt:i4>5</vt:i4>
      </vt:variant>
      <vt:variant>
        <vt:lpwstr/>
      </vt:variant>
      <vt:variant>
        <vt:lpwstr>_APPENDIX_A_–</vt:lpwstr>
      </vt:variant>
      <vt:variant>
        <vt:i4>6946842</vt:i4>
      </vt:variant>
      <vt:variant>
        <vt:i4>243</vt:i4>
      </vt:variant>
      <vt:variant>
        <vt:i4>0</vt:i4>
      </vt:variant>
      <vt:variant>
        <vt:i4>5</vt:i4>
      </vt:variant>
      <vt:variant>
        <vt:lpwstr>mailto:business.continuity@organisation.com</vt:lpwstr>
      </vt:variant>
      <vt:variant>
        <vt:lpwstr/>
      </vt:variant>
      <vt:variant>
        <vt:i4>1310769</vt:i4>
      </vt:variant>
      <vt:variant>
        <vt:i4>236</vt:i4>
      </vt:variant>
      <vt:variant>
        <vt:i4>0</vt:i4>
      </vt:variant>
      <vt:variant>
        <vt:i4>5</vt:i4>
      </vt:variant>
      <vt:variant>
        <vt:lpwstr/>
      </vt:variant>
      <vt:variant>
        <vt:lpwstr>_Toc346726664</vt:lpwstr>
      </vt:variant>
      <vt:variant>
        <vt:i4>1310769</vt:i4>
      </vt:variant>
      <vt:variant>
        <vt:i4>230</vt:i4>
      </vt:variant>
      <vt:variant>
        <vt:i4>0</vt:i4>
      </vt:variant>
      <vt:variant>
        <vt:i4>5</vt:i4>
      </vt:variant>
      <vt:variant>
        <vt:lpwstr/>
      </vt:variant>
      <vt:variant>
        <vt:lpwstr>_Toc346726663</vt:lpwstr>
      </vt:variant>
      <vt:variant>
        <vt:i4>1310769</vt:i4>
      </vt:variant>
      <vt:variant>
        <vt:i4>224</vt:i4>
      </vt:variant>
      <vt:variant>
        <vt:i4>0</vt:i4>
      </vt:variant>
      <vt:variant>
        <vt:i4>5</vt:i4>
      </vt:variant>
      <vt:variant>
        <vt:lpwstr/>
      </vt:variant>
      <vt:variant>
        <vt:lpwstr>_Toc346726662</vt:lpwstr>
      </vt:variant>
      <vt:variant>
        <vt:i4>1310769</vt:i4>
      </vt:variant>
      <vt:variant>
        <vt:i4>218</vt:i4>
      </vt:variant>
      <vt:variant>
        <vt:i4>0</vt:i4>
      </vt:variant>
      <vt:variant>
        <vt:i4>5</vt:i4>
      </vt:variant>
      <vt:variant>
        <vt:lpwstr/>
      </vt:variant>
      <vt:variant>
        <vt:lpwstr>_Toc346726661</vt:lpwstr>
      </vt:variant>
      <vt:variant>
        <vt:i4>1310769</vt:i4>
      </vt:variant>
      <vt:variant>
        <vt:i4>212</vt:i4>
      </vt:variant>
      <vt:variant>
        <vt:i4>0</vt:i4>
      </vt:variant>
      <vt:variant>
        <vt:i4>5</vt:i4>
      </vt:variant>
      <vt:variant>
        <vt:lpwstr/>
      </vt:variant>
      <vt:variant>
        <vt:lpwstr>_Toc346726660</vt:lpwstr>
      </vt:variant>
      <vt:variant>
        <vt:i4>1507377</vt:i4>
      </vt:variant>
      <vt:variant>
        <vt:i4>206</vt:i4>
      </vt:variant>
      <vt:variant>
        <vt:i4>0</vt:i4>
      </vt:variant>
      <vt:variant>
        <vt:i4>5</vt:i4>
      </vt:variant>
      <vt:variant>
        <vt:lpwstr/>
      </vt:variant>
      <vt:variant>
        <vt:lpwstr>_Toc346726659</vt:lpwstr>
      </vt:variant>
      <vt:variant>
        <vt:i4>1507377</vt:i4>
      </vt:variant>
      <vt:variant>
        <vt:i4>200</vt:i4>
      </vt:variant>
      <vt:variant>
        <vt:i4>0</vt:i4>
      </vt:variant>
      <vt:variant>
        <vt:i4>5</vt:i4>
      </vt:variant>
      <vt:variant>
        <vt:lpwstr/>
      </vt:variant>
      <vt:variant>
        <vt:lpwstr>_Toc346726658</vt:lpwstr>
      </vt:variant>
      <vt:variant>
        <vt:i4>1507377</vt:i4>
      </vt:variant>
      <vt:variant>
        <vt:i4>194</vt:i4>
      </vt:variant>
      <vt:variant>
        <vt:i4>0</vt:i4>
      </vt:variant>
      <vt:variant>
        <vt:i4>5</vt:i4>
      </vt:variant>
      <vt:variant>
        <vt:lpwstr/>
      </vt:variant>
      <vt:variant>
        <vt:lpwstr>_Toc346726657</vt:lpwstr>
      </vt:variant>
      <vt:variant>
        <vt:i4>1507377</vt:i4>
      </vt:variant>
      <vt:variant>
        <vt:i4>188</vt:i4>
      </vt:variant>
      <vt:variant>
        <vt:i4>0</vt:i4>
      </vt:variant>
      <vt:variant>
        <vt:i4>5</vt:i4>
      </vt:variant>
      <vt:variant>
        <vt:lpwstr/>
      </vt:variant>
      <vt:variant>
        <vt:lpwstr>_Toc346726656</vt:lpwstr>
      </vt:variant>
      <vt:variant>
        <vt:i4>1507377</vt:i4>
      </vt:variant>
      <vt:variant>
        <vt:i4>182</vt:i4>
      </vt:variant>
      <vt:variant>
        <vt:i4>0</vt:i4>
      </vt:variant>
      <vt:variant>
        <vt:i4>5</vt:i4>
      </vt:variant>
      <vt:variant>
        <vt:lpwstr/>
      </vt:variant>
      <vt:variant>
        <vt:lpwstr>_Toc346726655</vt:lpwstr>
      </vt:variant>
      <vt:variant>
        <vt:i4>1507377</vt:i4>
      </vt:variant>
      <vt:variant>
        <vt:i4>176</vt:i4>
      </vt:variant>
      <vt:variant>
        <vt:i4>0</vt:i4>
      </vt:variant>
      <vt:variant>
        <vt:i4>5</vt:i4>
      </vt:variant>
      <vt:variant>
        <vt:lpwstr/>
      </vt:variant>
      <vt:variant>
        <vt:lpwstr>_Toc346726654</vt:lpwstr>
      </vt:variant>
      <vt:variant>
        <vt:i4>1507377</vt:i4>
      </vt:variant>
      <vt:variant>
        <vt:i4>170</vt:i4>
      </vt:variant>
      <vt:variant>
        <vt:i4>0</vt:i4>
      </vt:variant>
      <vt:variant>
        <vt:i4>5</vt:i4>
      </vt:variant>
      <vt:variant>
        <vt:lpwstr/>
      </vt:variant>
      <vt:variant>
        <vt:lpwstr>_Toc346726653</vt:lpwstr>
      </vt:variant>
      <vt:variant>
        <vt:i4>1507377</vt:i4>
      </vt:variant>
      <vt:variant>
        <vt:i4>164</vt:i4>
      </vt:variant>
      <vt:variant>
        <vt:i4>0</vt:i4>
      </vt:variant>
      <vt:variant>
        <vt:i4>5</vt:i4>
      </vt:variant>
      <vt:variant>
        <vt:lpwstr/>
      </vt:variant>
      <vt:variant>
        <vt:lpwstr>_Toc346726652</vt:lpwstr>
      </vt:variant>
      <vt:variant>
        <vt:i4>1507377</vt:i4>
      </vt:variant>
      <vt:variant>
        <vt:i4>158</vt:i4>
      </vt:variant>
      <vt:variant>
        <vt:i4>0</vt:i4>
      </vt:variant>
      <vt:variant>
        <vt:i4>5</vt:i4>
      </vt:variant>
      <vt:variant>
        <vt:lpwstr/>
      </vt:variant>
      <vt:variant>
        <vt:lpwstr>_Toc346726651</vt:lpwstr>
      </vt:variant>
      <vt:variant>
        <vt:i4>1507377</vt:i4>
      </vt:variant>
      <vt:variant>
        <vt:i4>152</vt:i4>
      </vt:variant>
      <vt:variant>
        <vt:i4>0</vt:i4>
      </vt:variant>
      <vt:variant>
        <vt:i4>5</vt:i4>
      </vt:variant>
      <vt:variant>
        <vt:lpwstr/>
      </vt:variant>
      <vt:variant>
        <vt:lpwstr>_Toc346726650</vt:lpwstr>
      </vt:variant>
      <vt:variant>
        <vt:i4>1441841</vt:i4>
      </vt:variant>
      <vt:variant>
        <vt:i4>146</vt:i4>
      </vt:variant>
      <vt:variant>
        <vt:i4>0</vt:i4>
      </vt:variant>
      <vt:variant>
        <vt:i4>5</vt:i4>
      </vt:variant>
      <vt:variant>
        <vt:lpwstr/>
      </vt:variant>
      <vt:variant>
        <vt:lpwstr>_Toc346726649</vt:lpwstr>
      </vt:variant>
      <vt:variant>
        <vt:i4>1441841</vt:i4>
      </vt:variant>
      <vt:variant>
        <vt:i4>140</vt:i4>
      </vt:variant>
      <vt:variant>
        <vt:i4>0</vt:i4>
      </vt:variant>
      <vt:variant>
        <vt:i4>5</vt:i4>
      </vt:variant>
      <vt:variant>
        <vt:lpwstr/>
      </vt:variant>
      <vt:variant>
        <vt:lpwstr>_Toc346726648</vt:lpwstr>
      </vt:variant>
      <vt:variant>
        <vt:i4>1441841</vt:i4>
      </vt:variant>
      <vt:variant>
        <vt:i4>134</vt:i4>
      </vt:variant>
      <vt:variant>
        <vt:i4>0</vt:i4>
      </vt:variant>
      <vt:variant>
        <vt:i4>5</vt:i4>
      </vt:variant>
      <vt:variant>
        <vt:lpwstr/>
      </vt:variant>
      <vt:variant>
        <vt:lpwstr>_Toc346726647</vt:lpwstr>
      </vt:variant>
      <vt:variant>
        <vt:i4>1441841</vt:i4>
      </vt:variant>
      <vt:variant>
        <vt:i4>128</vt:i4>
      </vt:variant>
      <vt:variant>
        <vt:i4>0</vt:i4>
      </vt:variant>
      <vt:variant>
        <vt:i4>5</vt:i4>
      </vt:variant>
      <vt:variant>
        <vt:lpwstr/>
      </vt:variant>
      <vt:variant>
        <vt:lpwstr>_Toc346726646</vt:lpwstr>
      </vt:variant>
      <vt:variant>
        <vt:i4>1441841</vt:i4>
      </vt:variant>
      <vt:variant>
        <vt:i4>122</vt:i4>
      </vt:variant>
      <vt:variant>
        <vt:i4>0</vt:i4>
      </vt:variant>
      <vt:variant>
        <vt:i4>5</vt:i4>
      </vt:variant>
      <vt:variant>
        <vt:lpwstr/>
      </vt:variant>
      <vt:variant>
        <vt:lpwstr>_Toc346726645</vt:lpwstr>
      </vt:variant>
      <vt:variant>
        <vt:i4>1441841</vt:i4>
      </vt:variant>
      <vt:variant>
        <vt:i4>116</vt:i4>
      </vt:variant>
      <vt:variant>
        <vt:i4>0</vt:i4>
      </vt:variant>
      <vt:variant>
        <vt:i4>5</vt:i4>
      </vt:variant>
      <vt:variant>
        <vt:lpwstr/>
      </vt:variant>
      <vt:variant>
        <vt:lpwstr>_Toc346726644</vt:lpwstr>
      </vt:variant>
      <vt:variant>
        <vt:i4>1441841</vt:i4>
      </vt:variant>
      <vt:variant>
        <vt:i4>110</vt:i4>
      </vt:variant>
      <vt:variant>
        <vt:i4>0</vt:i4>
      </vt:variant>
      <vt:variant>
        <vt:i4>5</vt:i4>
      </vt:variant>
      <vt:variant>
        <vt:lpwstr/>
      </vt:variant>
      <vt:variant>
        <vt:lpwstr>_Toc346726643</vt:lpwstr>
      </vt:variant>
      <vt:variant>
        <vt:i4>1441841</vt:i4>
      </vt:variant>
      <vt:variant>
        <vt:i4>104</vt:i4>
      </vt:variant>
      <vt:variant>
        <vt:i4>0</vt:i4>
      </vt:variant>
      <vt:variant>
        <vt:i4>5</vt:i4>
      </vt:variant>
      <vt:variant>
        <vt:lpwstr/>
      </vt:variant>
      <vt:variant>
        <vt:lpwstr>_Toc346726642</vt:lpwstr>
      </vt:variant>
      <vt:variant>
        <vt:i4>1441841</vt:i4>
      </vt:variant>
      <vt:variant>
        <vt:i4>98</vt:i4>
      </vt:variant>
      <vt:variant>
        <vt:i4>0</vt:i4>
      </vt:variant>
      <vt:variant>
        <vt:i4>5</vt:i4>
      </vt:variant>
      <vt:variant>
        <vt:lpwstr/>
      </vt:variant>
      <vt:variant>
        <vt:lpwstr>_Toc346726641</vt:lpwstr>
      </vt:variant>
      <vt:variant>
        <vt:i4>1441841</vt:i4>
      </vt:variant>
      <vt:variant>
        <vt:i4>92</vt:i4>
      </vt:variant>
      <vt:variant>
        <vt:i4>0</vt:i4>
      </vt:variant>
      <vt:variant>
        <vt:i4>5</vt:i4>
      </vt:variant>
      <vt:variant>
        <vt:lpwstr/>
      </vt:variant>
      <vt:variant>
        <vt:lpwstr>_Toc346726640</vt:lpwstr>
      </vt:variant>
      <vt:variant>
        <vt:i4>1114161</vt:i4>
      </vt:variant>
      <vt:variant>
        <vt:i4>86</vt:i4>
      </vt:variant>
      <vt:variant>
        <vt:i4>0</vt:i4>
      </vt:variant>
      <vt:variant>
        <vt:i4>5</vt:i4>
      </vt:variant>
      <vt:variant>
        <vt:lpwstr/>
      </vt:variant>
      <vt:variant>
        <vt:lpwstr>_Toc346726639</vt:lpwstr>
      </vt:variant>
      <vt:variant>
        <vt:i4>1114161</vt:i4>
      </vt:variant>
      <vt:variant>
        <vt:i4>80</vt:i4>
      </vt:variant>
      <vt:variant>
        <vt:i4>0</vt:i4>
      </vt:variant>
      <vt:variant>
        <vt:i4>5</vt:i4>
      </vt:variant>
      <vt:variant>
        <vt:lpwstr/>
      </vt:variant>
      <vt:variant>
        <vt:lpwstr>_Toc346726638</vt:lpwstr>
      </vt:variant>
      <vt:variant>
        <vt:i4>1114161</vt:i4>
      </vt:variant>
      <vt:variant>
        <vt:i4>74</vt:i4>
      </vt:variant>
      <vt:variant>
        <vt:i4>0</vt:i4>
      </vt:variant>
      <vt:variant>
        <vt:i4>5</vt:i4>
      </vt:variant>
      <vt:variant>
        <vt:lpwstr/>
      </vt:variant>
      <vt:variant>
        <vt:lpwstr>_Toc346726637</vt:lpwstr>
      </vt:variant>
      <vt:variant>
        <vt:i4>1114161</vt:i4>
      </vt:variant>
      <vt:variant>
        <vt:i4>68</vt:i4>
      </vt:variant>
      <vt:variant>
        <vt:i4>0</vt:i4>
      </vt:variant>
      <vt:variant>
        <vt:i4>5</vt:i4>
      </vt:variant>
      <vt:variant>
        <vt:lpwstr/>
      </vt:variant>
      <vt:variant>
        <vt:lpwstr>_Toc346726636</vt:lpwstr>
      </vt:variant>
      <vt:variant>
        <vt:i4>1114161</vt:i4>
      </vt:variant>
      <vt:variant>
        <vt:i4>62</vt:i4>
      </vt:variant>
      <vt:variant>
        <vt:i4>0</vt:i4>
      </vt:variant>
      <vt:variant>
        <vt:i4>5</vt:i4>
      </vt:variant>
      <vt:variant>
        <vt:lpwstr/>
      </vt:variant>
      <vt:variant>
        <vt:lpwstr>_Toc346726635</vt:lpwstr>
      </vt:variant>
      <vt:variant>
        <vt:i4>1114161</vt:i4>
      </vt:variant>
      <vt:variant>
        <vt:i4>56</vt:i4>
      </vt:variant>
      <vt:variant>
        <vt:i4>0</vt:i4>
      </vt:variant>
      <vt:variant>
        <vt:i4>5</vt:i4>
      </vt:variant>
      <vt:variant>
        <vt:lpwstr/>
      </vt:variant>
      <vt:variant>
        <vt:lpwstr>_Toc346726634</vt:lpwstr>
      </vt:variant>
      <vt:variant>
        <vt:i4>1114161</vt:i4>
      </vt:variant>
      <vt:variant>
        <vt:i4>50</vt:i4>
      </vt:variant>
      <vt:variant>
        <vt:i4>0</vt:i4>
      </vt:variant>
      <vt:variant>
        <vt:i4>5</vt:i4>
      </vt:variant>
      <vt:variant>
        <vt:lpwstr/>
      </vt:variant>
      <vt:variant>
        <vt:lpwstr>_Toc346726633</vt:lpwstr>
      </vt:variant>
      <vt:variant>
        <vt:i4>1114161</vt:i4>
      </vt:variant>
      <vt:variant>
        <vt:i4>44</vt:i4>
      </vt:variant>
      <vt:variant>
        <vt:i4>0</vt:i4>
      </vt:variant>
      <vt:variant>
        <vt:i4>5</vt:i4>
      </vt:variant>
      <vt:variant>
        <vt:lpwstr/>
      </vt:variant>
      <vt:variant>
        <vt:lpwstr>_Toc346726632</vt:lpwstr>
      </vt:variant>
      <vt:variant>
        <vt:i4>1114161</vt:i4>
      </vt:variant>
      <vt:variant>
        <vt:i4>38</vt:i4>
      </vt:variant>
      <vt:variant>
        <vt:i4>0</vt:i4>
      </vt:variant>
      <vt:variant>
        <vt:i4>5</vt:i4>
      </vt:variant>
      <vt:variant>
        <vt:lpwstr/>
      </vt:variant>
      <vt:variant>
        <vt:lpwstr>_Toc346726631</vt:lpwstr>
      </vt:variant>
      <vt:variant>
        <vt:i4>1114161</vt:i4>
      </vt:variant>
      <vt:variant>
        <vt:i4>32</vt:i4>
      </vt:variant>
      <vt:variant>
        <vt:i4>0</vt:i4>
      </vt:variant>
      <vt:variant>
        <vt:i4>5</vt:i4>
      </vt:variant>
      <vt:variant>
        <vt:lpwstr/>
      </vt:variant>
      <vt:variant>
        <vt:lpwstr>_Toc346726630</vt:lpwstr>
      </vt:variant>
      <vt:variant>
        <vt:i4>1048625</vt:i4>
      </vt:variant>
      <vt:variant>
        <vt:i4>26</vt:i4>
      </vt:variant>
      <vt:variant>
        <vt:i4>0</vt:i4>
      </vt:variant>
      <vt:variant>
        <vt:i4>5</vt:i4>
      </vt:variant>
      <vt:variant>
        <vt:lpwstr/>
      </vt:variant>
      <vt:variant>
        <vt:lpwstr>_Toc346726629</vt:lpwstr>
      </vt:variant>
      <vt:variant>
        <vt:i4>1048625</vt:i4>
      </vt:variant>
      <vt:variant>
        <vt:i4>20</vt:i4>
      </vt:variant>
      <vt:variant>
        <vt:i4>0</vt:i4>
      </vt:variant>
      <vt:variant>
        <vt:i4>5</vt:i4>
      </vt:variant>
      <vt:variant>
        <vt:lpwstr/>
      </vt:variant>
      <vt:variant>
        <vt:lpwstr>_Toc346726628</vt:lpwstr>
      </vt:variant>
      <vt:variant>
        <vt:i4>1048625</vt:i4>
      </vt:variant>
      <vt:variant>
        <vt:i4>14</vt:i4>
      </vt:variant>
      <vt:variant>
        <vt:i4>0</vt:i4>
      </vt:variant>
      <vt:variant>
        <vt:i4>5</vt:i4>
      </vt:variant>
      <vt:variant>
        <vt:lpwstr/>
      </vt:variant>
      <vt:variant>
        <vt:lpwstr>_Toc346726627</vt:lpwstr>
      </vt:variant>
      <vt:variant>
        <vt:i4>1048625</vt:i4>
      </vt:variant>
      <vt:variant>
        <vt:i4>8</vt:i4>
      </vt:variant>
      <vt:variant>
        <vt:i4>0</vt:i4>
      </vt:variant>
      <vt:variant>
        <vt:i4>5</vt:i4>
      </vt:variant>
      <vt:variant>
        <vt:lpwstr/>
      </vt:variant>
      <vt:variant>
        <vt:lpwstr>_Toc346726626</vt:lpwstr>
      </vt:variant>
      <vt:variant>
        <vt:i4>1048625</vt:i4>
      </vt:variant>
      <vt:variant>
        <vt:i4>2</vt:i4>
      </vt:variant>
      <vt:variant>
        <vt:i4>0</vt:i4>
      </vt:variant>
      <vt:variant>
        <vt:i4>5</vt:i4>
      </vt:variant>
      <vt:variant>
        <vt:lpwstr/>
      </vt:variant>
      <vt:variant>
        <vt:lpwstr>_Toc346726625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Data Breach</dc:title>
  <dc:subject>GDPR</dc:subject>
  <dc:creator>Defradar</dc:creator>
  <cp:keywords/>
  <dc:description/>
  <cp:lastModifiedBy>Roland Costea</cp:lastModifiedBy>
  <cp:revision>27</cp:revision>
  <cp:lastPrinted>2009-05-08T12:46:00Z</cp:lastPrinted>
  <dcterms:created xsi:type="dcterms:W3CDTF">2017-06-06T15:23:00Z</dcterms:created>
  <dcterms:modified xsi:type="dcterms:W3CDTF">2018-04-03T07:11:00Z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