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F46" w:rsidRPr="00DD2640" w:rsidRDefault="00DD2640">
      <w:r>
        <w:rPr>
          <w:noProof/>
        </w:rPr>
        <w:drawing>
          <wp:inline distT="0" distB="0" distL="0" distR="0">
            <wp:extent cx="1092007" cy="7747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dar-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2812" cy="782366"/>
                    </a:xfrm>
                    <a:prstGeom prst="rect">
                      <a:avLst/>
                    </a:prstGeom>
                  </pic:spPr>
                </pic:pic>
              </a:graphicData>
            </a:graphic>
          </wp:inline>
        </w:drawing>
      </w:r>
    </w:p>
    <w:p w:rsidR="001B1F46" w:rsidRDefault="001B1F46">
      <w:pPr>
        <w:jc w:val="right"/>
        <w:rPr>
          <w:rFonts w:cs="Arial"/>
          <w:b/>
          <w:sz w:val="36"/>
          <w:szCs w:val="36"/>
        </w:rPr>
      </w:pPr>
    </w:p>
    <w:p w:rsidR="00E7698E" w:rsidRDefault="00E7698E" w:rsidP="00DD2640">
      <w:pPr>
        <w:jc w:val="center"/>
        <w:rPr>
          <w:rFonts w:cs="Arial"/>
          <w:b/>
          <w:sz w:val="36"/>
          <w:szCs w:val="36"/>
        </w:rPr>
      </w:pPr>
    </w:p>
    <w:p w:rsidR="00E7698E" w:rsidRDefault="00E7698E" w:rsidP="00DD2640">
      <w:pPr>
        <w:jc w:val="center"/>
        <w:rPr>
          <w:rFonts w:cs="Arial"/>
          <w:b/>
          <w:sz w:val="36"/>
          <w:szCs w:val="36"/>
        </w:rPr>
      </w:pPr>
    </w:p>
    <w:p w:rsidR="00E7698E" w:rsidRDefault="00E7698E" w:rsidP="00DD2640">
      <w:pPr>
        <w:jc w:val="center"/>
        <w:rPr>
          <w:rFonts w:cs="Arial"/>
          <w:b/>
          <w:sz w:val="36"/>
          <w:szCs w:val="36"/>
        </w:rPr>
      </w:pPr>
    </w:p>
    <w:p w:rsidR="00D1437A" w:rsidRDefault="00D1437A" w:rsidP="00DD2640">
      <w:pPr>
        <w:jc w:val="center"/>
        <w:rPr>
          <w:rFonts w:cs="Arial"/>
          <w:b/>
          <w:sz w:val="36"/>
          <w:szCs w:val="36"/>
        </w:rPr>
      </w:pPr>
    </w:p>
    <w:p w:rsidR="00D1437A" w:rsidRDefault="00D1437A" w:rsidP="00DD2640">
      <w:pPr>
        <w:jc w:val="center"/>
        <w:rPr>
          <w:rFonts w:cs="Arial"/>
          <w:b/>
          <w:sz w:val="36"/>
          <w:szCs w:val="36"/>
        </w:rPr>
      </w:pPr>
    </w:p>
    <w:p w:rsidR="00D1437A" w:rsidRDefault="00D1437A" w:rsidP="00DD2640">
      <w:pPr>
        <w:jc w:val="center"/>
        <w:rPr>
          <w:rFonts w:cs="Arial"/>
          <w:b/>
          <w:sz w:val="36"/>
          <w:szCs w:val="36"/>
        </w:rPr>
      </w:pPr>
    </w:p>
    <w:p w:rsidR="00D1437A" w:rsidRDefault="00D1437A" w:rsidP="00DD2640">
      <w:pPr>
        <w:jc w:val="center"/>
        <w:rPr>
          <w:rFonts w:cs="Arial"/>
          <w:b/>
          <w:sz w:val="36"/>
          <w:szCs w:val="36"/>
        </w:rPr>
      </w:pPr>
    </w:p>
    <w:p w:rsidR="006F4C52" w:rsidRDefault="006F4C52" w:rsidP="00DD2640">
      <w:pPr>
        <w:jc w:val="center"/>
        <w:rPr>
          <w:rFonts w:cs="Arial"/>
          <w:b/>
          <w:sz w:val="36"/>
          <w:szCs w:val="36"/>
        </w:rPr>
      </w:pPr>
      <w:r>
        <w:rPr>
          <w:rFonts w:cs="Arial"/>
          <w:b/>
          <w:sz w:val="36"/>
          <w:szCs w:val="36"/>
        </w:rPr>
        <w:t>GDPR Personal</w:t>
      </w:r>
      <w:r w:rsidR="00812EE5">
        <w:rPr>
          <w:rFonts w:cs="Arial"/>
          <w:b/>
          <w:sz w:val="36"/>
          <w:szCs w:val="36"/>
        </w:rPr>
        <w:t xml:space="preserve"> </w:t>
      </w:r>
    </w:p>
    <w:p w:rsidR="001B1F46" w:rsidRDefault="00460E09" w:rsidP="00DD2640">
      <w:pPr>
        <w:jc w:val="center"/>
        <w:rPr>
          <w:rFonts w:cs="Arial"/>
          <w:b/>
          <w:sz w:val="36"/>
          <w:szCs w:val="36"/>
        </w:rPr>
      </w:pPr>
      <w:r>
        <w:rPr>
          <w:rFonts w:cs="Arial"/>
          <w:b/>
          <w:sz w:val="36"/>
          <w:szCs w:val="36"/>
        </w:rPr>
        <w:t xml:space="preserve">Data Protection </w:t>
      </w:r>
      <w:r w:rsidR="00812EE5">
        <w:rPr>
          <w:rFonts w:cs="Arial"/>
          <w:b/>
          <w:sz w:val="36"/>
          <w:szCs w:val="36"/>
        </w:rPr>
        <w:t>Policy</w:t>
      </w:r>
    </w:p>
    <w:p w:rsidR="001B1F46" w:rsidRDefault="001B1F46">
      <w:pPr>
        <w:jc w:val="center"/>
        <w:rPr>
          <w:rFonts w:cs="Arial"/>
          <w:b/>
          <w:sz w:val="28"/>
          <w:szCs w:val="28"/>
        </w:rPr>
      </w:pPr>
    </w:p>
    <w:p w:rsidR="001B1F46" w:rsidRDefault="001B1F46">
      <w:pPr>
        <w:jc w:val="both"/>
        <w:rPr>
          <w:rFonts w:cs="Arial"/>
          <w:b/>
        </w:rPr>
      </w:pPr>
    </w:p>
    <w:p w:rsidR="001B1F46" w:rsidRDefault="001B1F46">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0E2E47" w:rsidRDefault="000E2E47" w:rsidP="00EC5BD0">
      <w:pPr>
        <w:pStyle w:val="Heading1"/>
      </w:pPr>
      <w:bookmarkStart w:id="0" w:name="_Toc492892421"/>
      <w:bookmarkStart w:id="1" w:name="_Toc321138747"/>
      <w:bookmarkStart w:id="2" w:name="_Toc321138171"/>
      <w:bookmarkStart w:id="3" w:name="_Toc321136340"/>
      <w:bookmarkStart w:id="4" w:name="_Toc321131500"/>
      <w:bookmarkStart w:id="5" w:name="_Toc321136539"/>
      <w:bookmarkStart w:id="6" w:name="_Toc321138376"/>
      <w:bookmarkStart w:id="7" w:name="_Toc261003755"/>
      <w:r>
        <w:t>Introduction</w:t>
      </w:r>
      <w:bookmarkEnd w:id="0"/>
    </w:p>
    <w:p w:rsidR="009A7775" w:rsidRDefault="009A7775" w:rsidP="009A7775"/>
    <w:bookmarkEnd w:id="1"/>
    <w:bookmarkEnd w:id="2"/>
    <w:bookmarkEnd w:id="3"/>
    <w:bookmarkEnd w:id="4"/>
    <w:bookmarkEnd w:id="5"/>
    <w:bookmarkEnd w:id="6"/>
    <w:p w:rsidR="00561C6C" w:rsidRPr="00AD50A1" w:rsidRDefault="00561C6C" w:rsidP="00561C6C">
      <w:pPr>
        <w:jc w:val="both"/>
      </w:pPr>
      <w:r w:rsidRPr="00AD50A1">
        <w:t>In it</w:t>
      </w:r>
      <w:r>
        <w:t xml:space="preserve">s everyday business operations </w:t>
      </w:r>
      <w:proofErr w:type="spellStart"/>
      <w:r w:rsidR="00F331DD">
        <w:rPr>
          <w:rFonts w:cs="Arial"/>
        </w:rPr>
        <w:t>Defradar</w:t>
      </w:r>
      <w:proofErr w:type="spellEnd"/>
      <w:r w:rsidR="00F331DD">
        <w:rPr>
          <w:rFonts w:cs="Arial"/>
        </w:rPr>
        <w:t xml:space="preserve"> Technologies</w:t>
      </w:r>
      <w:r>
        <w:rPr>
          <w:rFonts w:cs="Arial"/>
        </w:rPr>
        <w:t xml:space="preserve"> </w:t>
      </w:r>
      <w:r w:rsidRPr="00AD50A1">
        <w:t xml:space="preserve">makes use of a variety of data about </w:t>
      </w:r>
      <w:r w:rsidR="008B0B13">
        <w:t>identifiable</w:t>
      </w:r>
      <w:r w:rsidRPr="00AD50A1">
        <w:t xml:space="preserve"> individuals,</w:t>
      </w:r>
      <w:r w:rsidR="008B0B13">
        <w:t xml:space="preserve"> including data about</w:t>
      </w:r>
      <w:r w:rsidRPr="00AD50A1">
        <w:t>:</w:t>
      </w:r>
    </w:p>
    <w:p w:rsidR="00561C6C" w:rsidRPr="00AD50A1" w:rsidRDefault="00561C6C" w:rsidP="00561C6C">
      <w:pPr>
        <w:jc w:val="both"/>
      </w:pPr>
    </w:p>
    <w:p w:rsidR="00561C6C" w:rsidRPr="00AD50A1" w:rsidRDefault="00561C6C" w:rsidP="00561C6C">
      <w:pPr>
        <w:numPr>
          <w:ilvl w:val="0"/>
          <w:numId w:val="21"/>
        </w:numPr>
        <w:jc w:val="both"/>
      </w:pPr>
      <w:r w:rsidRPr="00AD50A1">
        <w:t>Current, past and prospective employees</w:t>
      </w:r>
    </w:p>
    <w:p w:rsidR="00561C6C" w:rsidRDefault="00561C6C" w:rsidP="00561C6C">
      <w:pPr>
        <w:numPr>
          <w:ilvl w:val="0"/>
          <w:numId w:val="21"/>
        </w:numPr>
        <w:jc w:val="both"/>
      </w:pPr>
      <w:r w:rsidRPr="00AD50A1">
        <w:t>Customers</w:t>
      </w:r>
    </w:p>
    <w:p w:rsidR="008B0B13" w:rsidRDefault="008B0B13" w:rsidP="00561C6C">
      <w:pPr>
        <w:numPr>
          <w:ilvl w:val="0"/>
          <w:numId w:val="21"/>
        </w:numPr>
        <w:jc w:val="both"/>
      </w:pPr>
      <w:r>
        <w:t>Users of its websites</w:t>
      </w:r>
    </w:p>
    <w:p w:rsidR="00CE6C42" w:rsidRPr="00AD50A1" w:rsidRDefault="00CE6C42" w:rsidP="00561C6C">
      <w:pPr>
        <w:numPr>
          <w:ilvl w:val="0"/>
          <w:numId w:val="21"/>
        </w:numPr>
        <w:jc w:val="both"/>
      </w:pPr>
      <w:r>
        <w:t>Subscribers</w:t>
      </w:r>
    </w:p>
    <w:p w:rsidR="00561C6C" w:rsidRPr="00AD50A1" w:rsidRDefault="00561C6C" w:rsidP="00561C6C">
      <w:pPr>
        <w:numPr>
          <w:ilvl w:val="0"/>
          <w:numId w:val="21"/>
        </w:numPr>
        <w:jc w:val="both"/>
      </w:pPr>
      <w:r w:rsidRPr="00AD50A1">
        <w:t>Other stakeholders</w:t>
      </w:r>
    </w:p>
    <w:p w:rsidR="00561C6C" w:rsidRPr="00AD50A1" w:rsidRDefault="00561C6C" w:rsidP="00561C6C">
      <w:pPr>
        <w:jc w:val="both"/>
        <w:rPr>
          <w:highlight w:val="yellow"/>
        </w:rPr>
      </w:pPr>
    </w:p>
    <w:p w:rsidR="00561C6C" w:rsidRPr="00AD50A1" w:rsidRDefault="00561C6C" w:rsidP="00561C6C">
      <w:pPr>
        <w:jc w:val="both"/>
      </w:pPr>
      <w:r w:rsidRPr="00AD50A1">
        <w:t xml:space="preserve">In collecting and using this data, the </w:t>
      </w:r>
      <w:r>
        <w:t>organization</w:t>
      </w:r>
      <w:r w:rsidRPr="00AD50A1">
        <w:t xml:space="preserve"> is subject to a variety of legislation controlling how such activities may be carried out and the safeguards that must be put in place to protect it.</w:t>
      </w:r>
    </w:p>
    <w:p w:rsidR="00561C6C" w:rsidRPr="00AD50A1" w:rsidRDefault="00561C6C" w:rsidP="00561C6C"/>
    <w:p w:rsidR="00561C6C" w:rsidRPr="00AD50A1" w:rsidRDefault="00561C6C" w:rsidP="008B0B13">
      <w:pPr>
        <w:jc w:val="both"/>
      </w:pPr>
      <w:r w:rsidRPr="00AD50A1">
        <w:t xml:space="preserve">The purpose of this policy is to set out the relevant legislation and to describe the steps </w:t>
      </w:r>
      <w:proofErr w:type="spellStart"/>
      <w:r w:rsidR="00F331DD">
        <w:rPr>
          <w:rFonts w:cs="Arial"/>
        </w:rPr>
        <w:t>Defradar</w:t>
      </w:r>
      <w:proofErr w:type="spellEnd"/>
      <w:r w:rsidR="00F331DD">
        <w:rPr>
          <w:rFonts w:cs="Arial"/>
        </w:rPr>
        <w:t xml:space="preserve"> Technologies </w:t>
      </w:r>
      <w:r w:rsidRPr="00AD50A1">
        <w:t>is taking to ensure that it complies with it.</w:t>
      </w:r>
    </w:p>
    <w:p w:rsidR="00561C6C" w:rsidRPr="00AD50A1" w:rsidRDefault="00561C6C" w:rsidP="00561C6C"/>
    <w:p w:rsidR="001C071F" w:rsidRDefault="001C071F" w:rsidP="001C071F">
      <w:pPr>
        <w:jc w:val="both"/>
        <w:rPr>
          <w:rFonts w:cs="Arial"/>
        </w:rPr>
      </w:pPr>
      <w:r>
        <w:rPr>
          <w:rFonts w:cs="Arial"/>
        </w:rPr>
        <w:t xml:space="preserve">This control applies to all systems, people and processes that constitute the </w:t>
      </w:r>
      <w:r w:rsidR="00A6184A">
        <w:rPr>
          <w:rFonts w:cs="Arial"/>
        </w:rPr>
        <w:t>organization</w:t>
      </w:r>
      <w:r>
        <w:rPr>
          <w:rFonts w:cs="Arial"/>
        </w:rPr>
        <w:t>’s information systems, including board members, directors, employees, suppliers and other third parties who have access to</w:t>
      </w:r>
      <w:r w:rsidR="00A6184A">
        <w:rPr>
          <w:rFonts w:cs="Arial"/>
        </w:rPr>
        <w:t xml:space="preserve"> </w:t>
      </w:r>
      <w:proofErr w:type="spellStart"/>
      <w:r w:rsidR="00F331DD">
        <w:rPr>
          <w:rFonts w:cs="Arial"/>
        </w:rPr>
        <w:t>Defradar</w:t>
      </w:r>
      <w:proofErr w:type="spellEnd"/>
      <w:r w:rsidR="00F331DD">
        <w:rPr>
          <w:rFonts w:cs="Arial"/>
        </w:rPr>
        <w:t xml:space="preserve"> Technologies </w:t>
      </w:r>
      <w:r>
        <w:rPr>
          <w:rFonts w:cs="Arial"/>
        </w:rPr>
        <w:t xml:space="preserve">systems. </w:t>
      </w:r>
    </w:p>
    <w:p w:rsidR="001C071F" w:rsidRDefault="001C071F" w:rsidP="001C071F">
      <w:pPr>
        <w:jc w:val="both"/>
        <w:rPr>
          <w:rFonts w:cs="Arial"/>
        </w:rPr>
      </w:pPr>
    </w:p>
    <w:p w:rsidR="000E2E47" w:rsidRDefault="000E2E47" w:rsidP="000E2E47">
      <w:pPr>
        <w:ind w:left="360"/>
        <w:rPr>
          <w:rFonts w:cs="Arial"/>
        </w:rPr>
      </w:pPr>
    </w:p>
    <w:bookmarkEnd w:id="7"/>
    <w:p w:rsidR="00561C6C" w:rsidRDefault="004040E9" w:rsidP="000E2E47">
      <w:pPr>
        <w:pStyle w:val="Heading1"/>
      </w:pPr>
      <w:r w:rsidRPr="00AD50A1">
        <w:br w:type="page"/>
      </w:r>
      <w:bookmarkStart w:id="8" w:name="_Toc217817772"/>
    </w:p>
    <w:p w:rsidR="00561C6C" w:rsidRDefault="00561C6C" w:rsidP="000E2E47">
      <w:pPr>
        <w:pStyle w:val="Heading1"/>
      </w:pPr>
      <w:bookmarkStart w:id="9" w:name="_Toc492892422"/>
      <w:r>
        <w:lastRenderedPageBreak/>
        <w:t xml:space="preserve">Privacy </w:t>
      </w:r>
      <w:r w:rsidR="00460E09">
        <w:t xml:space="preserve">Data Protection </w:t>
      </w:r>
      <w:r>
        <w:t>Policy</w:t>
      </w:r>
      <w:bookmarkEnd w:id="9"/>
    </w:p>
    <w:p w:rsidR="00561C6C" w:rsidRPr="00561C6C" w:rsidRDefault="00561C6C" w:rsidP="00561C6C"/>
    <w:p w:rsidR="00812EE5" w:rsidRDefault="006711A3" w:rsidP="000E2E47">
      <w:pPr>
        <w:pStyle w:val="Heading2"/>
      </w:pPr>
      <w:bookmarkStart w:id="10" w:name="_Toc492892423"/>
      <w:bookmarkEnd w:id="8"/>
      <w:r>
        <w:t xml:space="preserve">The </w:t>
      </w:r>
      <w:r w:rsidR="00460E09">
        <w:t>General Data Protection Regulation</w:t>
      </w:r>
      <w:bookmarkEnd w:id="10"/>
    </w:p>
    <w:p w:rsidR="006711A3" w:rsidRDefault="006711A3" w:rsidP="00812EE5">
      <w:pPr>
        <w:rPr>
          <w:szCs w:val="20"/>
        </w:rPr>
      </w:pPr>
    </w:p>
    <w:p w:rsidR="006711A3" w:rsidRDefault="00245530" w:rsidP="00812EE5">
      <w:pPr>
        <w:rPr>
          <w:szCs w:val="20"/>
        </w:rPr>
      </w:pPr>
      <w:r w:rsidRPr="00245530">
        <w:rPr>
          <w:szCs w:val="20"/>
        </w:rPr>
        <w:t>The General Dat</w:t>
      </w:r>
      <w:r w:rsidR="0001033B">
        <w:rPr>
          <w:szCs w:val="20"/>
        </w:rPr>
        <w:t xml:space="preserve">a Protection Regulation </w:t>
      </w:r>
      <w:r w:rsidRPr="00245530">
        <w:rPr>
          <w:szCs w:val="20"/>
        </w:rPr>
        <w:t xml:space="preserve">(GDPR) is a standout amongst the most noteworthy bits of enactment influencing the way that </w:t>
      </w:r>
      <w:proofErr w:type="spellStart"/>
      <w:r w:rsidRPr="00FB61C9">
        <w:rPr>
          <w:b/>
          <w:i/>
          <w:szCs w:val="20"/>
          <w:u w:val="single"/>
        </w:rPr>
        <w:t>Defradar</w:t>
      </w:r>
      <w:proofErr w:type="spellEnd"/>
      <w:r w:rsidRPr="00FB61C9">
        <w:rPr>
          <w:b/>
          <w:i/>
          <w:szCs w:val="20"/>
          <w:u w:val="single"/>
        </w:rPr>
        <w:t xml:space="preserve"> Technologies</w:t>
      </w:r>
      <w:r>
        <w:rPr>
          <w:szCs w:val="20"/>
        </w:rPr>
        <w:t xml:space="preserve"> </w:t>
      </w:r>
      <w:r w:rsidRPr="00245530">
        <w:rPr>
          <w:szCs w:val="20"/>
        </w:rPr>
        <w:t>does its data preparing exercises. Huge fines are relevant if a break is esteemed to have happened under the GDPR, which is intended to secure the individual information of national</w:t>
      </w:r>
      <w:r>
        <w:rPr>
          <w:szCs w:val="20"/>
        </w:rPr>
        <w:t xml:space="preserve">s of the European Union. It is </w:t>
      </w:r>
      <w:proofErr w:type="spellStart"/>
      <w:r w:rsidRPr="00FB61C9">
        <w:rPr>
          <w:b/>
          <w:i/>
          <w:szCs w:val="20"/>
          <w:u w:val="single"/>
        </w:rPr>
        <w:t>Defradar</w:t>
      </w:r>
      <w:proofErr w:type="spellEnd"/>
      <w:r w:rsidRPr="00FB61C9">
        <w:rPr>
          <w:b/>
          <w:i/>
          <w:szCs w:val="20"/>
          <w:u w:val="single"/>
        </w:rPr>
        <w:t xml:space="preserve"> </w:t>
      </w:r>
      <w:proofErr w:type="spellStart"/>
      <w:r w:rsidRPr="00FB61C9">
        <w:rPr>
          <w:b/>
          <w:i/>
          <w:szCs w:val="20"/>
          <w:u w:val="single"/>
        </w:rPr>
        <w:t>Technologies’s</w:t>
      </w:r>
      <w:proofErr w:type="spellEnd"/>
      <w:r>
        <w:rPr>
          <w:szCs w:val="20"/>
        </w:rPr>
        <w:t xml:space="preserve"> </w:t>
      </w:r>
      <w:r w:rsidRPr="00245530">
        <w:rPr>
          <w:szCs w:val="20"/>
        </w:rPr>
        <w:t>strategy to guarantee that our consistence with the GDPR and other important enactment is clear and verifiable consistently.</w:t>
      </w:r>
    </w:p>
    <w:p w:rsidR="00FB61C9" w:rsidRPr="0001033B" w:rsidRDefault="00FB61C9" w:rsidP="00812EE5">
      <w:pPr>
        <w:rPr>
          <w:szCs w:val="20"/>
        </w:rPr>
      </w:pPr>
    </w:p>
    <w:p w:rsidR="00812EE5" w:rsidRPr="00F146D6" w:rsidRDefault="005523E1" w:rsidP="00F146D6">
      <w:pPr>
        <w:pStyle w:val="Heading2"/>
      </w:pPr>
      <w:r>
        <w:t>GDPR Fundamental</w:t>
      </w:r>
      <w:r w:rsidR="00FB61C9">
        <w:t xml:space="preserve"> concepts</w:t>
      </w:r>
    </w:p>
    <w:p w:rsidR="00812EE5" w:rsidRDefault="00812EE5" w:rsidP="00812EE5">
      <w:pPr>
        <w:rPr>
          <w:szCs w:val="20"/>
        </w:rPr>
      </w:pPr>
    </w:p>
    <w:p w:rsidR="005B3B70" w:rsidRPr="005B3B70" w:rsidRDefault="00FB61C9" w:rsidP="005B3B70">
      <w:pPr>
        <w:jc w:val="both"/>
        <w:rPr>
          <w:szCs w:val="20"/>
        </w:rPr>
      </w:pPr>
      <w:r>
        <w:rPr>
          <w:szCs w:val="20"/>
        </w:rPr>
        <w:t>The most important concepts from GDPR regulation that are consistent within our organization and apply properly for this policy are the following:</w:t>
      </w:r>
    </w:p>
    <w:p w:rsidR="005B3B70" w:rsidRPr="00812EE5" w:rsidRDefault="005B3B70" w:rsidP="00812EE5">
      <w:pPr>
        <w:rPr>
          <w:szCs w:val="20"/>
        </w:rPr>
      </w:pPr>
    </w:p>
    <w:p w:rsidR="00812EE5" w:rsidRPr="00AD50A1" w:rsidRDefault="00812EE5" w:rsidP="00812EE5">
      <w:pPr>
        <w:rPr>
          <w:szCs w:val="20"/>
        </w:rPr>
      </w:pPr>
      <w:r w:rsidRPr="00AD50A1">
        <w:rPr>
          <w:i/>
          <w:szCs w:val="20"/>
        </w:rPr>
        <w:t>Personal data</w:t>
      </w:r>
      <w:r w:rsidRPr="00AD50A1">
        <w:rPr>
          <w:szCs w:val="20"/>
        </w:rPr>
        <w:t xml:space="preserve"> is defined as:</w:t>
      </w:r>
    </w:p>
    <w:p w:rsidR="00812EE5" w:rsidRPr="00AD50A1" w:rsidRDefault="00812EE5" w:rsidP="00812EE5">
      <w:pPr>
        <w:ind w:left="567"/>
        <w:rPr>
          <w:szCs w:val="20"/>
        </w:rPr>
      </w:pPr>
    </w:p>
    <w:p w:rsidR="00812EE5" w:rsidRPr="001D41C6" w:rsidRDefault="001D41C6" w:rsidP="001D41C6">
      <w:pPr>
        <w:jc w:val="both"/>
        <w:rPr>
          <w:b/>
          <w:bCs/>
          <w:i/>
          <w:iCs/>
          <w:szCs w:val="20"/>
        </w:rPr>
      </w:pPr>
      <w:bookmarkStart w:id="11" w:name="_Toc194299066"/>
      <w:bookmarkStart w:id="12" w:name="_Toc205370079"/>
      <w:r w:rsidRPr="001D41C6">
        <w:rPr>
          <w:i/>
          <w:szCs w:val="20"/>
        </w:rPr>
        <w:t>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1D41C6" w:rsidRDefault="001D41C6" w:rsidP="006711A3">
      <w:pPr>
        <w:jc w:val="both"/>
        <w:rPr>
          <w:i/>
          <w:szCs w:val="20"/>
        </w:rPr>
      </w:pPr>
    </w:p>
    <w:p w:rsidR="005B3B70" w:rsidRDefault="005B3B70" w:rsidP="005B3B70">
      <w:pPr>
        <w:jc w:val="both"/>
        <w:rPr>
          <w:i/>
          <w:szCs w:val="20"/>
        </w:rPr>
      </w:pPr>
      <w:r w:rsidRPr="005B3B70">
        <w:rPr>
          <w:i/>
          <w:szCs w:val="20"/>
        </w:rPr>
        <w:t xml:space="preserve">‘processing’ </w:t>
      </w:r>
      <w:r w:rsidRPr="005B3B70">
        <w:rPr>
          <w:szCs w:val="20"/>
        </w:rPr>
        <w:t>means</w:t>
      </w:r>
      <w:r>
        <w:rPr>
          <w:i/>
          <w:szCs w:val="20"/>
        </w:rPr>
        <w:t>:</w:t>
      </w:r>
    </w:p>
    <w:p w:rsidR="005B3B70" w:rsidRDefault="005B3B70" w:rsidP="005B3B70">
      <w:pPr>
        <w:jc w:val="both"/>
        <w:rPr>
          <w:i/>
          <w:szCs w:val="20"/>
        </w:rPr>
      </w:pPr>
    </w:p>
    <w:p w:rsidR="005B3B70" w:rsidRDefault="005B3B70" w:rsidP="005B3B70">
      <w:pPr>
        <w:jc w:val="both"/>
        <w:rPr>
          <w:i/>
          <w:szCs w:val="20"/>
        </w:rPr>
      </w:pPr>
      <w:r w:rsidRPr="005B3B70">
        <w:rPr>
          <w:i/>
          <w:szCs w:val="20"/>
        </w:rPr>
        <w:t>any operation or set of operations which is performed on personal data or on sets of personal</w:t>
      </w:r>
      <w:r>
        <w:rPr>
          <w:i/>
          <w:szCs w:val="20"/>
        </w:rPr>
        <w:t xml:space="preserve"> </w:t>
      </w:r>
      <w:r w:rsidRPr="005B3B70">
        <w:rPr>
          <w:i/>
          <w:szCs w:val="20"/>
        </w:rPr>
        <w:t>data, whether or not by automated means, such as collection, recording, organisation, structuring, storage,</w:t>
      </w:r>
      <w:r>
        <w:rPr>
          <w:i/>
          <w:szCs w:val="20"/>
        </w:rPr>
        <w:t xml:space="preserve"> </w:t>
      </w:r>
      <w:r w:rsidRPr="005B3B70">
        <w:rPr>
          <w:i/>
          <w:szCs w:val="20"/>
        </w:rPr>
        <w:t>adaptation or alteration, retrieval, consultation, use, disclosure by transmission, dissemination or otherwise making</w:t>
      </w:r>
      <w:r>
        <w:rPr>
          <w:i/>
          <w:szCs w:val="20"/>
        </w:rPr>
        <w:t xml:space="preserve"> </w:t>
      </w:r>
      <w:r w:rsidRPr="005B3B70">
        <w:rPr>
          <w:i/>
          <w:szCs w:val="20"/>
        </w:rPr>
        <w:t>available, alignment or combination, restriction, erasure or destruction;</w:t>
      </w:r>
    </w:p>
    <w:p w:rsidR="005B3B70" w:rsidRDefault="005B3B70" w:rsidP="006711A3">
      <w:pPr>
        <w:jc w:val="both"/>
        <w:rPr>
          <w:i/>
          <w:szCs w:val="20"/>
        </w:rPr>
      </w:pPr>
    </w:p>
    <w:p w:rsidR="005B3B70" w:rsidRDefault="005B3B70" w:rsidP="005B3B70">
      <w:pPr>
        <w:jc w:val="both"/>
        <w:rPr>
          <w:i/>
          <w:szCs w:val="20"/>
        </w:rPr>
      </w:pPr>
      <w:r w:rsidRPr="005B3B70">
        <w:rPr>
          <w:i/>
          <w:szCs w:val="20"/>
        </w:rPr>
        <w:t xml:space="preserve">‘controller’ </w:t>
      </w:r>
      <w:r w:rsidRPr="005B3B70">
        <w:rPr>
          <w:szCs w:val="20"/>
        </w:rPr>
        <w:t>means</w:t>
      </w:r>
      <w:r>
        <w:rPr>
          <w:i/>
          <w:szCs w:val="20"/>
        </w:rPr>
        <w:t>:</w:t>
      </w:r>
    </w:p>
    <w:p w:rsidR="005B3B70" w:rsidRDefault="005B3B70" w:rsidP="005B3B70">
      <w:pPr>
        <w:jc w:val="both"/>
        <w:rPr>
          <w:i/>
          <w:szCs w:val="20"/>
        </w:rPr>
      </w:pPr>
    </w:p>
    <w:p w:rsidR="005B3B70" w:rsidRDefault="005B3B70" w:rsidP="005B3B70">
      <w:pPr>
        <w:jc w:val="both"/>
        <w:rPr>
          <w:i/>
          <w:szCs w:val="20"/>
        </w:rPr>
      </w:pPr>
      <w:r w:rsidRPr="005B3B70">
        <w:rPr>
          <w:i/>
          <w:szCs w:val="20"/>
        </w:rPr>
        <w:lastRenderedPageBreak/>
        <w:t>the natural or legal person, public authority, agency or other body which, alone or jointly with</w:t>
      </w:r>
      <w:r>
        <w:rPr>
          <w:i/>
          <w:szCs w:val="20"/>
        </w:rPr>
        <w:t xml:space="preserve"> </w:t>
      </w:r>
      <w:r w:rsidRPr="005B3B70">
        <w:rPr>
          <w:i/>
          <w:szCs w:val="20"/>
        </w:rPr>
        <w:t>others, determines the purposes and means of the processing of personal data; where the purposes and means of</w:t>
      </w:r>
      <w:r>
        <w:rPr>
          <w:i/>
          <w:szCs w:val="20"/>
        </w:rPr>
        <w:t xml:space="preserve"> </w:t>
      </w:r>
      <w:r w:rsidRPr="005B3B70">
        <w:rPr>
          <w:i/>
          <w:szCs w:val="20"/>
        </w:rPr>
        <w:t>such processing are determined by Union or Member State law, the controller or the specific criteria for its</w:t>
      </w:r>
      <w:r>
        <w:rPr>
          <w:i/>
          <w:szCs w:val="20"/>
        </w:rPr>
        <w:t xml:space="preserve"> </w:t>
      </w:r>
      <w:r w:rsidRPr="005B3B70">
        <w:rPr>
          <w:i/>
          <w:szCs w:val="20"/>
        </w:rPr>
        <w:t>nomination may be provided for by Union or Member State law;</w:t>
      </w:r>
    </w:p>
    <w:p w:rsidR="005B3B70" w:rsidRDefault="005B3B70" w:rsidP="006711A3">
      <w:pPr>
        <w:jc w:val="both"/>
        <w:rPr>
          <w:i/>
          <w:szCs w:val="20"/>
        </w:rPr>
      </w:pPr>
    </w:p>
    <w:p w:rsidR="005B3B70" w:rsidRDefault="005B3B70" w:rsidP="006711A3">
      <w:pPr>
        <w:jc w:val="both"/>
        <w:rPr>
          <w:i/>
          <w:szCs w:val="20"/>
        </w:rPr>
      </w:pPr>
    </w:p>
    <w:p w:rsidR="00446CB2" w:rsidRPr="00A74FE2" w:rsidRDefault="00446CB2" w:rsidP="00446CB2">
      <w:pPr>
        <w:ind w:left="349" w:right="623"/>
        <w:rPr>
          <w:szCs w:val="20"/>
          <w:lang w:val="en"/>
        </w:rPr>
      </w:pPr>
    </w:p>
    <w:bookmarkEnd w:id="11"/>
    <w:bookmarkEnd w:id="12"/>
    <w:p w:rsidR="00812EE5" w:rsidRPr="00812EE5" w:rsidRDefault="002A6E27" w:rsidP="00446CB2">
      <w:pPr>
        <w:pStyle w:val="Heading2"/>
        <w:rPr>
          <w:sz w:val="22"/>
          <w:szCs w:val="20"/>
        </w:rPr>
      </w:pPr>
      <w:r>
        <w:t>Principles relating to processing of personal data</w:t>
      </w:r>
    </w:p>
    <w:p w:rsidR="00446CB2" w:rsidRDefault="00446CB2" w:rsidP="00446CB2">
      <w:pPr>
        <w:rPr>
          <w:szCs w:val="20"/>
        </w:rPr>
      </w:pPr>
    </w:p>
    <w:p w:rsidR="005B3B70" w:rsidRPr="005B3B70" w:rsidRDefault="002A6E27" w:rsidP="005B3B70">
      <w:pPr>
        <w:jc w:val="both"/>
        <w:rPr>
          <w:szCs w:val="20"/>
        </w:rPr>
      </w:pPr>
      <w:r>
        <w:rPr>
          <w:szCs w:val="20"/>
        </w:rPr>
        <w:t xml:space="preserve">As per GDPR regulation, 2016 version, </w:t>
      </w:r>
      <w:r w:rsidR="0024264B">
        <w:rPr>
          <w:szCs w:val="20"/>
        </w:rPr>
        <w:t>there are 7 principles involving personal data and how companies should treat these aspects. These are as follows, as per Chapter II, Article 5.1</w:t>
      </w:r>
    </w:p>
    <w:p w:rsidR="005B3B70" w:rsidRDefault="005B3B70" w:rsidP="00446CB2">
      <w:pPr>
        <w:rPr>
          <w:szCs w:val="20"/>
        </w:rPr>
      </w:pPr>
    </w:p>
    <w:p w:rsidR="00446CB2" w:rsidRPr="005B3B70" w:rsidRDefault="00446CB2" w:rsidP="00446CB2">
      <w:pPr>
        <w:pStyle w:val="ListParagraph"/>
        <w:numPr>
          <w:ilvl w:val="0"/>
          <w:numId w:val="33"/>
        </w:numPr>
        <w:ind w:hanging="720"/>
        <w:rPr>
          <w:i/>
          <w:szCs w:val="20"/>
        </w:rPr>
      </w:pPr>
      <w:r w:rsidRPr="005B3B70">
        <w:rPr>
          <w:i/>
          <w:szCs w:val="20"/>
        </w:rPr>
        <w:t>Personal data shall be:</w:t>
      </w:r>
    </w:p>
    <w:p w:rsidR="00446CB2" w:rsidRPr="005B3B70" w:rsidRDefault="00446CB2" w:rsidP="00446CB2">
      <w:pPr>
        <w:ind w:left="360"/>
        <w:rPr>
          <w:i/>
          <w:szCs w:val="20"/>
        </w:rPr>
      </w:pPr>
    </w:p>
    <w:p w:rsidR="00446CB2" w:rsidRPr="005B3B70" w:rsidRDefault="00446CB2" w:rsidP="00446CB2">
      <w:pPr>
        <w:jc w:val="both"/>
        <w:rPr>
          <w:i/>
          <w:szCs w:val="20"/>
        </w:rPr>
      </w:pPr>
      <w:r w:rsidRPr="005B3B70">
        <w:rPr>
          <w:i/>
          <w:szCs w:val="20"/>
        </w:rPr>
        <w:t>(a) processed lawfully, fairly and in a transparent manner in relation to the data subject (‘lawfulness, fairness and transparency’);</w:t>
      </w:r>
    </w:p>
    <w:p w:rsidR="00446CB2" w:rsidRPr="005B3B70" w:rsidRDefault="00446CB2" w:rsidP="00446CB2">
      <w:pPr>
        <w:jc w:val="both"/>
        <w:rPr>
          <w:i/>
          <w:szCs w:val="20"/>
        </w:rPr>
      </w:pPr>
    </w:p>
    <w:p w:rsidR="00446CB2" w:rsidRPr="005B3B70" w:rsidRDefault="00446CB2" w:rsidP="00446CB2">
      <w:pPr>
        <w:jc w:val="both"/>
        <w:rPr>
          <w:i/>
          <w:szCs w:val="20"/>
        </w:rPr>
      </w:pPr>
      <w:r w:rsidRPr="005B3B70">
        <w:rPr>
          <w:i/>
          <w:szCs w:val="20"/>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w:t>
      </w:r>
    </w:p>
    <w:p w:rsidR="00446CB2" w:rsidRPr="005B3B70" w:rsidRDefault="00446CB2" w:rsidP="00446CB2">
      <w:pPr>
        <w:jc w:val="both"/>
        <w:rPr>
          <w:i/>
          <w:szCs w:val="20"/>
        </w:rPr>
      </w:pPr>
    </w:p>
    <w:p w:rsidR="00446CB2" w:rsidRPr="005B3B70" w:rsidRDefault="00446CB2" w:rsidP="00446CB2">
      <w:pPr>
        <w:jc w:val="both"/>
        <w:rPr>
          <w:i/>
          <w:szCs w:val="20"/>
        </w:rPr>
      </w:pPr>
      <w:r w:rsidRPr="005B3B70">
        <w:rPr>
          <w:i/>
          <w:szCs w:val="20"/>
        </w:rPr>
        <w:t>(c) adequate, relevant and limited to what is necessary in relation to the purposes for which they are processed (‘data minimisation’);</w:t>
      </w:r>
    </w:p>
    <w:p w:rsidR="00446CB2" w:rsidRPr="005B3B70" w:rsidRDefault="00446CB2" w:rsidP="00446CB2">
      <w:pPr>
        <w:jc w:val="both"/>
        <w:rPr>
          <w:i/>
          <w:szCs w:val="20"/>
        </w:rPr>
      </w:pPr>
    </w:p>
    <w:p w:rsidR="00446CB2" w:rsidRPr="005B3B70" w:rsidRDefault="00446CB2" w:rsidP="00446CB2">
      <w:pPr>
        <w:jc w:val="both"/>
        <w:rPr>
          <w:i/>
          <w:szCs w:val="20"/>
        </w:rPr>
      </w:pPr>
      <w:r w:rsidRPr="005B3B70">
        <w:rPr>
          <w:i/>
          <w:szCs w:val="20"/>
        </w:rPr>
        <w:t>(d) accurate and, where necessary, kept up to date; every reasonable step must be taken to ensure that personal data that are inaccurate, having regard to the purposes for which they are processed, are erased or rectified without delay (‘accuracy’);</w:t>
      </w:r>
    </w:p>
    <w:p w:rsidR="00446CB2" w:rsidRPr="005B3B70" w:rsidRDefault="00446CB2" w:rsidP="00446CB2">
      <w:pPr>
        <w:jc w:val="both"/>
        <w:rPr>
          <w:i/>
          <w:szCs w:val="20"/>
        </w:rPr>
      </w:pPr>
    </w:p>
    <w:p w:rsidR="00446CB2" w:rsidRPr="005B3B70" w:rsidRDefault="00446CB2" w:rsidP="00446CB2">
      <w:pPr>
        <w:jc w:val="both"/>
        <w:rPr>
          <w:i/>
        </w:rPr>
      </w:pPr>
      <w:r w:rsidRPr="005B3B70">
        <w:rPr>
          <w:i/>
          <w:szCs w:val="20"/>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w:t>
      </w:r>
      <w:r w:rsidRPr="005B3B70">
        <w:rPr>
          <w:i/>
        </w:rPr>
        <w:t>purposes or statistical purposes in accordance with Article 89(1) subject to implementation of the appropriate technical and organisational measures required by this Regulation in order to safeguard the rights and freedoms of the data subject (‘storage limitation’);</w:t>
      </w:r>
    </w:p>
    <w:p w:rsidR="00446CB2" w:rsidRPr="005B3B70" w:rsidRDefault="00446CB2" w:rsidP="00446CB2">
      <w:pPr>
        <w:jc w:val="both"/>
        <w:rPr>
          <w:i/>
        </w:rPr>
      </w:pPr>
    </w:p>
    <w:p w:rsidR="00446CB2" w:rsidRPr="005B3B70" w:rsidRDefault="00446CB2" w:rsidP="00446CB2">
      <w:pPr>
        <w:jc w:val="both"/>
        <w:rPr>
          <w:i/>
        </w:rPr>
      </w:pPr>
      <w:r w:rsidRPr="005B3B70">
        <w:rPr>
          <w:i/>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rsidR="00446CB2" w:rsidRPr="005B3B70" w:rsidRDefault="00446CB2" w:rsidP="00446CB2">
      <w:pPr>
        <w:jc w:val="both"/>
        <w:rPr>
          <w:i/>
        </w:rPr>
      </w:pPr>
    </w:p>
    <w:p w:rsidR="00812EE5" w:rsidRPr="005B3B70" w:rsidRDefault="00446CB2" w:rsidP="00446CB2">
      <w:pPr>
        <w:pStyle w:val="ListParagraph"/>
        <w:numPr>
          <w:ilvl w:val="0"/>
          <w:numId w:val="33"/>
        </w:numPr>
        <w:ind w:hanging="720"/>
        <w:jc w:val="both"/>
        <w:rPr>
          <w:i/>
        </w:rPr>
      </w:pPr>
      <w:r w:rsidRPr="005B3B70">
        <w:rPr>
          <w:i/>
        </w:rPr>
        <w:t>The controller shall be responsible for, and be able to demonstrate compliance with, paragraph 1 (‘accountability’).</w:t>
      </w:r>
    </w:p>
    <w:p w:rsidR="00446CB2" w:rsidRDefault="00446CB2" w:rsidP="00446CB2">
      <w:pPr>
        <w:ind w:left="360"/>
        <w:rPr>
          <w:szCs w:val="20"/>
        </w:rPr>
      </w:pPr>
    </w:p>
    <w:p w:rsidR="00097587" w:rsidRDefault="00097587" w:rsidP="00097587">
      <w:pPr>
        <w:rPr>
          <w:rFonts w:cs="Arial"/>
        </w:rPr>
      </w:pPr>
    </w:p>
    <w:p w:rsidR="0024264B" w:rsidRDefault="0024264B" w:rsidP="00097587">
      <w:pPr>
        <w:jc w:val="both"/>
        <w:rPr>
          <w:rFonts w:cs="Arial"/>
        </w:rPr>
      </w:pPr>
      <w:proofErr w:type="spellStart"/>
      <w:r w:rsidRPr="0024264B">
        <w:rPr>
          <w:rFonts w:cs="Arial"/>
          <w:b/>
          <w:i/>
          <w:u w:val="single"/>
        </w:rPr>
        <w:t>Defradar</w:t>
      </w:r>
      <w:proofErr w:type="spellEnd"/>
      <w:r w:rsidRPr="0024264B">
        <w:rPr>
          <w:rFonts w:cs="Arial"/>
          <w:b/>
          <w:i/>
          <w:u w:val="single"/>
        </w:rPr>
        <w:t xml:space="preserve"> Technologies</w:t>
      </w:r>
      <w:r>
        <w:rPr>
          <w:rFonts w:cs="Arial"/>
        </w:rPr>
        <w:t xml:space="preserve"> complies with these principles by using business workflows based on technology that use metadata in order to search, discover, classify, label, protect and apply actions at all levels of personal data. Also, Operational Security Procedures defined support and provide the specific guidelines for all teams involved including IT Support, Customer Support or Line of Business</w:t>
      </w:r>
    </w:p>
    <w:p w:rsidR="00031BB1" w:rsidRDefault="00031BB1" w:rsidP="00031BB1">
      <w:pPr>
        <w:rPr>
          <w:szCs w:val="20"/>
        </w:rPr>
      </w:pPr>
    </w:p>
    <w:p w:rsidR="00031BB1" w:rsidRDefault="00031BB1" w:rsidP="00031BB1">
      <w:pPr>
        <w:pStyle w:val="Heading2"/>
      </w:pPr>
      <w:r>
        <w:t>Our staff responsibilities</w:t>
      </w:r>
    </w:p>
    <w:p w:rsidR="00031BB1" w:rsidRPr="00A329F1" w:rsidRDefault="00031BB1" w:rsidP="00031BB1">
      <w:pPr>
        <w:autoSpaceDE w:val="0"/>
        <w:autoSpaceDN w:val="0"/>
        <w:adjustRightInd w:val="0"/>
        <w:rPr>
          <w:b/>
          <w:bCs/>
          <w:szCs w:val="32"/>
        </w:rPr>
      </w:pPr>
    </w:p>
    <w:p w:rsidR="00031BB1" w:rsidRPr="00031BB1" w:rsidRDefault="00031BB1" w:rsidP="00031BB1">
      <w:pPr>
        <w:autoSpaceDE w:val="0"/>
        <w:autoSpaceDN w:val="0"/>
        <w:adjustRightInd w:val="0"/>
        <w:rPr>
          <w:rFonts w:cs="Arial"/>
        </w:rPr>
      </w:pPr>
      <w:r w:rsidRPr="00031BB1">
        <w:rPr>
          <w:rFonts w:cs="Arial"/>
        </w:rPr>
        <w:t xml:space="preserve">Any staff member of </w:t>
      </w:r>
      <w:proofErr w:type="spellStart"/>
      <w:r w:rsidRPr="00031BB1">
        <w:rPr>
          <w:rFonts w:cs="Arial"/>
          <w:b/>
          <w:i/>
          <w:u w:val="single"/>
        </w:rPr>
        <w:t>Defradar</w:t>
      </w:r>
      <w:proofErr w:type="spellEnd"/>
      <w:r w:rsidRPr="00031BB1">
        <w:rPr>
          <w:rFonts w:cs="Arial"/>
          <w:b/>
          <w:i/>
          <w:u w:val="single"/>
        </w:rPr>
        <w:t xml:space="preserve"> Technologies</w:t>
      </w:r>
      <w:r w:rsidRPr="00031BB1">
        <w:rPr>
          <w:rFonts w:cs="Arial"/>
        </w:rPr>
        <w:t xml:space="preserve"> who is involved in the collection, storage or processing of personal data has responsibilities under the </w:t>
      </w:r>
      <w:proofErr w:type="gramStart"/>
      <w:r w:rsidRPr="00031BB1">
        <w:rPr>
          <w:rFonts w:cs="Arial"/>
        </w:rPr>
        <w:t>legislation..</w:t>
      </w:r>
      <w:proofErr w:type="gramEnd"/>
    </w:p>
    <w:p w:rsidR="00031BB1" w:rsidRPr="00031BB1" w:rsidRDefault="00031BB1" w:rsidP="00031BB1">
      <w:pPr>
        <w:autoSpaceDE w:val="0"/>
        <w:autoSpaceDN w:val="0"/>
        <w:adjustRightInd w:val="0"/>
        <w:rPr>
          <w:rFonts w:cs="Arial"/>
        </w:rPr>
      </w:pPr>
    </w:p>
    <w:p w:rsidR="00031BB1" w:rsidRPr="00031BB1" w:rsidRDefault="00031BB1" w:rsidP="00031BB1">
      <w:pPr>
        <w:autoSpaceDE w:val="0"/>
        <w:autoSpaceDN w:val="0"/>
        <w:adjustRightInd w:val="0"/>
        <w:rPr>
          <w:rFonts w:cs="Arial"/>
        </w:rPr>
      </w:pPr>
      <w:r w:rsidRPr="00031BB1">
        <w:rPr>
          <w:rFonts w:cs="Arial"/>
        </w:rPr>
        <w:t>Any staff member involved in the processing/storing of personal data should make sure;</w:t>
      </w:r>
    </w:p>
    <w:p w:rsidR="00031BB1" w:rsidRPr="00A329F1" w:rsidRDefault="00031BB1" w:rsidP="00031BB1">
      <w:pPr>
        <w:autoSpaceDE w:val="0"/>
        <w:autoSpaceDN w:val="0"/>
        <w:adjustRightInd w:val="0"/>
        <w:ind w:left="720"/>
      </w:pPr>
    </w:p>
    <w:p w:rsidR="00031BB1" w:rsidRPr="00A329F1" w:rsidRDefault="00031BB1" w:rsidP="00031BB1">
      <w:pPr>
        <w:numPr>
          <w:ilvl w:val="0"/>
          <w:numId w:val="38"/>
        </w:numPr>
        <w:autoSpaceDE w:val="0"/>
        <w:autoSpaceDN w:val="0"/>
        <w:adjustRightInd w:val="0"/>
      </w:pPr>
      <w:r w:rsidRPr="00A329F1">
        <w:t>to obtain and process personal data fairly.</w:t>
      </w:r>
    </w:p>
    <w:p w:rsidR="00031BB1" w:rsidRPr="00A329F1" w:rsidRDefault="00031BB1" w:rsidP="00031BB1">
      <w:pPr>
        <w:numPr>
          <w:ilvl w:val="0"/>
          <w:numId w:val="38"/>
        </w:numPr>
        <w:autoSpaceDE w:val="0"/>
        <w:autoSpaceDN w:val="0"/>
        <w:adjustRightInd w:val="0"/>
      </w:pPr>
      <w:r w:rsidRPr="00A329F1">
        <w:t>to keep such data only for explicit and lawful purposes.</w:t>
      </w:r>
    </w:p>
    <w:p w:rsidR="00031BB1" w:rsidRPr="00A329F1" w:rsidRDefault="00031BB1" w:rsidP="00031BB1">
      <w:pPr>
        <w:numPr>
          <w:ilvl w:val="0"/>
          <w:numId w:val="38"/>
        </w:numPr>
        <w:autoSpaceDE w:val="0"/>
        <w:autoSpaceDN w:val="0"/>
        <w:adjustRightInd w:val="0"/>
      </w:pPr>
      <w:r w:rsidRPr="00A329F1">
        <w:t>to disclose such data only in ways compatible with these purposes</w:t>
      </w:r>
    </w:p>
    <w:p w:rsidR="00031BB1" w:rsidRPr="00A329F1" w:rsidRDefault="00031BB1" w:rsidP="00031BB1">
      <w:pPr>
        <w:numPr>
          <w:ilvl w:val="0"/>
          <w:numId w:val="38"/>
        </w:numPr>
        <w:autoSpaceDE w:val="0"/>
        <w:autoSpaceDN w:val="0"/>
        <w:adjustRightInd w:val="0"/>
      </w:pPr>
      <w:r w:rsidRPr="00A329F1">
        <w:t>to keep such data safe and secure.</w:t>
      </w:r>
    </w:p>
    <w:p w:rsidR="00031BB1" w:rsidRPr="00A329F1" w:rsidRDefault="00031BB1" w:rsidP="00031BB1">
      <w:pPr>
        <w:numPr>
          <w:ilvl w:val="0"/>
          <w:numId w:val="38"/>
        </w:numPr>
        <w:autoSpaceDE w:val="0"/>
        <w:autoSpaceDN w:val="0"/>
        <w:adjustRightInd w:val="0"/>
      </w:pPr>
      <w:r w:rsidRPr="00A329F1">
        <w:t>to keep such data accurate, complete and up-to-date.</w:t>
      </w:r>
    </w:p>
    <w:p w:rsidR="00031BB1" w:rsidRPr="00A329F1" w:rsidRDefault="00031BB1" w:rsidP="00031BB1">
      <w:pPr>
        <w:numPr>
          <w:ilvl w:val="0"/>
          <w:numId w:val="38"/>
        </w:numPr>
        <w:autoSpaceDE w:val="0"/>
        <w:autoSpaceDN w:val="0"/>
        <w:adjustRightInd w:val="0"/>
      </w:pPr>
      <w:r w:rsidRPr="00A329F1">
        <w:t>to ensure that such data is adequate, relevant and not excessive.</w:t>
      </w:r>
    </w:p>
    <w:p w:rsidR="00031BB1" w:rsidRPr="00A329F1" w:rsidRDefault="00031BB1" w:rsidP="00031BB1">
      <w:pPr>
        <w:numPr>
          <w:ilvl w:val="0"/>
          <w:numId w:val="38"/>
        </w:numPr>
        <w:autoSpaceDE w:val="0"/>
        <w:autoSpaceDN w:val="0"/>
        <w:adjustRightInd w:val="0"/>
      </w:pPr>
      <w:r w:rsidRPr="00A329F1">
        <w:t>to retain such data for no longer than is necessary for the explicit purpose.</w:t>
      </w:r>
    </w:p>
    <w:p w:rsidR="00031BB1" w:rsidRPr="00A329F1" w:rsidRDefault="00031BB1" w:rsidP="00031BB1">
      <w:pPr>
        <w:autoSpaceDE w:val="0"/>
        <w:autoSpaceDN w:val="0"/>
        <w:adjustRightInd w:val="0"/>
      </w:pPr>
    </w:p>
    <w:p w:rsidR="00031BB1" w:rsidRDefault="00031BB1" w:rsidP="00031BB1">
      <w:pPr>
        <w:rPr>
          <w:szCs w:val="20"/>
        </w:rPr>
      </w:pPr>
      <w:r w:rsidRPr="00A329F1">
        <w:rPr>
          <w:u w:val="single"/>
        </w:rPr>
        <w:t>Any data access requests received should be forwarded immediately to the Manager, Compliance &amp; Information Management.</w:t>
      </w:r>
      <w:r w:rsidRPr="00A329F1">
        <w:t xml:space="preserve">  </w:t>
      </w:r>
    </w:p>
    <w:p w:rsidR="00097587" w:rsidRDefault="00097587" w:rsidP="00446CB2">
      <w:pPr>
        <w:ind w:left="360"/>
        <w:rPr>
          <w:szCs w:val="20"/>
        </w:rPr>
      </w:pPr>
    </w:p>
    <w:p w:rsidR="00812EE5" w:rsidRDefault="00A74FE2" w:rsidP="00A74FE2">
      <w:pPr>
        <w:pStyle w:val="Heading2"/>
      </w:pPr>
      <w:bookmarkStart w:id="13" w:name="_Toc492892426"/>
      <w:r>
        <w:t>Rights of the Individual</w:t>
      </w:r>
      <w:bookmarkEnd w:id="13"/>
    </w:p>
    <w:p w:rsidR="00A74FE2" w:rsidRPr="00812EE5" w:rsidRDefault="00A74FE2" w:rsidP="00812EE5">
      <w:pPr>
        <w:rPr>
          <w:szCs w:val="20"/>
        </w:rPr>
      </w:pPr>
    </w:p>
    <w:p w:rsidR="00812EE5" w:rsidRPr="00AD50A1" w:rsidRDefault="00812EE5" w:rsidP="00812EE5">
      <w:pPr>
        <w:rPr>
          <w:szCs w:val="20"/>
        </w:rPr>
      </w:pPr>
      <w:r w:rsidRPr="00AD50A1">
        <w:rPr>
          <w:szCs w:val="20"/>
        </w:rPr>
        <w:t xml:space="preserve">The data subject also has rights under the </w:t>
      </w:r>
      <w:r w:rsidR="00446CB2">
        <w:rPr>
          <w:szCs w:val="20"/>
        </w:rPr>
        <w:t>GDPR</w:t>
      </w:r>
      <w:r w:rsidRPr="00AD50A1">
        <w:rPr>
          <w:szCs w:val="20"/>
        </w:rPr>
        <w:t>. These consist of:</w:t>
      </w:r>
    </w:p>
    <w:p w:rsidR="00812EE5" w:rsidRPr="00AD50A1" w:rsidRDefault="00812EE5" w:rsidP="00812EE5">
      <w:pPr>
        <w:rPr>
          <w:szCs w:val="20"/>
        </w:rPr>
      </w:pPr>
    </w:p>
    <w:p w:rsidR="00097587" w:rsidRPr="00097587" w:rsidRDefault="00097587" w:rsidP="00097587">
      <w:pPr>
        <w:pStyle w:val="ListParagraph"/>
        <w:numPr>
          <w:ilvl w:val="0"/>
          <w:numId w:val="35"/>
        </w:numPr>
      </w:pPr>
      <w:r w:rsidRPr="00097587">
        <w:t>The right to be informed</w:t>
      </w:r>
    </w:p>
    <w:p w:rsidR="00097587" w:rsidRPr="00097587" w:rsidRDefault="00097587" w:rsidP="00097587">
      <w:pPr>
        <w:pStyle w:val="ListParagraph"/>
        <w:numPr>
          <w:ilvl w:val="0"/>
          <w:numId w:val="35"/>
        </w:numPr>
      </w:pPr>
      <w:r w:rsidRPr="00097587">
        <w:t>The right of access</w:t>
      </w:r>
    </w:p>
    <w:p w:rsidR="00097587" w:rsidRPr="00097587" w:rsidRDefault="00097587" w:rsidP="00097587">
      <w:pPr>
        <w:pStyle w:val="ListParagraph"/>
        <w:numPr>
          <w:ilvl w:val="0"/>
          <w:numId w:val="35"/>
        </w:numPr>
      </w:pPr>
      <w:r w:rsidRPr="00097587">
        <w:t>The right to rectification</w:t>
      </w:r>
    </w:p>
    <w:p w:rsidR="00097587" w:rsidRPr="00097587" w:rsidRDefault="00097587" w:rsidP="00097587">
      <w:pPr>
        <w:pStyle w:val="ListParagraph"/>
        <w:numPr>
          <w:ilvl w:val="0"/>
          <w:numId w:val="35"/>
        </w:numPr>
      </w:pPr>
      <w:r w:rsidRPr="00097587">
        <w:t>The right to erasure</w:t>
      </w:r>
    </w:p>
    <w:p w:rsidR="00097587" w:rsidRPr="00097587" w:rsidRDefault="00097587" w:rsidP="00097587">
      <w:pPr>
        <w:pStyle w:val="ListParagraph"/>
        <w:numPr>
          <w:ilvl w:val="0"/>
          <w:numId w:val="35"/>
        </w:numPr>
      </w:pPr>
      <w:r w:rsidRPr="00097587">
        <w:t>The right to restrict processing</w:t>
      </w:r>
    </w:p>
    <w:p w:rsidR="00097587" w:rsidRPr="00097587" w:rsidRDefault="00097587" w:rsidP="00097587">
      <w:pPr>
        <w:pStyle w:val="ListParagraph"/>
        <w:numPr>
          <w:ilvl w:val="0"/>
          <w:numId w:val="35"/>
        </w:numPr>
      </w:pPr>
      <w:r w:rsidRPr="00097587">
        <w:t>The right to data portability</w:t>
      </w:r>
    </w:p>
    <w:p w:rsidR="00097587" w:rsidRPr="00097587" w:rsidRDefault="00097587" w:rsidP="00097587">
      <w:pPr>
        <w:pStyle w:val="ListParagraph"/>
        <w:numPr>
          <w:ilvl w:val="0"/>
          <w:numId w:val="35"/>
        </w:numPr>
      </w:pPr>
      <w:r w:rsidRPr="00097587">
        <w:t>The right to object</w:t>
      </w:r>
    </w:p>
    <w:p w:rsidR="00812EE5" w:rsidRDefault="00097587" w:rsidP="00097587">
      <w:pPr>
        <w:pStyle w:val="ListParagraph"/>
        <w:numPr>
          <w:ilvl w:val="0"/>
          <w:numId w:val="35"/>
        </w:numPr>
      </w:pPr>
      <w:r w:rsidRPr="00097587">
        <w:t>Rights in relation to automated decision making and profiling.</w:t>
      </w:r>
    </w:p>
    <w:p w:rsidR="00097587" w:rsidRDefault="00097587" w:rsidP="00097587"/>
    <w:p w:rsidR="00097587" w:rsidRDefault="00860E4F" w:rsidP="00860E4F">
      <w:pPr>
        <w:jc w:val="both"/>
        <w:rPr>
          <w:rFonts w:cs="Arial"/>
        </w:rPr>
      </w:pPr>
      <w:r w:rsidRPr="00860E4F">
        <w:t xml:space="preserve">Each of these rights must be supported by appropriate procedures within </w:t>
      </w:r>
      <w:proofErr w:type="spellStart"/>
      <w:r w:rsidR="00F331DD">
        <w:rPr>
          <w:rFonts w:cs="Arial"/>
        </w:rPr>
        <w:t>Defradar</w:t>
      </w:r>
      <w:proofErr w:type="spellEnd"/>
      <w:r w:rsidR="00F331DD">
        <w:rPr>
          <w:rFonts w:cs="Arial"/>
        </w:rPr>
        <w:t xml:space="preserve"> Technologies </w:t>
      </w:r>
      <w:r w:rsidRPr="00860E4F">
        <w:rPr>
          <w:rFonts w:cs="Arial"/>
        </w:rPr>
        <w:t xml:space="preserve">that </w:t>
      </w:r>
      <w:r>
        <w:rPr>
          <w:rFonts w:cs="Arial"/>
        </w:rPr>
        <w:t xml:space="preserve">allow the required action to be taken within the timescales stated in the GDPR. </w:t>
      </w:r>
    </w:p>
    <w:p w:rsidR="00860E4F" w:rsidRDefault="00860E4F" w:rsidP="00860E4F">
      <w:pPr>
        <w:jc w:val="both"/>
        <w:rPr>
          <w:rFonts w:cs="Arial"/>
        </w:rPr>
      </w:pPr>
    </w:p>
    <w:p w:rsidR="00860E4F" w:rsidRDefault="00860E4F" w:rsidP="00860E4F">
      <w:pPr>
        <w:jc w:val="both"/>
        <w:rPr>
          <w:rFonts w:cs="Arial"/>
        </w:rPr>
      </w:pPr>
      <w:r>
        <w:rPr>
          <w:rFonts w:cs="Arial"/>
        </w:rPr>
        <w:t xml:space="preserve">These </w:t>
      </w:r>
      <w:r w:rsidR="00726B08">
        <w:rPr>
          <w:rFonts w:cs="Arial"/>
        </w:rPr>
        <w:t>timescales are shown below:</w:t>
      </w:r>
    </w:p>
    <w:tbl>
      <w:tblPr>
        <w:tblStyle w:val="GridTable3-Accent4"/>
        <w:tblW w:w="0" w:type="auto"/>
        <w:tblLook w:val="04A0" w:firstRow="1" w:lastRow="0" w:firstColumn="1" w:lastColumn="0" w:noHBand="0" w:noVBand="1"/>
      </w:tblPr>
      <w:tblGrid>
        <w:gridCol w:w="4621"/>
        <w:gridCol w:w="4622"/>
      </w:tblGrid>
      <w:tr w:rsidR="00726B08" w:rsidTr="00726B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Pr>
          <w:p w:rsidR="00726B08" w:rsidRDefault="00726B08" w:rsidP="00860E4F">
            <w:pPr>
              <w:jc w:val="both"/>
              <w:rPr>
                <w:rFonts w:cs="Arial"/>
              </w:rPr>
            </w:pPr>
            <w:r>
              <w:rPr>
                <w:rFonts w:cs="Arial"/>
              </w:rPr>
              <w:t>Data Subject Request</w:t>
            </w:r>
          </w:p>
        </w:tc>
        <w:tc>
          <w:tcPr>
            <w:tcW w:w="4622" w:type="dxa"/>
          </w:tcPr>
          <w:p w:rsidR="00726B08" w:rsidRDefault="00726B08" w:rsidP="00860E4F">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Deadline</w:t>
            </w:r>
          </w:p>
        </w:tc>
      </w:tr>
      <w:tr w:rsidR="00726B08" w:rsidTr="00726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be informed</w:t>
            </w:r>
          </w:p>
        </w:tc>
        <w:tc>
          <w:tcPr>
            <w:tcW w:w="4622" w:type="dxa"/>
          </w:tcPr>
          <w:p w:rsidR="00726B08" w:rsidRDefault="00726B08" w:rsidP="00726B08">
            <w:pPr>
              <w:jc w:val="both"/>
              <w:cnfStyle w:val="000000100000" w:firstRow="0" w:lastRow="0" w:firstColumn="0" w:lastColumn="0" w:oddVBand="0" w:evenVBand="0" w:oddHBand="1" w:evenHBand="0" w:firstRowFirstColumn="0" w:firstRowLastColumn="0" w:lastRowFirstColumn="0" w:lastRowLastColumn="0"/>
            </w:pPr>
            <w:r>
              <w:t>When data is collected (if supplied by data subject) or within one month (if not supplied by data subject)</w:t>
            </w:r>
          </w:p>
        </w:tc>
      </w:tr>
      <w:tr w:rsidR="00726B08" w:rsidTr="00726B08">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of access</w:t>
            </w:r>
          </w:p>
        </w:tc>
        <w:tc>
          <w:tcPr>
            <w:tcW w:w="4622" w:type="dxa"/>
          </w:tcPr>
          <w:p w:rsidR="00726B08" w:rsidRDefault="00726B08" w:rsidP="00726B08">
            <w:pPr>
              <w:jc w:val="both"/>
              <w:cnfStyle w:val="000000000000" w:firstRow="0" w:lastRow="0" w:firstColumn="0" w:lastColumn="0" w:oddVBand="0" w:evenVBand="0" w:oddHBand="0" w:evenHBand="0" w:firstRowFirstColumn="0" w:firstRowLastColumn="0" w:lastRowFirstColumn="0" w:lastRowLastColumn="0"/>
            </w:pPr>
            <w:r>
              <w:t>One month</w:t>
            </w:r>
          </w:p>
        </w:tc>
      </w:tr>
      <w:tr w:rsidR="00726B08" w:rsidTr="00726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rectification</w:t>
            </w:r>
          </w:p>
        </w:tc>
        <w:tc>
          <w:tcPr>
            <w:tcW w:w="4622" w:type="dxa"/>
          </w:tcPr>
          <w:p w:rsidR="00726B08" w:rsidRDefault="00726B08" w:rsidP="00726B08">
            <w:pPr>
              <w:jc w:val="both"/>
              <w:cnfStyle w:val="000000100000" w:firstRow="0" w:lastRow="0" w:firstColumn="0" w:lastColumn="0" w:oddVBand="0" w:evenVBand="0" w:oddHBand="1" w:evenHBand="0" w:firstRowFirstColumn="0" w:firstRowLastColumn="0" w:lastRowFirstColumn="0" w:lastRowLastColumn="0"/>
            </w:pPr>
            <w:r>
              <w:t>One month</w:t>
            </w:r>
          </w:p>
        </w:tc>
      </w:tr>
      <w:tr w:rsidR="00726B08" w:rsidTr="00726B08">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erasure</w:t>
            </w:r>
          </w:p>
        </w:tc>
        <w:tc>
          <w:tcPr>
            <w:tcW w:w="4622" w:type="dxa"/>
          </w:tcPr>
          <w:p w:rsidR="00726B08" w:rsidRDefault="00726B08" w:rsidP="00726B08">
            <w:pPr>
              <w:jc w:val="both"/>
              <w:cnfStyle w:val="000000000000" w:firstRow="0" w:lastRow="0" w:firstColumn="0" w:lastColumn="0" w:oddVBand="0" w:evenVBand="0" w:oddHBand="0" w:evenHBand="0" w:firstRowFirstColumn="0" w:firstRowLastColumn="0" w:lastRowFirstColumn="0" w:lastRowLastColumn="0"/>
            </w:pPr>
            <w:r>
              <w:t>Without undue delay</w:t>
            </w:r>
          </w:p>
        </w:tc>
      </w:tr>
      <w:tr w:rsidR="00726B08" w:rsidTr="00726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restrict processing</w:t>
            </w:r>
          </w:p>
        </w:tc>
        <w:tc>
          <w:tcPr>
            <w:tcW w:w="4622" w:type="dxa"/>
          </w:tcPr>
          <w:p w:rsidR="00726B08" w:rsidRDefault="00726B08" w:rsidP="00726B08">
            <w:pPr>
              <w:jc w:val="both"/>
              <w:cnfStyle w:val="000000100000" w:firstRow="0" w:lastRow="0" w:firstColumn="0" w:lastColumn="0" w:oddVBand="0" w:evenVBand="0" w:oddHBand="1" w:evenHBand="0" w:firstRowFirstColumn="0" w:firstRowLastColumn="0" w:lastRowFirstColumn="0" w:lastRowLastColumn="0"/>
            </w:pPr>
            <w:r>
              <w:t>Without undue delay</w:t>
            </w:r>
          </w:p>
        </w:tc>
      </w:tr>
      <w:tr w:rsidR="00726B08" w:rsidTr="00726B08">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data portability</w:t>
            </w:r>
          </w:p>
        </w:tc>
        <w:tc>
          <w:tcPr>
            <w:tcW w:w="4622" w:type="dxa"/>
          </w:tcPr>
          <w:p w:rsidR="00726B08" w:rsidRDefault="00726B08" w:rsidP="00726B08">
            <w:pPr>
              <w:jc w:val="both"/>
              <w:cnfStyle w:val="000000000000" w:firstRow="0" w:lastRow="0" w:firstColumn="0" w:lastColumn="0" w:oddVBand="0" w:evenVBand="0" w:oddHBand="0" w:evenHBand="0" w:firstRowFirstColumn="0" w:firstRowLastColumn="0" w:lastRowFirstColumn="0" w:lastRowLastColumn="0"/>
            </w:pPr>
            <w:r>
              <w:t>One month</w:t>
            </w:r>
          </w:p>
        </w:tc>
      </w:tr>
      <w:tr w:rsidR="00726B08" w:rsidTr="00726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object</w:t>
            </w:r>
          </w:p>
        </w:tc>
        <w:tc>
          <w:tcPr>
            <w:tcW w:w="4622" w:type="dxa"/>
          </w:tcPr>
          <w:p w:rsidR="00726B08" w:rsidRDefault="00726B08" w:rsidP="00726B08">
            <w:pPr>
              <w:jc w:val="both"/>
              <w:cnfStyle w:val="000000100000" w:firstRow="0" w:lastRow="0" w:firstColumn="0" w:lastColumn="0" w:oddVBand="0" w:evenVBand="0" w:oddHBand="1" w:evenHBand="0" w:firstRowFirstColumn="0" w:firstRowLastColumn="0" w:lastRowFirstColumn="0" w:lastRowLastColumn="0"/>
            </w:pPr>
            <w:r>
              <w:t>On receipt of objection</w:t>
            </w:r>
          </w:p>
        </w:tc>
      </w:tr>
      <w:tr w:rsidR="00726B08" w:rsidTr="00726B08">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Rights in relation to automated decision making and profiling.</w:t>
            </w:r>
          </w:p>
        </w:tc>
        <w:tc>
          <w:tcPr>
            <w:tcW w:w="4622" w:type="dxa"/>
          </w:tcPr>
          <w:p w:rsidR="00726B08" w:rsidRDefault="00726B08" w:rsidP="00726B08">
            <w:pPr>
              <w:keepNext/>
              <w:jc w:val="both"/>
              <w:cnfStyle w:val="000000000000" w:firstRow="0" w:lastRow="0" w:firstColumn="0" w:lastColumn="0" w:oddVBand="0" w:evenVBand="0" w:oddHBand="0" w:evenHBand="0" w:firstRowFirstColumn="0" w:firstRowLastColumn="0" w:lastRowFirstColumn="0" w:lastRowLastColumn="0"/>
            </w:pPr>
            <w:r>
              <w:t>Not specified</w:t>
            </w:r>
          </w:p>
        </w:tc>
      </w:tr>
    </w:tbl>
    <w:p w:rsidR="00F61E0D" w:rsidRPr="00F61E0D" w:rsidRDefault="00F61E0D" w:rsidP="00F61E0D">
      <w:pPr>
        <w:rPr>
          <w:i/>
          <w:sz w:val="28"/>
        </w:rPr>
      </w:pPr>
    </w:p>
    <w:p w:rsidR="00FA124C" w:rsidRDefault="00FA124C" w:rsidP="00FA124C">
      <w:pPr>
        <w:pStyle w:val="Heading2"/>
      </w:pPr>
      <w:bookmarkStart w:id="14" w:name="_Toc492892427"/>
      <w:r>
        <w:t>Consent</w:t>
      </w:r>
      <w:bookmarkEnd w:id="14"/>
    </w:p>
    <w:p w:rsidR="00FA124C" w:rsidRDefault="00FA124C" w:rsidP="00097587"/>
    <w:p w:rsidR="00CE6C42" w:rsidRDefault="00B25F4A" w:rsidP="00CE6C42">
      <w:pPr>
        <w:jc w:val="both"/>
      </w:pPr>
      <w:r>
        <w:t>Unless it is necessary for a reason allowable in the GDPR, e</w:t>
      </w:r>
      <w:r w:rsidR="00CE6C42" w:rsidRPr="00CE6C42">
        <w:t>xplicit consent must be obtained from a data subject to collect and process their data. In case of children below the age of 16 parental consent must be obtained.</w:t>
      </w:r>
      <w:r w:rsidR="00CE6C42">
        <w:t xml:space="preserve"> Transparent information about our usage of their personal data must be provided to data subjects at the time that consent is obtained and their rights with </w:t>
      </w:r>
      <w:r w:rsidR="00CE6C42">
        <w:lastRenderedPageBreak/>
        <w:t>regard to their data explained, such as the right to withdraw consent. This information must be provided in an accessible form</w:t>
      </w:r>
      <w:r w:rsidR="00873540">
        <w:t>, written in clear language and free of charge.</w:t>
      </w:r>
    </w:p>
    <w:p w:rsidR="00873540" w:rsidRDefault="00873540" w:rsidP="00CE6C42">
      <w:pPr>
        <w:jc w:val="both"/>
      </w:pPr>
    </w:p>
    <w:p w:rsidR="00873540" w:rsidRPr="00CE6C42" w:rsidRDefault="005D1C20" w:rsidP="00CE6C42">
      <w:pPr>
        <w:jc w:val="both"/>
      </w:pPr>
      <w:r>
        <w:t>If the personal data are</w:t>
      </w:r>
      <w:r w:rsidR="00873540">
        <w:t xml:space="preserve"> not obtained directly from the data </w:t>
      </w:r>
      <w:proofErr w:type="gramStart"/>
      <w:r w:rsidR="00873540">
        <w:t>subject</w:t>
      </w:r>
      <w:proofErr w:type="gramEnd"/>
      <w:r w:rsidR="00873540">
        <w:t xml:space="preserve"> then this information must be provided within a reasonable period after the data are obtained and definitely within one month.</w:t>
      </w:r>
    </w:p>
    <w:p w:rsidR="00CE6C42" w:rsidRDefault="00CE6C42" w:rsidP="00097587"/>
    <w:p w:rsidR="00FA124C" w:rsidRDefault="00FA124C" w:rsidP="00FA124C">
      <w:pPr>
        <w:pStyle w:val="Heading2"/>
      </w:pPr>
      <w:bookmarkStart w:id="15" w:name="_Toc492892428"/>
      <w:r>
        <w:t>Privacy by Design</w:t>
      </w:r>
      <w:bookmarkEnd w:id="15"/>
      <w:r>
        <w:t xml:space="preserve"> </w:t>
      </w:r>
    </w:p>
    <w:p w:rsidR="00E65490" w:rsidRDefault="00E65490" w:rsidP="00097587"/>
    <w:p w:rsidR="00E65490" w:rsidRDefault="00F331DD" w:rsidP="002657AF">
      <w:pPr>
        <w:jc w:val="both"/>
        <w:rPr>
          <w:rFonts w:cs="Arial"/>
        </w:rPr>
      </w:pPr>
      <w:proofErr w:type="spellStart"/>
      <w:r>
        <w:rPr>
          <w:rFonts w:cs="Arial"/>
        </w:rPr>
        <w:t>Defradar</w:t>
      </w:r>
      <w:proofErr w:type="spellEnd"/>
      <w:r>
        <w:rPr>
          <w:rFonts w:cs="Arial"/>
        </w:rPr>
        <w:t xml:space="preserve"> Technologies </w:t>
      </w:r>
      <w:r w:rsidR="00E65490">
        <w:rPr>
          <w:rFonts w:cs="Arial"/>
        </w:rPr>
        <w:t xml:space="preserve">has adopted the principle of privacy by design and will ensure that the definition and planning of all new or significantly changed systems that </w:t>
      </w:r>
      <w:proofErr w:type="gramStart"/>
      <w:r w:rsidR="00E65490">
        <w:rPr>
          <w:rFonts w:cs="Arial"/>
        </w:rPr>
        <w:t>collect</w:t>
      </w:r>
      <w:proofErr w:type="gramEnd"/>
      <w:r w:rsidR="00E65490">
        <w:rPr>
          <w:rFonts w:cs="Arial"/>
        </w:rPr>
        <w:t xml:space="preserve"> or process personal data will be subject to due consideration of privacy issues</w:t>
      </w:r>
      <w:r w:rsidR="00112ED4">
        <w:rPr>
          <w:rFonts w:cs="Arial"/>
        </w:rPr>
        <w:t xml:space="preserve">, including the completion of one or more </w:t>
      </w:r>
      <w:r w:rsidR="008F699E">
        <w:rPr>
          <w:rFonts w:cs="Arial"/>
        </w:rPr>
        <w:t>data protection</w:t>
      </w:r>
      <w:r w:rsidR="00112ED4">
        <w:rPr>
          <w:rFonts w:cs="Arial"/>
        </w:rPr>
        <w:t xml:space="preserve"> impact assessments.</w:t>
      </w:r>
    </w:p>
    <w:p w:rsidR="00112ED4" w:rsidRDefault="00112ED4" w:rsidP="002657AF">
      <w:pPr>
        <w:jc w:val="both"/>
        <w:rPr>
          <w:rFonts w:cs="Arial"/>
        </w:rPr>
      </w:pPr>
    </w:p>
    <w:p w:rsidR="00112ED4" w:rsidRDefault="00112ED4" w:rsidP="002657AF">
      <w:pPr>
        <w:jc w:val="both"/>
      </w:pPr>
      <w:r>
        <w:t xml:space="preserve">The </w:t>
      </w:r>
      <w:r w:rsidR="008F699E">
        <w:t>data protection</w:t>
      </w:r>
      <w:r>
        <w:t xml:space="preserve"> impact assessment will include:</w:t>
      </w:r>
    </w:p>
    <w:p w:rsidR="00112ED4" w:rsidRDefault="00112ED4" w:rsidP="002657AF">
      <w:pPr>
        <w:jc w:val="both"/>
      </w:pPr>
    </w:p>
    <w:p w:rsidR="00112ED4" w:rsidRDefault="00112ED4" w:rsidP="002657AF">
      <w:pPr>
        <w:pStyle w:val="ListParagraph"/>
        <w:numPr>
          <w:ilvl w:val="0"/>
          <w:numId w:val="36"/>
        </w:numPr>
        <w:jc w:val="both"/>
      </w:pPr>
      <w:r>
        <w:t>Consideration of how personal data will be processed and for what purposes</w:t>
      </w:r>
    </w:p>
    <w:p w:rsidR="00112ED4" w:rsidRDefault="00112ED4" w:rsidP="002657AF">
      <w:pPr>
        <w:pStyle w:val="ListParagraph"/>
        <w:numPr>
          <w:ilvl w:val="0"/>
          <w:numId w:val="36"/>
        </w:numPr>
        <w:jc w:val="both"/>
      </w:pPr>
      <w:r>
        <w:t>Assessment of whether the proposed processing of personal data is both necessary and proportionate to the purpose(s)</w:t>
      </w:r>
    </w:p>
    <w:p w:rsidR="00112ED4" w:rsidRDefault="00112ED4" w:rsidP="002657AF">
      <w:pPr>
        <w:pStyle w:val="ListParagraph"/>
        <w:numPr>
          <w:ilvl w:val="0"/>
          <w:numId w:val="36"/>
        </w:numPr>
        <w:jc w:val="both"/>
      </w:pPr>
      <w:r>
        <w:t>Assessment of the risks to individuals in processing the personal data</w:t>
      </w:r>
    </w:p>
    <w:p w:rsidR="00112ED4" w:rsidRPr="00E65490" w:rsidRDefault="00112ED4" w:rsidP="002657AF">
      <w:pPr>
        <w:pStyle w:val="ListParagraph"/>
        <w:numPr>
          <w:ilvl w:val="0"/>
          <w:numId w:val="36"/>
        </w:numPr>
        <w:jc w:val="both"/>
      </w:pPr>
      <w:r>
        <w:t>What controls are necessary to address the identified risks and demonstrate compliance with legislation</w:t>
      </w:r>
    </w:p>
    <w:p w:rsidR="00E65490" w:rsidRDefault="00E65490" w:rsidP="002657AF">
      <w:pPr>
        <w:jc w:val="both"/>
      </w:pPr>
    </w:p>
    <w:p w:rsidR="00E37438" w:rsidRPr="00873540" w:rsidRDefault="00873540" w:rsidP="002657AF">
      <w:pPr>
        <w:jc w:val="both"/>
      </w:pPr>
      <w:r w:rsidRPr="00873540">
        <w:t xml:space="preserve">Use of techniques such as data minimization and pseudonymisation should be considered where applicable and appropriate. </w:t>
      </w:r>
    </w:p>
    <w:p w:rsidR="00873540" w:rsidRDefault="00873540" w:rsidP="00097587"/>
    <w:p w:rsidR="00FA124C" w:rsidRDefault="00E37438" w:rsidP="00FA124C">
      <w:pPr>
        <w:pStyle w:val="Heading2"/>
      </w:pPr>
      <w:bookmarkStart w:id="16" w:name="_Toc492892429"/>
      <w:r>
        <w:t>Transfer of Personal Data</w:t>
      </w:r>
      <w:bookmarkEnd w:id="16"/>
    </w:p>
    <w:p w:rsidR="00873540" w:rsidRDefault="00873540" w:rsidP="00097587"/>
    <w:p w:rsidR="00A349E0" w:rsidRDefault="00873540" w:rsidP="00873540">
      <w:pPr>
        <w:jc w:val="both"/>
      </w:pPr>
      <w:r>
        <w:t>T</w:t>
      </w:r>
      <w:r w:rsidRPr="00873540">
        <w:t xml:space="preserve">ransfers of personal data </w:t>
      </w:r>
      <w:r w:rsidR="00A349E0">
        <w:t xml:space="preserve">outside the European Union must be carefully reviewed prior to the transfer taking place to ensure that they fall within the limits imposed by the GDPR. This depends partly on the European Commission’s judgement as to the adequacy of the safeguards for personal data applicable in the receiving country and this may change over time. </w:t>
      </w:r>
    </w:p>
    <w:p w:rsidR="00A349E0" w:rsidRDefault="00A349E0" w:rsidP="00873540">
      <w:pPr>
        <w:jc w:val="both"/>
      </w:pPr>
    </w:p>
    <w:p w:rsidR="00E37438" w:rsidRDefault="00A349E0" w:rsidP="00873540">
      <w:pPr>
        <w:jc w:val="both"/>
      </w:pPr>
      <w:r>
        <w:t xml:space="preserve">Intra-group international data transfers </w:t>
      </w:r>
      <w:r w:rsidR="00873540" w:rsidRPr="00873540">
        <w:t xml:space="preserve">must be subject to </w:t>
      </w:r>
      <w:r>
        <w:t xml:space="preserve">legally binding </w:t>
      </w:r>
      <w:r w:rsidR="00873540" w:rsidRPr="00873540">
        <w:t xml:space="preserve">agreements </w:t>
      </w:r>
      <w:r>
        <w:t>referred to as</w:t>
      </w:r>
      <w:r w:rsidR="00873540" w:rsidRPr="00873540">
        <w:t xml:space="preserve"> </w:t>
      </w:r>
      <w:r w:rsidR="00FA124C" w:rsidRPr="00873540">
        <w:t>Binding Corporate Rules</w:t>
      </w:r>
      <w:r>
        <w:t xml:space="preserve"> (BCR) which provide enforceable rights for data subjects</w:t>
      </w:r>
      <w:r w:rsidR="00873540" w:rsidRPr="00873540">
        <w:t xml:space="preserve">. </w:t>
      </w:r>
    </w:p>
    <w:p w:rsidR="00873540" w:rsidRDefault="00873540" w:rsidP="00873540">
      <w:pPr>
        <w:jc w:val="both"/>
      </w:pPr>
    </w:p>
    <w:p w:rsidR="00E37438" w:rsidRDefault="00E37438" w:rsidP="00FA124C">
      <w:pPr>
        <w:pStyle w:val="Heading2"/>
      </w:pPr>
      <w:bookmarkStart w:id="17" w:name="_Toc492892430"/>
      <w:r>
        <w:t>Data Protection Officer</w:t>
      </w:r>
      <w:bookmarkEnd w:id="17"/>
    </w:p>
    <w:p w:rsidR="00E37438" w:rsidRDefault="00E37438" w:rsidP="00097587"/>
    <w:p w:rsidR="00680FEE" w:rsidRPr="00C91286" w:rsidRDefault="00C91286" w:rsidP="00680FEE">
      <w:pPr>
        <w:jc w:val="both"/>
      </w:pPr>
      <w:r>
        <w:t xml:space="preserve">A defined role of Data Protection Officer </w:t>
      </w:r>
      <w:r w:rsidR="00680FEE">
        <w:t xml:space="preserve">(DPO) </w:t>
      </w:r>
      <w:r>
        <w:t xml:space="preserve">is required under the GDPR </w:t>
      </w:r>
      <w:r w:rsidRPr="00C91286">
        <w:t xml:space="preserve">if </w:t>
      </w:r>
      <w:r>
        <w:t>an organization is</w:t>
      </w:r>
      <w:r w:rsidRPr="00C91286">
        <w:t xml:space="preserve"> a public authority, </w:t>
      </w:r>
      <w:r>
        <w:t>if it performs</w:t>
      </w:r>
      <w:r w:rsidRPr="00C91286">
        <w:t xml:space="preserve"> large scale monitoring or </w:t>
      </w:r>
      <w:r>
        <w:t>if it</w:t>
      </w:r>
      <w:r w:rsidRPr="00C91286">
        <w:t xml:space="preserve"> process</w:t>
      </w:r>
      <w:r>
        <w:t>es</w:t>
      </w:r>
      <w:r w:rsidRPr="00C91286">
        <w:t xml:space="preserve"> particularly sensitive types of data on a large scale. </w:t>
      </w:r>
      <w:r w:rsidR="00680FEE">
        <w:t>The</w:t>
      </w:r>
      <w:r w:rsidR="00680FEE" w:rsidRPr="00C91286">
        <w:t xml:space="preserve"> DPO </w:t>
      </w:r>
      <w:r w:rsidR="00680FEE">
        <w:t>is required to</w:t>
      </w:r>
      <w:r w:rsidR="00680FEE" w:rsidRPr="00C91286">
        <w:t xml:space="preserve"> have an appropriate level of knowledge </w:t>
      </w:r>
      <w:r w:rsidR="00680FEE">
        <w:t>and</w:t>
      </w:r>
      <w:r w:rsidR="00680FEE" w:rsidRPr="00C91286">
        <w:t xml:space="preserve"> can either</w:t>
      </w:r>
      <w:r w:rsidR="00680FEE">
        <w:t xml:space="preserve"> be an </w:t>
      </w:r>
      <w:r w:rsidR="00680FEE" w:rsidRPr="00C91286">
        <w:t xml:space="preserve">in-house </w:t>
      </w:r>
      <w:r w:rsidR="00680FEE">
        <w:t xml:space="preserve">resource </w:t>
      </w:r>
      <w:r w:rsidR="00680FEE" w:rsidRPr="00C91286">
        <w:t>or outsourced</w:t>
      </w:r>
      <w:r w:rsidR="00680FEE">
        <w:t xml:space="preserve"> to an appropriate service provider</w:t>
      </w:r>
      <w:r w:rsidR="00680FEE" w:rsidRPr="00C91286">
        <w:t>.</w:t>
      </w:r>
    </w:p>
    <w:p w:rsidR="00C91286" w:rsidRDefault="00C91286" w:rsidP="00680FEE">
      <w:pPr>
        <w:jc w:val="both"/>
      </w:pPr>
    </w:p>
    <w:p w:rsidR="00680FEE" w:rsidRDefault="00680FEE" w:rsidP="00680FEE">
      <w:pPr>
        <w:jc w:val="both"/>
      </w:pPr>
      <w:r>
        <w:t xml:space="preserve">Based on these criteria, </w:t>
      </w:r>
      <w:proofErr w:type="spellStart"/>
      <w:r w:rsidR="003525BB" w:rsidRPr="003525BB">
        <w:rPr>
          <w:rFonts w:cs="Arial"/>
          <w:b/>
          <w:i/>
          <w:u w:val="single"/>
        </w:rPr>
        <w:t>Defradar</w:t>
      </w:r>
      <w:proofErr w:type="spellEnd"/>
      <w:r w:rsidR="003525BB" w:rsidRPr="003525BB">
        <w:rPr>
          <w:rFonts w:cs="Arial"/>
          <w:b/>
          <w:i/>
          <w:u w:val="single"/>
        </w:rPr>
        <w:t xml:space="preserve"> Technologies</w:t>
      </w:r>
      <w:r w:rsidR="003525BB">
        <w:rPr>
          <w:rFonts w:cs="Arial"/>
        </w:rPr>
        <w:t xml:space="preserve"> require</w:t>
      </w:r>
      <w:r>
        <w:rPr>
          <w:rFonts w:cs="Arial"/>
        </w:rPr>
        <w:t xml:space="preserve"> a Data Protection Officer to be appointed.</w:t>
      </w:r>
    </w:p>
    <w:p w:rsidR="00C91286" w:rsidRDefault="00C91286" w:rsidP="00097587"/>
    <w:p w:rsidR="004F7033" w:rsidRDefault="004F7033" w:rsidP="004F7033">
      <w:pPr>
        <w:pStyle w:val="Heading2"/>
      </w:pPr>
      <w:bookmarkStart w:id="18" w:name="_Toc492892431"/>
      <w:r>
        <w:t>Breach Notification</w:t>
      </w:r>
      <w:bookmarkEnd w:id="18"/>
    </w:p>
    <w:p w:rsidR="004F7033" w:rsidRDefault="004F7033" w:rsidP="004F7033"/>
    <w:p w:rsidR="004F7033" w:rsidRDefault="004F7033" w:rsidP="004F7033">
      <w:pPr>
        <w:jc w:val="both"/>
      </w:pPr>
      <w:r w:rsidRPr="00E65490">
        <w:t xml:space="preserve">It is </w:t>
      </w:r>
      <w:r w:rsidRPr="00E65490">
        <w:rPr>
          <w:rFonts w:cs="Arial"/>
        </w:rPr>
        <w:fldChar w:fldCharType="begin"/>
      </w:r>
      <w:r w:rsidRPr="00E65490">
        <w:rPr>
          <w:rFonts w:cs="Arial"/>
        </w:rPr>
        <w:instrText xml:space="preserve"> DOCPROPERTY  "Organization Name"  \* MERGEFORMAT </w:instrText>
      </w:r>
      <w:r w:rsidRPr="00E65490">
        <w:rPr>
          <w:rFonts w:cs="Arial"/>
        </w:rPr>
        <w:fldChar w:fldCharType="separate"/>
      </w:r>
      <w:r w:rsidRPr="00E65490">
        <w:rPr>
          <w:rFonts w:cs="Arial"/>
        </w:rPr>
        <w:t>[Organization Name]</w:t>
      </w:r>
      <w:r w:rsidRPr="00E65490">
        <w:rPr>
          <w:rFonts w:cs="Arial"/>
        </w:rPr>
        <w:fldChar w:fldCharType="end"/>
      </w:r>
      <w:r>
        <w:rPr>
          <w:rFonts w:cs="Arial"/>
        </w:rPr>
        <w:t xml:space="preserve">’s policy to be fair and proportionate when considering the actions to be taken to inform affected parties regarding breaches of personal data. In line with the GDPR, where a breach is known to have occurred which is </w:t>
      </w:r>
      <w:r w:rsidRPr="00E65490">
        <w:t>likely to result in a risk to the rights and freedoms of individuals</w:t>
      </w:r>
      <w:r>
        <w:t xml:space="preserve">, the relevant Data Protection Authority (DPA) will be informed within 72 hours. This will be managed in accordance with our </w:t>
      </w:r>
      <w:r w:rsidRPr="00E65490">
        <w:rPr>
          <w:i/>
        </w:rPr>
        <w:t xml:space="preserve">Information Security Incident </w:t>
      </w:r>
      <w:r>
        <w:rPr>
          <w:i/>
        </w:rPr>
        <w:t>Response</w:t>
      </w:r>
      <w:r w:rsidRPr="00E65490">
        <w:rPr>
          <w:i/>
        </w:rPr>
        <w:t xml:space="preserve"> Procedure</w:t>
      </w:r>
      <w:r>
        <w:t xml:space="preserve"> which sets out the overall process of handling information security incidents.</w:t>
      </w:r>
    </w:p>
    <w:p w:rsidR="004F7033" w:rsidRDefault="004F7033" w:rsidP="004F7033">
      <w:pPr>
        <w:jc w:val="both"/>
      </w:pPr>
    </w:p>
    <w:p w:rsidR="004F7033" w:rsidRDefault="004F7033" w:rsidP="004F7033">
      <w:pPr>
        <w:jc w:val="both"/>
      </w:pPr>
      <w:r>
        <w:t>Under the GDPR the relevant DPA has the authority to impose a range of fines of up to four percent of annual worldwide turnover or twenty million Euros, whichever is the higher, for infringements of the regulations.</w:t>
      </w:r>
    </w:p>
    <w:p w:rsidR="00E37438" w:rsidRPr="00812EE5" w:rsidRDefault="00E37438" w:rsidP="00097587"/>
    <w:p w:rsidR="00812EE5" w:rsidRPr="00812EE5" w:rsidRDefault="00A74FE2" w:rsidP="00A74FE2">
      <w:pPr>
        <w:pStyle w:val="Heading2"/>
      </w:pPr>
      <w:bookmarkStart w:id="19" w:name="_Toc194299067"/>
      <w:bookmarkStart w:id="20" w:name="_Toc205370080"/>
      <w:bookmarkStart w:id="21" w:name="_Toc217817775"/>
      <w:bookmarkStart w:id="22" w:name="_Toc492892432"/>
      <w:r>
        <w:t>Addressing</w:t>
      </w:r>
      <w:r w:rsidR="00812EE5" w:rsidRPr="00812EE5">
        <w:t xml:space="preserve"> Compliance</w:t>
      </w:r>
      <w:bookmarkEnd w:id="19"/>
      <w:bookmarkEnd w:id="20"/>
      <w:bookmarkEnd w:id="21"/>
      <w:r>
        <w:t xml:space="preserve"> to the </w:t>
      </w:r>
      <w:r w:rsidR="00446CB2">
        <w:t>GDPR</w:t>
      </w:r>
      <w:bookmarkEnd w:id="22"/>
    </w:p>
    <w:p w:rsidR="00812EE5" w:rsidRPr="00812EE5" w:rsidRDefault="00812EE5" w:rsidP="00812EE5">
      <w:pPr>
        <w:rPr>
          <w:szCs w:val="20"/>
        </w:rPr>
      </w:pPr>
    </w:p>
    <w:p w:rsidR="00812EE5" w:rsidRPr="004F7033" w:rsidRDefault="00A74FE2" w:rsidP="00A74FE2">
      <w:pPr>
        <w:jc w:val="both"/>
        <w:rPr>
          <w:szCs w:val="20"/>
        </w:rPr>
      </w:pPr>
      <w:r w:rsidRPr="004F7033">
        <w:rPr>
          <w:szCs w:val="20"/>
        </w:rPr>
        <w:t>The following actions are undertaken to ensure that</w:t>
      </w:r>
      <w:r w:rsidR="003525BB">
        <w:rPr>
          <w:rFonts w:cs="Arial"/>
        </w:rPr>
        <w:t xml:space="preserve"> </w:t>
      </w:r>
      <w:proofErr w:type="spellStart"/>
      <w:r w:rsidR="003525BB" w:rsidRPr="004E115A">
        <w:rPr>
          <w:rFonts w:cs="Arial"/>
          <w:b/>
          <w:i/>
          <w:u w:val="single"/>
        </w:rPr>
        <w:t>Defradar</w:t>
      </w:r>
      <w:proofErr w:type="spellEnd"/>
      <w:r w:rsidR="003525BB" w:rsidRPr="004E115A">
        <w:rPr>
          <w:rFonts w:cs="Arial"/>
          <w:b/>
          <w:i/>
          <w:u w:val="single"/>
        </w:rPr>
        <w:t xml:space="preserve"> Technologies</w:t>
      </w:r>
      <w:r w:rsidR="003525BB">
        <w:rPr>
          <w:rFonts w:cs="Arial"/>
        </w:rPr>
        <w:t xml:space="preserve"> </w:t>
      </w:r>
      <w:r w:rsidRPr="004F7033">
        <w:rPr>
          <w:szCs w:val="20"/>
        </w:rPr>
        <w:t xml:space="preserve">complies at all times with the </w:t>
      </w:r>
      <w:r w:rsidR="004F7033">
        <w:rPr>
          <w:szCs w:val="20"/>
        </w:rPr>
        <w:t>accountability principle</w:t>
      </w:r>
      <w:r w:rsidRPr="004F7033">
        <w:rPr>
          <w:szCs w:val="20"/>
        </w:rPr>
        <w:t xml:space="preserve"> of the </w:t>
      </w:r>
      <w:r w:rsidR="00446CB2" w:rsidRPr="004F7033">
        <w:rPr>
          <w:szCs w:val="20"/>
        </w:rPr>
        <w:t>GDPR</w:t>
      </w:r>
      <w:r w:rsidRPr="004F7033">
        <w:rPr>
          <w:szCs w:val="20"/>
        </w:rPr>
        <w:t>:</w:t>
      </w:r>
    </w:p>
    <w:p w:rsidR="00812EE5" w:rsidRPr="004F7033" w:rsidRDefault="00812EE5" w:rsidP="00A74FE2">
      <w:pPr>
        <w:jc w:val="both"/>
        <w:rPr>
          <w:szCs w:val="20"/>
        </w:rPr>
      </w:pPr>
    </w:p>
    <w:p w:rsidR="00B25F4A" w:rsidRPr="00B25F4A" w:rsidRDefault="00B25F4A" w:rsidP="00A74FE2">
      <w:pPr>
        <w:numPr>
          <w:ilvl w:val="0"/>
          <w:numId w:val="26"/>
        </w:numPr>
        <w:jc w:val="both"/>
        <w:rPr>
          <w:szCs w:val="20"/>
        </w:rPr>
      </w:pPr>
      <w:r w:rsidRPr="00B25F4A">
        <w:rPr>
          <w:szCs w:val="20"/>
        </w:rPr>
        <w:t>The legal basis for processing personal data is clear and unambiguous</w:t>
      </w:r>
    </w:p>
    <w:p w:rsidR="00812EE5" w:rsidRPr="003525BB" w:rsidRDefault="00A74FE2" w:rsidP="00A74FE2">
      <w:pPr>
        <w:numPr>
          <w:ilvl w:val="0"/>
          <w:numId w:val="26"/>
        </w:numPr>
        <w:jc w:val="both"/>
        <w:rPr>
          <w:szCs w:val="20"/>
        </w:rPr>
      </w:pPr>
      <w:r w:rsidRPr="003525BB">
        <w:rPr>
          <w:szCs w:val="20"/>
        </w:rPr>
        <w:t>A Data Protection Officer is appointed</w:t>
      </w:r>
      <w:r w:rsidR="00812EE5" w:rsidRPr="003525BB">
        <w:rPr>
          <w:szCs w:val="20"/>
        </w:rPr>
        <w:t xml:space="preserve"> with specific responsibility for data</w:t>
      </w:r>
      <w:r w:rsidRPr="003525BB">
        <w:rPr>
          <w:szCs w:val="20"/>
        </w:rPr>
        <w:t xml:space="preserve"> protection in the </w:t>
      </w:r>
      <w:r w:rsidR="00A6184A" w:rsidRPr="003525BB">
        <w:rPr>
          <w:szCs w:val="20"/>
        </w:rPr>
        <w:t>organization</w:t>
      </w:r>
    </w:p>
    <w:p w:rsidR="00812EE5" w:rsidRPr="004F7033" w:rsidRDefault="00A74FE2" w:rsidP="00A74FE2">
      <w:pPr>
        <w:numPr>
          <w:ilvl w:val="0"/>
          <w:numId w:val="26"/>
        </w:numPr>
        <w:jc w:val="both"/>
        <w:rPr>
          <w:szCs w:val="20"/>
        </w:rPr>
      </w:pPr>
      <w:r w:rsidRPr="004F7033">
        <w:rPr>
          <w:szCs w:val="20"/>
        </w:rPr>
        <w:lastRenderedPageBreak/>
        <w:t xml:space="preserve">All staff involved in </w:t>
      </w:r>
      <w:r w:rsidR="00812EE5" w:rsidRPr="004F7033">
        <w:rPr>
          <w:szCs w:val="20"/>
        </w:rPr>
        <w:t xml:space="preserve">handling </w:t>
      </w:r>
      <w:r w:rsidRPr="004F7033">
        <w:rPr>
          <w:szCs w:val="20"/>
        </w:rPr>
        <w:t xml:space="preserve">personal </w:t>
      </w:r>
      <w:r w:rsidR="004F7033" w:rsidRPr="004F7033">
        <w:rPr>
          <w:szCs w:val="20"/>
        </w:rPr>
        <w:t>data</w:t>
      </w:r>
      <w:r w:rsidRPr="004F7033">
        <w:rPr>
          <w:szCs w:val="20"/>
        </w:rPr>
        <w:t xml:space="preserve"> understand</w:t>
      </w:r>
      <w:r w:rsidR="00812EE5" w:rsidRPr="004F7033">
        <w:rPr>
          <w:szCs w:val="20"/>
        </w:rPr>
        <w:t xml:space="preserve"> </w:t>
      </w:r>
      <w:r w:rsidRPr="004F7033">
        <w:rPr>
          <w:szCs w:val="20"/>
        </w:rPr>
        <w:t>their</w:t>
      </w:r>
      <w:r w:rsidR="00812EE5" w:rsidRPr="004F7033">
        <w:rPr>
          <w:szCs w:val="20"/>
        </w:rPr>
        <w:t xml:space="preserve"> </w:t>
      </w:r>
      <w:r w:rsidRPr="004F7033">
        <w:rPr>
          <w:szCs w:val="20"/>
        </w:rPr>
        <w:t xml:space="preserve">responsibilities </w:t>
      </w:r>
      <w:r w:rsidR="00812EE5" w:rsidRPr="004F7033">
        <w:rPr>
          <w:szCs w:val="20"/>
        </w:rPr>
        <w:t>for followin</w:t>
      </w:r>
      <w:r w:rsidRPr="004F7033">
        <w:rPr>
          <w:szCs w:val="20"/>
        </w:rPr>
        <w:t>g good data protection practice</w:t>
      </w:r>
    </w:p>
    <w:p w:rsidR="00812EE5" w:rsidRDefault="00A74FE2" w:rsidP="00A74FE2">
      <w:pPr>
        <w:numPr>
          <w:ilvl w:val="0"/>
          <w:numId w:val="26"/>
        </w:numPr>
        <w:jc w:val="both"/>
        <w:rPr>
          <w:szCs w:val="20"/>
        </w:rPr>
      </w:pPr>
      <w:r w:rsidRPr="004F7033">
        <w:rPr>
          <w:szCs w:val="20"/>
        </w:rPr>
        <w:t>Training in data protection has been provided to all staff</w:t>
      </w:r>
    </w:p>
    <w:p w:rsidR="004F7033" w:rsidRPr="004F7033" w:rsidRDefault="004F7033" w:rsidP="00A74FE2">
      <w:pPr>
        <w:numPr>
          <w:ilvl w:val="0"/>
          <w:numId w:val="26"/>
        </w:numPr>
        <w:jc w:val="both"/>
        <w:rPr>
          <w:szCs w:val="20"/>
        </w:rPr>
      </w:pPr>
      <w:r>
        <w:rPr>
          <w:szCs w:val="20"/>
        </w:rPr>
        <w:t>Rules regarding consent are followed</w:t>
      </w:r>
    </w:p>
    <w:p w:rsidR="00812EE5" w:rsidRPr="004F7033" w:rsidRDefault="00A74FE2" w:rsidP="00A74FE2">
      <w:pPr>
        <w:numPr>
          <w:ilvl w:val="0"/>
          <w:numId w:val="26"/>
        </w:numPr>
        <w:jc w:val="both"/>
        <w:rPr>
          <w:szCs w:val="20"/>
        </w:rPr>
      </w:pPr>
      <w:r w:rsidRPr="004F7033">
        <w:rPr>
          <w:szCs w:val="20"/>
        </w:rPr>
        <w:t xml:space="preserve">Routes are available to </w:t>
      </w:r>
      <w:r w:rsidR="004F7033">
        <w:rPr>
          <w:szCs w:val="20"/>
        </w:rPr>
        <w:t>data subjects</w:t>
      </w:r>
      <w:r w:rsidRPr="004F7033">
        <w:rPr>
          <w:szCs w:val="20"/>
        </w:rPr>
        <w:t xml:space="preserve"> wishing to </w:t>
      </w:r>
      <w:r w:rsidR="004F7033" w:rsidRPr="004F7033">
        <w:rPr>
          <w:szCs w:val="20"/>
        </w:rPr>
        <w:t>exercise their rights regarding</w:t>
      </w:r>
      <w:r w:rsidRPr="004F7033">
        <w:rPr>
          <w:szCs w:val="20"/>
        </w:rPr>
        <w:t xml:space="preserve"> personal </w:t>
      </w:r>
      <w:r w:rsidR="00F61E0D" w:rsidRPr="004F7033">
        <w:rPr>
          <w:szCs w:val="20"/>
        </w:rPr>
        <w:t>data</w:t>
      </w:r>
      <w:r w:rsidRPr="004F7033">
        <w:rPr>
          <w:szCs w:val="20"/>
        </w:rPr>
        <w:t xml:space="preserve"> and such enquiries are handled effectively</w:t>
      </w:r>
    </w:p>
    <w:p w:rsidR="00812EE5" w:rsidRPr="004F7033" w:rsidRDefault="00A74FE2" w:rsidP="00561C6C">
      <w:pPr>
        <w:pStyle w:val="ListParagraph"/>
        <w:numPr>
          <w:ilvl w:val="0"/>
          <w:numId w:val="26"/>
        </w:numPr>
        <w:jc w:val="both"/>
      </w:pPr>
      <w:r w:rsidRPr="004F7033">
        <w:rPr>
          <w:szCs w:val="20"/>
        </w:rPr>
        <w:t xml:space="preserve">Regular reviews of procedures involving personal </w:t>
      </w:r>
      <w:r w:rsidR="00F61E0D" w:rsidRPr="004F7033">
        <w:rPr>
          <w:szCs w:val="20"/>
        </w:rPr>
        <w:t>data</w:t>
      </w:r>
      <w:r w:rsidRPr="004F7033">
        <w:rPr>
          <w:szCs w:val="20"/>
        </w:rPr>
        <w:t xml:space="preserve"> are carried out</w:t>
      </w:r>
      <w:r w:rsidR="00F146D6" w:rsidRPr="004F7033">
        <w:t xml:space="preserve"> </w:t>
      </w:r>
    </w:p>
    <w:p w:rsidR="004F7033" w:rsidRDefault="004F7033" w:rsidP="00561C6C">
      <w:pPr>
        <w:pStyle w:val="ListParagraph"/>
        <w:numPr>
          <w:ilvl w:val="0"/>
          <w:numId w:val="26"/>
        </w:numPr>
        <w:jc w:val="both"/>
      </w:pPr>
      <w:r w:rsidRPr="004F7033">
        <w:t>Privacy by design is adopted</w:t>
      </w:r>
      <w:r>
        <w:t xml:space="preserve"> for all new or changed systems and processes</w:t>
      </w:r>
    </w:p>
    <w:p w:rsidR="004F7033" w:rsidRDefault="004F7033" w:rsidP="00561C6C">
      <w:pPr>
        <w:pStyle w:val="ListParagraph"/>
        <w:numPr>
          <w:ilvl w:val="0"/>
          <w:numId w:val="26"/>
        </w:numPr>
        <w:jc w:val="both"/>
      </w:pPr>
      <w:r>
        <w:t>The following documentation of processing activities is recorded:</w:t>
      </w:r>
    </w:p>
    <w:p w:rsidR="00FA124C" w:rsidRPr="004F7033" w:rsidRDefault="0076071E" w:rsidP="004F7033">
      <w:pPr>
        <w:pStyle w:val="ListParagraph"/>
        <w:numPr>
          <w:ilvl w:val="1"/>
          <w:numId w:val="26"/>
        </w:numPr>
        <w:jc w:val="both"/>
      </w:pPr>
      <w:r>
        <w:t>Organization name and relevant details</w:t>
      </w:r>
      <w:r w:rsidR="00FA124C" w:rsidRPr="004F7033">
        <w:t xml:space="preserve"> </w:t>
      </w:r>
    </w:p>
    <w:p w:rsidR="00FA124C" w:rsidRPr="004F7033" w:rsidRDefault="004F7033" w:rsidP="004F7033">
      <w:pPr>
        <w:pStyle w:val="ListParagraph"/>
        <w:numPr>
          <w:ilvl w:val="1"/>
          <w:numId w:val="26"/>
        </w:numPr>
        <w:jc w:val="both"/>
      </w:pPr>
      <w:r>
        <w:t>Purposes of the personal data processing</w:t>
      </w:r>
    </w:p>
    <w:p w:rsidR="00FA124C" w:rsidRPr="004F7033" w:rsidRDefault="0076071E" w:rsidP="004F7033">
      <w:pPr>
        <w:pStyle w:val="ListParagraph"/>
        <w:numPr>
          <w:ilvl w:val="1"/>
          <w:numId w:val="26"/>
        </w:numPr>
        <w:jc w:val="both"/>
      </w:pPr>
      <w:r>
        <w:t>C</w:t>
      </w:r>
      <w:r w:rsidR="00FA124C" w:rsidRPr="004F7033">
        <w:t xml:space="preserve">ategories of individuals </w:t>
      </w:r>
      <w:r w:rsidR="004F7033">
        <w:t>and personal data</w:t>
      </w:r>
      <w:r>
        <w:t xml:space="preserve"> processed</w:t>
      </w:r>
    </w:p>
    <w:p w:rsidR="00FA124C" w:rsidRPr="004F7033" w:rsidRDefault="004F7033" w:rsidP="004F7033">
      <w:pPr>
        <w:pStyle w:val="ListParagraph"/>
        <w:numPr>
          <w:ilvl w:val="1"/>
          <w:numId w:val="26"/>
        </w:numPr>
        <w:jc w:val="both"/>
      </w:pPr>
      <w:r>
        <w:t>Categories of personal data recipients</w:t>
      </w:r>
    </w:p>
    <w:p w:rsidR="00FA124C" w:rsidRPr="004F7033" w:rsidRDefault="004F7033" w:rsidP="004F7033">
      <w:pPr>
        <w:pStyle w:val="ListParagraph"/>
        <w:numPr>
          <w:ilvl w:val="1"/>
          <w:numId w:val="26"/>
        </w:numPr>
        <w:jc w:val="both"/>
      </w:pPr>
      <w:r>
        <w:t>Agreements and mechanisms for</w:t>
      </w:r>
      <w:r w:rsidR="00FA124C" w:rsidRPr="004F7033">
        <w:t xml:space="preserve"> transfers </w:t>
      </w:r>
      <w:r>
        <w:t xml:space="preserve">of personal data </w:t>
      </w:r>
      <w:r w:rsidR="00FA124C" w:rsidRPr="004F7033">
        <w:t xml:space="preserve">to </w:t>
      </w:r>
      <w:r>
        <w:t>non-EU</w:t>
      </w:r>
      <w:r w:rsidR="00FA124C" w:rsidRPr="004F7033">
        <w:t xml:space="preserve"> countries including </w:t>
      </w:r>
      <w:r>
        <w:t>details of controls in place</w:t>
      </w:r>
    </w:p>
    <w:p w:rsidR="00FA124C" w:rsidRPr="004F7033" w:rsidRDefault="004F7033" w:rsidP="004F7033">
      <w:pPr>
        <w:pStyle w:val="ListParagraph"/>
        <w:numPr>
          <w:ilvl w:val="1"/>
          <w:numId w:val="26"/>
        </w:numPr>
        <w:jc w:val="both"/>
      </w:pPr>
      <w:r>
        <w:t>Personal data retention schedules</w:t>
      </w:r>
    </w:p>
    <w:p w:rsidR="00FA124C" w:rsidRDefault="0076071E" w:rsidP="004F7033">
      <w:pPr>
        <w:pStyle w:val="ListParagraph"/>
        <w:numPr>
          <w:ilvl w:val="1"/>
          <w:numId w:val="26"/>
        </w:numPr>
        <w:jc w:val="both"/>
      </w:pPr>
      <w:r>
        <w:t>Relevant t</w:t>
      </w:r>
      <w:r w:rsidR="00FA124C" w:rsidRPr="004F7033">
        <w:t xml:space="preserve">echnical and organisational </w:t>
      </w:r>
      <w:r w:rsidR="004F7033">
        <w:t>controls in place</w:t>
      </w:r>
    </w:p>
    <w:p w:rsidR="0076071E" w:rsidRDefault="0076071E" w:rsidP="0076071E">
      <w:pPr>
        <w:jc w:val="both"/>
      </w:pPr>
    </w:p>
    <w:p w:rsidR="0076071E" w:rsidRDefault="0076071E" w:rsidP="0076071E">
      <w:pPr>
        <w:jc w:val="both"/>
      </w:pPr>
      <w:r w:rsidRPr="003525BB">
        <w:t xml:space="preserve">These actions </w:t>
      </w:r>
      <w:r w:rsidR="00060AC7">
        <w:t xml:space="preserve">are </w:t>
      </w:r>
      <w:r w:rsidRPr="003525BB">
        <w:t>reviewed on a regular basis as part of the management review process of the information security management system.</w:t>
      </w:r>
    </w:p>
    <w:p w:rsidR="00DB044A" w:rsidRDefault="00DB044A" w:rsidP="0076071E">
      <w:pPr>
        <w:jc w:val="both"/>
      </w:pPr>
    </w:p>
    <w:p w:rsidR="00DB044A" w:rsidRDefault="00DB044A" w:rsidP="00DB044A">
      <w:pPr>
        <w:pStyle w:val="Heading2"/>
      </w:pPr>
      <w:bookmarkStart w:id="23" w:name="_Toc492892433"/>
      <w:r>
        <w:t>Our Obligations as a Cloud Service Provider</w:t>
      </w:r>
      <w:bookmarkEnd w:id="23"/>
    </w:p>
    <w:p w:rsidR="00DB044A" w:rsidRDefault="00DB044A" w:rsidP="0076071E">
      <w:pPr>
        <w:jc w:val="both"/>
      </w:pPr>
    </w:p>
    <w:p w:rsidR="00DB044A" w:rsidRDefault="00DB044A" w:rsidP="0076071E">
      <w:pPr>
        <w:jc w:val="both"/>
        <w:rPr>
          <w:rFonts w:cs="Arial"/>
        </w:rPr>
      </w:pPr>
      <w:r>
        <w:t xml:space="preserve">In addition to holding personal data on our own account, </w:t>
      </w:r>
      <w:proofErr w:type="spellStart"/>
      <w:r w:rsidR="00682A1F" w:rsidRPr="00682A1F">
        <w:rPr>
          <w:rFonts w:cs="Arial"/>
          <w:b/>
          <w:i/>
          <w:u w:val="single"/>
        </w:rPr>
        <w:t>Defradar</w:t>
      </w:r>
      <w:proofErr w:type="spellEnd"/>
      <w:r w:rsidR="00682A1F" w:rsidRPr="00682A1F">
        <w:rPr>
          <w:rFonts w:cs="Arial"/>
          <w:b/>
          <w:i/>
          <w:u w:val="single"/>
        </w:rPr>
        <w:t xml:space="preserve"> Technologies</w:t>
      </w:r>
      <w:r>
        <w:rPr>
          <w:rFonts w:cs="Arial"/>
        </w:rPr>
        <w:t xml:space="preserve"> also stores and processes the personal data of our cloud customers. In doing so, there are a number of additional obligations that must be fulfilled to allow our customers to stay within the law. Our policy in this area is </w:t>
      </w:r>
      <w:r w:rsidR="00D70E82">
        <w:rPr>
          <w:rFonts w:cs="Arial"/>
        </w:rPr>
        <w:t>informed</w:t>
      </w:r>
      <w:r>
        <w:rPr>
          <w:rFonts w:cs="Arial"/>
        </w:rPr>
        <w:t xml:space="preserve"> by </w:t>
      </w:r>
      <w:r w:rsidRPr="00DB044A">
        <w:rPr>
          <w:rFonts w:cs="Arial"/>
          <w:i/>
        </w:rPr>
        <w:t>ISO/IEC 27018 – Code of practice for protection of personally identifiable information (PII) in public</w:t>
      </w:r>
      <w:r>
        <w:rPr>
          <w:rFonts w:cs="Arial"/>
          <w:i/>
        </w:rPr>
        <w:t xml:space="preserve"> clouds acting as PII processors </w:t>
      </w:r>
      <w:r w:rsidRPr="00DB044A">
        <w:rPr>
          <w:rFonts w:cs="Arial"/>
        </w:rPr>
        <w:t>which</w:t>
      </w:r>
      <w:r>
        <w:rPr>
          <w:rFonts w:cs="Arial"/>
        </w:rPr>
        <w:t xml:space="preserve">, as well as recommending </w:t>
      </w:r>
      <w:r w:rsidR="00D70E82">
        <w:rPr>
          <w:rFonts w:cs="Arial"/>
        </w:rPr>
        <w:t xml:space="preserve">specific </w:t>
      </w:r>
      <w:r>
        <w:rPr>
          <w:rFonts w:cs="Arial"/>
        </w:rPr>
        <w:t>enhancement</w:t>
      </w:r>
      <w:r w:rsidR="00D70E82">
        <w:rPr>
          <w:rFonts w:cs="Arial"/>
        </w:rPr>
        <w:t>s</w:t>
      </w:r>
      <w:r>
        <w:rPr>
          <w:rFonts w:cs="Arial"/>
        </w:rPr>
        <w:t xml:space="preserve"> to ISO/IEC 27001 controls, also </w:t>
      </w:r>
      <w:r w:rsidR="00D70E82">
        <w:rPr>
          <w:rFonts w:cs="Arial"/>
        </w:rPr>
        <w:t>provides the following policy guidance:</w:t>
      </w:r>
    </w:p>
    <w:p w:rsidR="00D70E82" w:rsidRDefault="00D70E82" w:rsidP="0076071E">
      <w:pPr>
        <w:jc w:val="both"/>
        <w:rPr>
          <w:rFonts w:cs="Arial"/>
        </w:rPr>
      </w:pPr>
    </w:p>
    <w:p w:rsidR="00D70E82" w:rsidRDefault="00682A1F" w:rsidP="00D70E82">
      <w:pPr>
        <w:pStyle w:val="ListParagraph"/>
        <w:numPr>
          <w:ilvl w:val="0"/>
          <w:numId w:val="37"/>
        </w:numPr>
        <w:jc w:val="both"/>
      </w:pPr>
      <w:r>
        <w:t xml:space="preserve">We </w:t>
      </w:r>
      <w:r w:rsidR="00D70E82">
        <w:t>provide our customers with the facilities to meet their obligations under law in activities such as accessing, amending and erasing individuals’ PII</w:t>
      </w:r>
    </w:p>
    <w:p w:rsidR="00D70E82" w:rsidRDefault="00682A1F" w:rsidP="00D70E82">
      <w:pPr>
        <w:pStyle w:val="ListParagraph"/>
        <w:numPr>
          <w:ilvl w:val="0"/>
          <w:numId w:val="37"/>
        </w:numPr>
        <w:jc w:val="both"/>
      </w:pPr>
      <w:r>
        <w:t xml:space="preserve">We </w:t>
      </w:r>
      <w:r w:rsidR="00D70E82">
        <w:t>only use the cloud customer’s PII for their purposes, not our own</w:t>
      </w:r>
    </w:p>
    <w:p w:rsidR="00D70E82" w:rsidRDefault="00682A1F" w:rsidP="00D70E82">
      <w:pPr>
        <w:pStyle w:val="ListParagraph"/>
        <w:numPr>
          <w:ilvl w:val="0"/>
          <w:numId w:val="37"/>
        </w:numPr>
        <w:jc w:val="both"/>
      </w:pPr>
      <w:r>
        <w:t>The customer is</w:t>
      </w:r>
      <w:r w:rsidR="00D70E82">
        <w:t xml:space="preserve"> informed if we are required by law to disclose any of their data, unless we are prohibited from doing so </w:t>
      </w:r>
    </w:p>
    <w:p w:rsidR="00D70E82" w:rsidRDefault="00682A1F" w:rsidP="00D70E82">
      <w:pPr>
        <w:pStyle w:val="ListParagraph"/>
        <w:numPr>
          <w:ilvl w:val="0"/>
          <w:numId w:val="37"/>
        </w:numPr>
        <w:jc w:val="both"/>
      </w:pPr>
      <w:r>
        <w:t>Details of disclosures are</w:t>
      </w:r>
      <w:r w:rsidR="00D70E82">
        <w:t xml:space="preserve"> recorded</w:t>
      </w:r>
    </w:p>
    <w:p w:rsidR="00D70E82" w:rsidRDefault="00682A1F" w:rsidP="00D70E82">
      <w:pPr>
        <w:pStyle w:val="ListParagraph"/>
        <w:numPr>
          <w:ilvl w:val="0"/>
          <w:numId w:val="37"/>
        </w:numPr>
        <w:jc w:val="both"/>
      </w:pPr>
      <w:r>
        <w:t>We t</w:t>
      </w:r>
      <w:r w:rsidR="00D70E82">
        <w:t>ell our customers if we use sub-contractors to process their PII</w:t>
      </w:r>
    </w:p>
    <w:p w:rsidR="00F9426B" w:rsidRPr="004F7033" w:rsidRDefault="00682A1F" w:rsidP="00F9426B">
      <w:pPr>
        <w:pStyle w:val="ListParagraph"/>
        <w:numPr>
          <w:ilvl w:val="0"/>
          <w:numId w:val="37"/>
        </w:numPr>
        <w:jc w:val="both"/>
      </w:pPr>
      <w:r>
        <w:t xml:space="preserve">We </w:t>
      </w:r>
      <w:r w:rsidR="00D70E82">
        <w:t>tell our customers if their PII i</w:t>
      </w:r>
      <w:r w:rsidR="00111F10">
        <w:t>s subject to unauthorized access.</w:t>
      </w:r>
      <w:bookmarkStart w:id="24" w:name="_GoBack"/>
      <w:bookmarkEnd w:id="24"/>
    </w:p>
    <w:sectPr w:rsidR="00F9426B" w:rsidRPr="004F7033" w:rsidSect="005E1CFB">
      <w:headerReference w:type="even" r:id="rId13"/>
      <w:headerReference w:type="default" r:id="rId14"/>
      <w:headerReference w:type="first" r:id="rId15"/>
      <w:pgSz w:w="11907" w:h="16840" w:code="9"/>
      <w:pgMar w:top="1440" w:right="1440" w:bottom="1440" w:left="1440" w:header="720" w:footer="27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A54" w:rsidRDefault="002F5A54">
      <w:r>
        <w:separator/>
      </w:r>
    </w:p>
  </w:endnote>
  <w:endnote w:type="continuationSeparator" w:id="0">
    <w:p w:rsidR="002F5A54" w:rsidRDefault="002F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A54" w:rsidRDefault="002F5A54">
      <w:r>
        <w:separator/>
      </w:r>
    </w:p>
  </w:footnote>
  <w:footnote w:type="continuationSeparator" w:id="0">
    <w:p w:rsidR="002F5A54" w:rsidRDefault="002F5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640" w:rsidRDefault="002F5A54">
    <w:pPr>
      <w:pStyle w:val="Header"/>
    </w:pPr>
    <w:r>
      <w:rPr>
        <w:noProof/>
      </w:rPr>
      <w:pict w14:anchorId="5A469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67013" o:spid="_x0000_s2051"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540" w:rsidRPr="009A7775" w:rsidRDefault="002F5A54" w:rsidP="009A7775">
    <w:pPr>
      <w:tabs>
        <w:tab w:val="center" w:pos="4153"/>
        <w:tab w:val="right" w:pos="8306"/>
      </w:tabs>
    </w:pPr>
    <w:r>
      <w:rPr>
        <w:b/>
        <w:noProof/>
        <w:sz w:val="20"/>
        <w:szCs w:val="20"/>
      </w:rPr>
      <w:pict w14:anchorId="3B770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67014" o:spid="_x0000_s2050" type="#_x0000_t75" alt="/Users/rolandcostea/Desktop/DefRadar/DefRadar - logo &amp; Business card/Logo &amp; business cards jpeg/radar-05.jpg" style="position:absolute;margin-left:0;margin-top:0;width:451.25pt;height:320.15pt;z-index:-25164697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873540" w:rsidRPr="009A7775">
      <w:rPr>
        <w:b/>
        <w:noProof/>
        <w:sz w:val="20"/>
        <w:szCs w:val="20"/>
      </w:rPr>
      <mc:AlternateContent>
        <mc:Choice Requires="wps">
          <w:drawing>
            <wp:anchor distT="0" distB="0" distL="114300" distR="114300" simplePos="0" relativeHeight="251660288" behindDoc="0" locked="0" layoutInCell="1" allowOverlap="1" wp14:anchorId="6C2D2E33" wp14:editId="1C524920">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2B259ECC" id="Line 8" o:spid="_x0000_s1026" style="position:absolute;z-index:25166028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">
              <w10:wrap anchorx="margin" anchory="margin"/>
            </v:line>
          </w:pict>
        </mc:Fallback>
      </mc:AlternateContent>
    </w:r>
  </w:p>
  <w:p w:rsidR="00873540" w:rsidRDefault="00873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640" w:rsidRDefault="002F5A54">
    <w:pPr>
      <w:pStyle w:val="Header"/>
    </w:pPr>
    <w:r>
      <w:rPr>
        <w:noProof/>
      </w:rPr>
      <w:pict w14:anchorId="53AD4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67012" o:spid="_x0000_s2049"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D06FC"/>
    <w:multiLevelType w:val="multilevel"/>
    <w:tmpl w:val="5DE473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741AD"/>
    <w:multiLevelType w:val="hybridMultilevel"/>
    <w:tmpl w:val="1724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C782C"/>
    <w:multiLevelType w:val="multilevel"/>
    <w:tmpl w:val="6D2804BE"/>
    <w:lvl w:ilvl="0">
      <w:start w:val="1"/>
      <w:numFmt w:val="decimal"/>
      <w:lvlText w:val="%1."/>
      <w:lvlJc w:val="center"/>
      <w:pPr>
        <w:ind w:left="1152" w:hanging="432"/>
      </w:pPr>
      <w:rPr>
        <w:rFonts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9"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6F5497B"/>
    <w:multiLevelType w:val="hybridMultilevel"/>
    <w:tmpl w:val="926A8678"/>
    <w:lvl w:ilvl="0" w:tplc="DE0E57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F5A02"/>
    <w:multiLevelType w:val="hybridMultilevel"/>
    <w:tmpl w:val="8EDE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5EE1784"/>
    <w:multiLevelType w:val="hybridMultilevel"/>
    <w:tmpl w:val="B4F0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AD17A1"/>
    <w:multiLevelType w:val="hybridMultilevel"/>
    <w:tmpl w:val="4718B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8503D8"/>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0A50B1"/>
    <w:multiLevelType w:val="hybridMultilevel"/>
    <w:tmpl w:val="E5048B9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09A589E"/>
    <w:multiLevelType w:val="hybridMultilevel"/>
    <w:tmpl w:val="C442BAF4"/>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95AA7"/>
    <w:multiLevelType w:val="hybridMultilevel"/>
    <w:tmpl w:val="7F7A1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31896"/>
    <w:multiLevelType w:val="hybridMultilevel"/>
    <w:tmpl w:val="C334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5EA77521"/>
    <w:multiLevelType w:val="multilevel"/>
    <w:tmpl w:val="6D2804BE"/>
    <w:lvl w:ilvl="0">
      <w:start w:val="1"/>
      <w:numFmt w:val="decimal"/>
      <w:lvlText w:val="%1."/>
      <w:lvlJc w:val="center"/>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D06E50"/>
    <w:multiLevelType w:val="hybridMultilevel"/>
    <w:tmpl w:val="C9AC64BA"/>
    <w:lvl w:ilvl="0" w:tplc="DE0E57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C322D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4990085"/>
    <w:multiLevelType w:val="hybridMultilevel"/>
    <w:tmpl w:val="2D2A2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B802C6"/>
    <w:multiLevelType w:val="hybridMultilevel"/>
    <w:tmpl w:val="1F12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F51E7"/>
    <w:multiLevelType w:val="hybridMultilevel"/>
    <w:tmpl w:val="7EBA36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767BC"/>
    <w:multiLevelType w:val="hybridMultilevel"/>
    <w:tmpl w:val="AC7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209E2"/>
    <w:multiLevelType w:val="hybridMultilevel"/>
    <w:tmpl w:val="14BA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7"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31080"/>
    <w:multiLevelType w:val="hybridMultilevel"/>
    <w:tmpl w:val="63588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2"/>
  </w:num>
  <w:num w:numId="3">
    <w:abstractNumId w:val="14"/>
  </w:num>
  <w:num w:numId="4">
    <w:abstractNumId w:val="33"/>
  </w:num>
  <w:num w:numId="5">
    <w:abstractNumId w:val="6"/>
  </w:num>
  <w:num w:numId="6">
    <w:abstractNumId w:val="17"/>
  </w:num>
  <w:num w:numId="7">
    <w:abstractNumId w:val="37"/>
  </w:num>
  <w:num w:numId="8">
    <w:abstractNumId w:val="4"/>
  </w:num>
  <w:num w:numId="9">
    <w:abstractNumId w:val="30"/>
  </w:num>
  <w:num w:numId="10">
    <w:abstractNumId w:val="39"/>
  </w:num>
  <w:num w:numId="11">
    <w:abstractNumId w:val="26"/>
  </w:num>
  <w:num w:numId="12">
    <w:abstractNumId w:val="2"/>
  </w:num>
  <w:num w:numId="13">
    <w:abstractNumId w:val="0"/>
  </w:num>
  <w:num w:numId="14">
    <w:abstractNumId w:val="1"/>
  </w:num>
  <w:num w:numId="15">
    <w:abstractNumId w:val="29"/>
  </w:num>
  <w:num w:numId="16">
    <w:abstractNumId w:val="7"/>
  </w:num>
  <w:num w:numId="17">
    <w:abstractNumId w:val="1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9"/>
  </w:num>
  <w:num w:numId="21">
    <w:abstractNumId w:val="31"/>
  </w:num>
  <w:num w:numId="22">
    <w:abstractNumId w:val="25"/>
  </w:num>
  <w:num w:numId="23">
    <w:abstractNumId w:val="21"/>
  </w:num>
  <w:num w:numId="24">
    <w:abstractNumId w:val="10"/>
  </w:num>
  <w:num w:numId="25">
    <w:abstractNumId w:val="34"/>
  </w:num>
  <w:num w:numId="26">
    <w:abstractNumId w:val="22"/>
  </w:num>
  <w:num w:numId="27">
    <w:abstractNumId w:val="13"/>
  </w:num>
  <w:num w:numId="28">
    <w:abstractNumId w:val="11"/>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36"/>
  </w:num>
  <w:num w:numId="33">
    <w:abstractNumId w:val="38"/>
  </w:num>
  <w:num w:numId="34">
    <w:abstractNumId w:val="24"/>
  </w:num>
  <w:num w:numId="35">
    <w:abstractNumId w:val="8"/>
  </w:num>
  <w:num w:numId="36">
    <w:abstractNumId w:val="15"/>
  </w:num>
  <w:num w:numId="37">
    <w:abstractNumId w:val="28"/>
  </w:num>
  <w:num w:numId="38">
    <w:abstractNumId w:val="19"/>
  </w:num>
  <w:num w:numId="39">
    <w:abstractNumId w:val="5"/>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F46"/>
    <w:rsid w:val="0001033B"/>
    <w:rsid w:val="00016C44"/>
    <w:rsid w:val="00031BB1"/>
    <w:rsid w:val="00060AC7"/>
    <w:rsid w:val="00065083"/>
    <w:rsid w:val="00071AA6"/>
    <w:rsid w:val="00071B7D"/>
    <w:rsid w:val="00073900"/>
    <w:rsid w:val="00081AB7"/>
    <w:rsid w:val="000925EE"/>
    <w:rsid w:val="00093B80"/>
    <w:rsid w:val="00097587"/>
    <w:rsid w:val="000B41CA"/>
    <w:rsid w:val="000C7419"/>
    <w:rsid w:val="000E2E47"/>
    <w:rsid w:val="00111887"/>
    <w:rsid w:val="00111F10"/>
    <w:rsid w:val="00112ED4"/>
    <w:rsid w:val="00145791"/>
    <w:rsid w:val="00153BF6"/>
    <w:rsid w:val="0015709F"/>
    <w:rsid w:val="00161927"/>
    <w:rsid w:val="00185432"/>
    <w:rsid w:val="00185515"/>
    <w:rsid w:val="001B0ADF"/>
    <w:rsid w:val="001B1F46"/>
    <w:rsid w:val="001B4D26"/>
    <w:rsid w:val="001C071F"/>
    <w:rsid w:val="001C3CB4"/>
    <w:rsid w:val="001C7180"/>
    <w:rsid w:val="001D41C6"/>
    <w:rsid w:val="001E2EBE"/>
    <w:rsid w:val="001E5D50"/>
    <w:rsid w:val="001E6E24"/>
    <w:rsid w:val="00204B57"/>
    <w:rsid w:val="0022041E"/>
    <w:rsid w:val="00223EBD"/>
    <w:rsid w:val="00226A5A"/>
    <w:rsid w:val="0024264B"/>
    <w:rsid w:val="00245530"/>
    <w:rsid w:val="002657AF"/>
    <w:rsid w:val="002727B4"/>
    <w:rsid w:val="00273F9E"/>
    <w:rsid w:val="002747AE"/>
    <w:rsid w:val="0029302E"/>
    <w:rsid w:val="002A19C7"/>
    <w:rsid w:val="002A6E27"/>
    <w:rsid w:val="002C12FA"/>
    <w:rsid w:val="002D2659"/>
    <w:rsid w:val="002F5A54"/>
    <w:rsid w:val="00312771"/>
    <w:rsid w:val="00317B96"/>
    <w:rsid w:val="003230B8"/>
    <w:rsid w:val="003525BB"/>
    <w:rsid w:val="003577B4"/>
    <w:rsid w:val="00367AC1"/>
    <w:rsid w:val="00375521"/>
    <w:rsid w:val="00381F8F"/>
    <w:rsid w:val="0039183B"/>
    <w:rsid w:val="003C1347"/>
    <w:rsid w:val="003E2A75"/>
    <w:rsid w:val="004040E9"/>
    <w:rsid w:val="0040792D"/>
    <w:rsid w:val="00426F35"/>
    <w:rsid w:val="00435FE4"/>
    <w:rsid w:val="00446CB2"/>
    <w:rsid w:val="004521FA"/>
    <w:rsid w:val="00460E09"/>
    <w:rsid w:val="0049297F"/>
    <w:rsid w:val="004C4E81"/>
    <w:rsid w:val="004D2F4B"/>
    <w:rsid w:val="004E115A"/>
    <w:rsid w:val="004E728D"/>
    <w:rsid w:val="004F6FA5"/>
    <w:rsid w:val="004F7033"/>
    <w:rsid w:val="00513DD1"/>
    <w:rsid w:val="00524CC5"/>
    <w:rsid w:val="00525ABC"/>
    <w:rsid w:val="00526684"/>
    <w:rsid w:val="0055074C"/>
    <w:rsid w:val="005523E1"/>
    <w:rsid w:val="005546FE"/>
    <w:rsid w:val="00561C6C"/>
    <w:rsid w:val="00565AAA"/>
    <w:rsid w:val="00594D9D"/>
    <w:rsid w:val="005B3B70"/>
    <w:rsid w:val="005D1C20"/>
    <w:rsid w:val="005D4A4C"/>
    <w:rsid w:val="005E1CFB"/>
    <w:rsid w:val="005F69E1"/>
    <w:rsid w:val="006224C0"/>
    <w:rsid w:val="00627270"/>
    <w:rsid w:val="006467F9"/>
    <w:rsid w:val="00657C0A"/>
    <w:rsid w:val="006711A3"/>
    <w:rsid w:val="00680FEE"/>
    <w:rsid w:val="00682A1F"/>
    <w:rsid w:val="00687BA0"/>
    <w:rsid w:val="00690FE8"/>
    <w:rsid w:val="006C3A46"/>
    <w:rsid w:val="006C69C6"/>
    <w:rsid w:val="006F4A6D"/>
    <w:rsid w:val="006F4C52"/>
    <w:rsid w:val="00711194"/>
    <w:rsid w:val="00726B08"/>
    <w:rsid w:val="0076071E"/>
    <w:rsid w:val="007709BB"/>
    <w:rsid w:val="007A45CC"/>
    <w:rsid w:val="007D6E85"/>
    <w:rsid w:val="007E10C4"/>
    <w:rsid w:val="007E5631"/>
    <w:rsid w:val="00812EE5"/>
    <w:rsid w:val="00817A67"/>
    <w:rsid w:val="00860E4F"/>
    <w:rsid w:val="008718C5"/>
    <w:rsid w:val="00873540"/>
    <w:rsid w:val="008B0B13"/>
    <w:rsid w:val="008B69B1"/>
    <w:rsid w:val="008C7FDE"/>
    <w:rsid w:val="008D25D4"/>
    <w:rsid w:val="008D38F6"/>
    <w:rsid w:val="008E0D98"/>
    <w:rsid w:val="008E1405"/>
    <w:rsid w:val="008F699E"/>
    <w:rsid w:val="009149A0"/>
    <w:rsid w:val="00961428"/>
    <w:rsid w:val="00963666"/>
    <w:rsid w:val="009A2906"/>
    <w:rsid w:val="009A7775"/>
    <w:rsid w:val="009B044D"/>
    <w:rsid w:val="009B1424"/>
    <w:rsid w:val="009C0356"/>
    <w:rsid w:val="009D6159"/>
    <w:rsid w:val="00A018C4"/>
    <w:rsid w:val="00A179BC"/>
    <w:rsid w:val="00A33524"/>
    <w:rsid w:val="00A349E0"/>
    <w:rsid w:val="00A41BBF"/>
    <w:rsid w:val="00A448EC"/>
    <w:rsid w:val="00A53B0D"/>
    <w:rsid w:val="00A6184A"/>
    <w:rsid w:val="00A71F46"/>
    <w:rsid w:val="00A74FE2"/>
    <w:rsid w:val="00A75214"/>
    <w:rsid w:val="00A816A5"/>
    <w:rsid w:val="00A87A55"/>
    <w:rsid w:val="00A93D36"/>
    <w:rsid w:val="00AB34B0"/>
    <w:rsid w:val="00AB671A"/>
    <w:rsid w:val="00AC18D8"/>
    <w:rsid w:val="00AD16BF"/>
    <w:rsid w:val="00AD366B"/>
    <w:rsid w:val="00AD50A1"/>
    <w:rsid w:val="00AD6398"/>
    <w:rsid w:val="00AD7205"/>
    <w:rsid w:val="00B25F4A"/>
    <w:rsid w:val="00B31AC0"/>
    <w:rsid w:val="00B42542"/>
    <w:rsid w:val="00B43E5F"/>
    <w:rsid w:val="00B73AC4"/>
    <w:rsid w:val="00B87499"/>
    <w:rsid w:val="00BB1A30"/>
    <w:rsid w:val="00C62F72"/>
    <w:rsid w:val="00C74044"/>
    <w:rsid w:val="00C83F2E"/>
    <w:rsid w:val="00C91286"/>
    <w:rsid w:val="00C925E8"/>
    <w:rsid w:val="00C93AE0"/>
    <w:rsid w:val="00CC0888"/>
    <w:rsid w:val="00CE6C42"/>
    <w:rsid w:val="00CF5460"/>
    <w:rsid w:val="00D011F3"/>
    <w:rsid w:val="00D04E8E"/>
    <w:rsid w:val="00D104B7"/>
    <w:rsid w:val="00D1437A"/>
    <w:rsid w:val="00D5516D"/>
    <w:rsid w:val="00D70E82"/>
    <w:rsid w:val="00D925F3"/>
    <w:rsid w:val="00DA6009"/>
    <w:rsid w:val="00DB044A"/>
    <w:rsid w:val="00DB096C"/>
    <w:rsid w:val="00DD0690"/>
    <w:rsid w:val="00DD2640"/>
    <w:rsid w:val="00E00B16"/>
    <w:rsid w:val="00E050A9"/>
    <w:rsid w:val="00E37438"/>
    <w:rsid w:val="00E51923"/>
    <w:rsid w:val="00E65490"/>
    <w:rsid w:val="00E7698E"/>
    <w:rsid w:val="00E83736"/>
    <w:rsid w:val="00E93DB2"/>
    <w:rsid w:val="00EA15F7"/>
    <w:rsid w:val="00EA5538"/>
    <w:rsid w:val="00EB48AF"/>
    <w:rsid w:val="00EC51F2"/>
    <w:rsid w:val="00EC5BD0"/>
    <w:rsid w:val="00ED243D"/>
    <w:rsid w:val="00F018CE"/>
    <w:rsid w:val="00F075B5"/>
    <w:rsid w:val="00F146D6"/>
    <w:rsid w:val="00F331DD"/>
    <w:rsid w:val="00F46CFF"/>
    <w:rsid w:val="00F47097"/>
    <w:rsid w:val="00F607AE"/>
    <w:rsid w:val="00F61E0D"/>
    <w:rsid w:val="00F653E4"/>
    <w:rsid w:val="00F739FB"/>
    <w:rsid w:val="00F92843"/>
    <w:rsid w:val="00F9426B"/>
    <w:rsid w:val="00FA124C"/>
    <w:rsid w:val="00FB61C9"/>
    <w:rsid w:val="00FD6339"/>
    <w:rsid w:val="00FE7ECA"/>
    <w:rsid w:val="00FF3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D3E8600"/>
  <w15:docId w15:val="{B17D1D41-36FA-429B-B791-907D5BB3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BD0"/>
  </w:style>
  <w:style w:type="paragraph" w:styleId="Heading1">
    <w:name w:val="heading 1"/>
    <w:basedOn w:val="Normal"/>
    <w:next w:val="Normal"/>
    <w:link w:val="Heading1Char"/>
    <w:uiPriority w:val="9"/>
    <w:qFormat/>
    <w:rsid w:val="00EC5BD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EC5BD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EC5BD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EC5BD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EC5BD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EC5BD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EC5BD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EC5BD0"/>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EC5BD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rsid w:val="009A7775"/>
    <w:pPr>
      <w:spacing w:before="120" w:after="120"/>
    </w:pPr>
    <w:rPr>
      <w:rFonts w:ascii="Times New Roman" w:hAnsi="Times New Roman"/>
      <w:b/>
      <w:caps/>
      <w:noProof/>
      <w:sz w:val="20"/>
      <w:szCs w:val="28"/>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rsid w:val="00A018C4"/>
    <w:rPr>
      <w:rFonts w:ascii="Arial" w:hAnsi="Arial"/>
      <w:sz w:val="24"/>
      <w:szCs w:val="24"/>
      <w:lang w:eastAsia="en-US"/>
    </w:rPr>
  </w:style>
  <w:style w:type="paragraph" w:styleId="FootnoteText">
    <w:name w:val="footnote text"/>
    <w:basedOn w:val="Normal"/>
    <w:link w:val="FootnoteTextChar"/>
    <w:uiPriority w:val="99"/>
    <w:semiHidden/>
    <w:unhideWhenUsed/>
    <w:rsid w:val="00812EE5"/>
    <w:pPr>
      <w:ind w:left="720"/>
    </w:pPr>
    <w:rPr>
      <w:sz w:val="20"/>
      <w:szCs w:val="20"/>
    </w:rPr>
  </w:style>
  <w:style w:type="character" w:customStyle="1" w:styleId="FootnoteTextChar">
    <w:name w:val="Footnote Text Char"/>
    <w:link w:val="FootnoteText"/>
    <w:uiPriority w:val="99"/>
    <w:semiHidden/>
    <w:rsid w:val="00812EE5"/>
    <w:rPr>
      <w:rFonts w:ascii="Arial" w:hAnsi="Arial"/>
    </w:rPr>
  </w:style>
  <w:style w:type="character" w:styleId="FootnoteReference">
    <w:name w:val="footnote reference"/>
    <w:uiPriority w:val="99"/>
    <w:semiHidden/>
    <w:unhideWhenUsed/>
    <w:rsid w:val="00812EE5"/>
    <w:rPr>
      <w:vertAlign w:val="superscript"/>
    </w:rPr>
  </w:style>
  <w:style w:type="character" w:customStyle="1" w:styleId="BodyText2Char">
    <w:name w:val="Body Text 2 Char"/>
    <w:link w:val="BodyText2"/>
    <w:semiHidden/>
    <w:rsid w:val="00D925F3"/>
    <w:rPr>
      <w:rFonts w:ascii="Arial" w:hAnsi="Arial"/>
      <w:b/>
      <w:sz w:val="24"/>
      <w:szCs w:val="24"/>
      <w:lang w:eastAsia="en-US"/>
    </w:rPr>
  </w:style>
  <w:style w:type="paragraph" w:styleId="BalloonText">
    <w:name w:val="Balloon Text"/>
    <w:basedOn w:val="Normal"/>
    <w:link w:val="BalloonTextChar"/>
    <w:uiPriority w:val="99"/>
    <w:semiHidden/>
    <w:unhideWhenUsed/>
    <w:rsid w:val="009A7775"/>
    <w:rPr>
      <w:rFonts w:ascii="Tahoma" w:hAnsi="Tahoma" w:cs="Tahoma"/>
      <w:sz w:val="16"/>
      <w:szCs w:val="16"/>
    </w:rPr>
  </w:style>
  <w:style w:type="character" w:customStyle="1" w:styleId="BalloonTextChar">
    <w:name w:val="Balloon Text Char"/>
    <w:basedOn w:val="DefaultParagraphFont"/>
    <w:link w:val="BalloonText"/>
    <w:uiPriority w:val="99"/>
    <w:semiHidden/>
    <w:rsid w:val="009A7775"/>
    <w:rPr>
      <w:rFonts w:ascii="Tahoma" w:hAnsi="Tahoma" w:cs="Tahoma"/>
      <w:sz w:val="16"/>
      <w:szCs w:val="16"/>
      <w:lang w:eastAsia="en-US"/>
    </w:rPr>
  </w:style>
  <w:style w:type="table" w:styleId="TableGrid">
    <w:name w:val="Table Grid"/>
    <w:basedOn w:val="TableNormal"/>
    <w:uiPriority w:val="59"/>
    <w:rsid w:val="009A7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9A7775"/>
  </w:style>
  <w:style w:type="character" w:customStyle="1" w:styleId="DateofPublication">
    <w:name w:val="Date of Publication"/>
    <w:basedOn w:val="DefaultParagraphFont"/>
    <w:uiPriority w:val="1"/>
    <w:rsid w:val="009A7775"/>
  </w:style>
  <w:style w:type="paragraph" w:styleId="ListParagraph">
    <w:name w:val="List Paragraph"/>
    <w:basedOn w:val="Normal"/>
    <w:uiPriority w:val="34"/>
    <w:qFormat/>
    <w:rsid w:val="00EC5BD0"/>
    <w:pPr>
      <w:ind w:left="720"/>
      <w:contextualSpacing/>
    </w:pPr>
  </w:style>
  <w:style w:type="paragraph" w:styleId="NoSpacing">
    <w:name w:val="No Spacing"/>
    <w:basedOn w:val="Normal"/>
    <w:link w:val="NoSpacingChar"/>
    <w:uiPriority w:val="1"/>
    <w:qFormat/>
    <w:rsid w:val="00EC5BD0"/>
    <w:pPr>
      <w:spacing w:after="0" w:line="240" w:lineRule="auto"/>
    </w:pPr>
  </w:style>
  <w:style w:type="character" w:customStyle="1" w:styleId="NoSpacingChar">
    <w:name w:val="No Spacing Char"/>
    <w:basedOn w:val="DefaultParagraphFont"/>
    <w:link w:val="NoSpacing"/>
    <w:uiPriority w:val="1"/>
    <w:rsid w:val="00EC5BD0"/>
  </w:style>
  <w:style w:type="paragraph" w:customStyle="1" w:styleId="Classification">
    <w:name w:val="Classification"/>
    <w:basedOn w:val="Normal"/>
    <w:link w:val="ClassificationChar"/>
    <w:rsid w:val="005E1CFB"/>
    <w:pPr>
      <w:jc w:val="right"/>
    </w:pPr>
    <w:rPr>
      <w:rFonts w:cs="Arial"/>
      <w:b/>
      <w:color w:val="000000" w:themeColor="text1"/>
      <w:szCs w:val="28"/>
    </w:rPr>
  </w:style>
  <w:style w:type="character" w:customStyle="1" w:styleId="ClassificationChar">
    <w:name w:val="Classification Char"/>
    <w:basedOn w:val="DefaultParagraphFont"/>
    <w:link w:val="Classification"/>
    <w:rsid w:val="005E1CFB"/>
    <w:rPr>
      <w:rFonts w:ascii="Arial" w:hAnsi="Arial" w:cs="Arial"/>
      <w:b/>
      <w:color w:val="000000" w:themeColor="text1"/>
      <w:sz w:val="24"/>
      <w:szCs w:val="28"/>
    </w:rPr>
  </w:style>
  <w:style w:type="paragraph" w:styleId="Caption">
    <w:name w:val="caption"/>
    <w:basedOn w:val="Normal"/>
    <w:next w:val="Normal"/>
    <w:uiPriority w:val="35"/>
    <w:unhideWhenUsed/>
    <w:qFormat/>
    <w:rsid w:val="00EC5BD0"/>
    <w:rPr>
      <w:caps/>
      <w:spacing w:val="10"/>
      <w:sz w:val="18"/>
      <w:szCs w:val="18"/>
    </w:rPr>
  </w:style>
  <w:style w:type="paragraph" w:styleId="TableofFigures">
    <w:name w:val="table of figures"/>
    <w:basedOn w:val="Normal"/>
    <w:next w:val="Normal"/>
    <w:uiPriority w:val="99"/>
    <w:unhideWhenUsed/>
    <w:rsid w:val="00AD7205"/>
    <w:rPr>
      <w:smallCaps/>
      <w:sz w:val="20"/>
    </w:rPr>
  </w:style>
  <w:style w:type="character" w:customStyle="1" w:styleId="Heading1Char">
    <w:name w:val="Heading 1 Char"/>
    <w:basedOn w:val="DefaultParagraphFont"/>
    <w:link w:val="Heading1"/>
    <w:uiPriority w:val="9"/>
    <w:rsid w:val="00EC5BD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EC5BD0"/>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EC5BD0"/>
    <w:rPr>
      <w:caps/>
      <w:color w:val="622423" w:themeColor="accent2" w:themeShade="7F"/>
      <w:sz w:val="24"/>
      <w:szCs w:val="24"/>
    </w:rPr>
  </w:style>
  <w:style w:type="character" w:customStyle="1" w:styleId="Heading4Char">
    <w:name w:val="Heading 4 Char"/>
    <w:basedOn w:val="DefaultParagraphFont"/>
    <w:link w:val="Heading4"/>
    <w:uiPriority w:val="9"/>
    <w:rsid w:val="00EC5BD0"/>
    <w:rPr>
      <w:caps/>
      <w:color w:val="622423" w:themeColor="accent2" w:themeShade="7F"/>
      <w:spacing w:val="10"/>
    </w:rPr>
  </w:style>
  <w:style w:type="character" w:customStyle="1" w:styleId="Heading5Char">
    <w:name w:val="Heading 5 Char"/>
    <w:basedOn w:val="DefaultParagraphFont"/>
    <w:link w:val="Heading5"/>
    <w:uiPriority w:val="9"/>
    <w:rsid w:val="00EC5BD0"/>
    <w:rPr>
      <w:caps/>
      <w:color w:val="622423" w:themeColor="accent2" w:themeShade="7F"/>
      <w:spacing w:val="10"/>
    </w:rPr>
  </w:style>
  <w:style w:type="character" w:customStyle="1" w:styleId="Heading6Char">
    <w:name w:val="Heading 6 Char"/>
    <w:basedOn w:val="DefaultParagraphFont"/>
    <w:link w:val="Heading6"/>
    <w:uiPriority w:val="9"/>
    <w:rsid w:val="00EC5BD0"/>
    <w:rPr>
      <w:caps/>
      <w:color w:val="943634" w:themeColor="accent2" w:themeShade="BF"/>
      <w:spacing w:val="10"/>
    </w:rPr>
  </w:style>
  <w:style w:type="character" w:customStyle="1" w:styleId="Heading7Char">
    <w:name w:val="Heading 7 Char"/>
    <w:basedOn w:val="DefaultParagraphFont"/>
    <w:link w:val="Heading7"/>
    <w:uiPriority w:val="9"/>
    <w:rsid w:val="00EC5BD0"/>
    <w:rPr>
      <w:i/>
      <w:iCs/>
      <w:caps/>
      <w:color w:val="943634" w:themeColor="accent2" w:themeShade="BF"/>
      <w:spacing w:val="10"/>
    </w:rPr>
  </w:style>
  <w:style w:type="character" w:customStyle="1" w:styleId="Heading8Char">
    <w:name w:val="Heading 8 Char"/>
    <w:basedOn w:val="DefaultParagraphFont"/>
    <w:link w:val="Heading8"/>
    <w:uiPriority w:val="9"/>
    <w:rsid w:val="00EC5BD0"/>
    <w:rPr>
      <w:caps/>
      <w:spacing w:val="10"/>
      <w:sz w:val="20"/>
      <w:szCs w:val="20"/>
    </w:rPr>
  </w:style>
  <w:style w:type="character" w:customStyle="1" w:styleId="Heading9Char">
    <w:name w:val="Heading 9 Char"/>
    <w:basedOn w:val="DefaultParagraphFont"/>
    <w:link w:val="Heading9"/>
    <w:uiPriority w:val="9"/>
    <w:rsid w:val="00EC5BD0"/>
    <w:rPr>
      <w:i/>
      <w:iCs/>
      <w:caps/>
      <w:spacing w:val="10"/>
      <w:sz w:val="20"/>
      <w:szCs w:val="20"/>
    </w:rPr>
  </w:style>
  <w:style w:type="paragraph" w:styleId="Title">
    <w:name w:val="Title"/>
    <w:basedOn w:val="Normal"/>
    <w:next w:val="Normal"/>
    <w:link w:val="TitleChar"/>
    <w:uiPriority w:val="10"/>
    <w:qFormat/>
    <w:rsid w:val="00EC5BD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EC5BD0"/>
    <w:rPr>
      <w:caps/>
      <w:color w:val="632423" w:themeColor="accent2" w:themeShade="80"/>
      <w:spacing w:val="50"/>
      <w:sz w:val="44"/>
      <w:szCs w:val="44"/>
    </w:rPr>
  </w:style>
  <w:style w:type="paragraph" w:styleId="Subtitle">
    <w:name w:val="Subtitle"/>
    <w:basedOn w:val="Normal"/>
    <w:next w:val="Normal"/>
    <w:link w:val="SubtitleChar"/>
    <w:uiPriority w:val="11"/>
    <w:qFormat/>
    <w:rsid w:val="00EC5BD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C5BD0"/>
    <w:rPr>
      <w:caps/>
      <w:spacing w:val="20"/>
      <w:sz w:val="18"/>
      <w:szCs w:val="18"/>
    </w:rPr>
  </w:style>
  <w:style w:type="character" w:styleId="Strong">
    <w:name w:val="Strong"/>
    <w:uiPriority w:val="22"/>
    <w:qFormat/>
    <w:rsid w:val="00EC5BD0"/>
    <w:rPr>
      <w:b/>
      <w:bCs/>
      <w:color w:val="943634" w:themeColor="accent2" w:themeShade="BF"/>
      <w:spacing w:val="5"/>
    </w:rPr>
  </w:style>
  <w:style w:type="character" w:styleId="Emphasis">
    <w:name w:val="Emphasis"/>
    <w:uiPriority w:val="20"/>
    <w:qFormat/>
    <w:rsid w:val="00EC5BD0"/>
    <w:rPr>
      <w:caps/>
      <w:spacing w:val="5"/>
      <w:sz w:val="20"/>
      <w:szCs w:val="20"/>
    </w:rPr>
  </w:style>
  <w:style w:type="paragraph" w:styleId="Quote">
    <w:name w:val="Quote"/>
    <w:basedOn w:val="Normal"/>
    <w:next w:val="Normal"/>
    <w:link w:val="QuoteChar"/>
    <w:uiPriority w:val="29"/>
    <w:qFormat/>
    <w:rsid w:val="00EC5BD0"/>
    <w:rPr>
      <w:i/>
      <w:iCs/>
    </w:rPr>
  </w:style>
  <w:style w:type="character" w:customStyle="1" w:styleId="QuoteChar">
    <w:name w:val="Quote Char"/>
    <w:basedOn w:val="DefaultParagraphFont"/>
    <w:link w:val="Quote"/>
    <w:uiPriority w:val="29"/>
    <w:rsid w:val="00EC5BD0"/>
    <w:rPr>
      <w:i/>
      <w:iCs/>
    </w:rPr>
  </w:style>
  <w:style w:type="paragraph" w:styleId="IntenseQuote">
    <w:name w:val="Intense Quote"/>
    <w:basedOn w:val="Normal"/>
    <w:next w:val="Normal"/>
    <w:link w:val="IntenseQuoteChar"/>
    <w:uiPriority w:val="30"/>
    <w:qFormat/>
    <w:rsid w:val="00EC5BD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EC5BD0"/>
    <w:rPr>
      <w:caps/>
      <w:color w:val="622423" w:themeColor="accent2" w:themeShade="7F"/>
      <w:spacing w:val="5"/>
      <w:sz w:val="20"/>
      <w:szCs w:val="20"/>
    </w:rPr>
  </w:style>
  <w:style w:type="character" w:styleId="SubtleEmphasis">
    <w:name w:val="Subtle Emphasis"/>
    <w:uiPriority w:val="19"/>
    <w:qFormat/>
    <w:rsid w:val="00EC5BD0"/>
    <w:rPr>
      <w:i/>
      <w:iCs/>
    </w:rPr>
  </w:style>
  <w:style w:type="character" w:styleId="IntenseEmphasis">
    <w:name w:val="Intense Emphasis"/>
    <w:uiPriority w:val="21"/>
    <w:qFormat/>
    <w:rsid w:val="00EC5BD0"/>
    <w:rPr>
      <w:i/>
      <w:iCs/>
      <w:caps/>
      <w:spacing w:val="10"/>
      <w:sz w:val="20"/>
      <w:szCs w:val="20"/>
    </w:rPr>
  </w:style>
  <w:style w:type="character" w:styleId="SubtleReference">
    <w:name w:val="Subtle Reference"/>
    <w:basedOn w:val="DefaultParagraphFont"/>
    <w:uiPriority w:val="31"/>
    <w:qFormat/>
    <w:rsid w:val="00EC5BD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EC5BD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EC5BD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EC5BD0"/>
    <w:pPr>
      <w:outlineLvl w:val="9"/>
    </w:pPr>
  </w:style>
  <w:style w:type="table" w:styleId="GridTable3-Accent4">
    <w:name w:val="Grid Table 3 Accent 4"/>
    <w:basedOn w:val="TableNormal"/>
    <w:uiPriority w:val="48"/>
    <w:rsid w:val="00726B0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7979">
      <w:bodyDiv w:val="1"/>
      <w:marLeft w:val="0"/>
      <w:marRight w:val="0"/>
      <w:marTop w:val="0"/>
      <w:marBottom w:val="0"/>
      <w:divBdr>
        <w:top w:val="none" w:sz="0" w:space="0" w:color="auto"/>
        <w:left w:val="none" w:sz="0" w:space="0" w:color="auto"/>
        <w:bottom w:val="none" w:sz="0" w:space="0" w:color="auto"/>
        <w:right w:val="none" w:sz="0" w:space="0" w:color="auto"/>
      </w:divBdr>
    </w:div>
    <w:div w:id="1334917068">
      <w:bodyDiv w:val="1"/>
      <w:marLeft w:val="0"/>
      <w:marRight w:val="0"/>
      <w:marTop w:val="0"/>
      <w:marBottom w:val="0"/>
      <w:divBdr>
        <w:top w:val="none" w:sz="0" w:space="0" w:color="auto"/>
        <w:left w:val="none" w:sz="0" w:space="0" w:color="auto"/>
        <w:bottom w:val="none" w:sz="0" w:space="0" w:color="auto"/>
        <w:right w:val="none" w:sz="0" w:space="0" w:color="auto"/>
      </w:divBdr>
    </w:div>
    <w:div w:id="1975058817">
      <w:bodyDiv w:val="1"/>
      <w:marLeft w:val="0"/>
      <w:marRight w:val="0"/>
      <w:marTop w:val="0"/>
      <w:marBottom w:val="0"/>
      <w:divBdr>
        <w:top w:val="none" w:sz="0" w:space="0" w:color="auto"/>
        <w:left w:val="none" w:sz="0" w:space="0" w:color="auto"/>
        <w:bottom w:val="none" w:sz="0" w:space="0" w:color="auto"/>
        <w:right w:val="none" w:sz="0" w:space="0" w:color="auto"/>
      </w:divBdr>
    </w:div>
    <w:div w:id="206151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9A591-1742-46AE-A14C-2B495F5DD7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3.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5.xml><?xml version="1.0" encoding="utf-8"?>
<ds:datastoreItem xmlns:ds="http://schemas.openxmlformats.org/officeDocument/2006/customXml" ds:itemID="{79A8BEEF-E43F-3446-8158-4B10AC22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GDPR Privacy Data</vt:lpstr>
    </vt:vector>
  </TitlesOfParts>
  <Manager>RC</Manager>
  <Company/>
  <LinksUpToDate>false</LinksUpToDate>
  <CharactersWithSpaces>13581</CharactersWithSpaces>
  <SharedDoc>false</SharedDoc>
  <HyperlinkBase/>
  <HLinks>
    <vt:vector size="132" baseType="variant">
      <vt:variant>
        <vt:i4>1114200</vt:i4>
      </vt:variant>
      <vt:variant>
        <vt:i4>114</vt:i4>
      </vt:variant>
      <vt:variant>
        <vt:i4>0</vt:i4>
      </vt:variant>
      <vt:variant>
        <vt:i4>5</vt:i4>
      </vt:variant>
      <vt:variant>
        <vt:lpwstr>../A7. Human resources security/ISMS13003 Internet Acceptable Use Policy.doc</vt:lpwstr>
      </vt:variant>
      <vt:variant>
        <vt:lpwstr/>
      </vt:variant>
      <vt:variant>
        <vt:i4>2621566</vt:i4>
      </vt:variant>
      <vt:variant>
        <vt:i4>111</vt:i4>
      </vt:variant>
      <vt:variant>
        <vt:i4>0</vt:i4>
      </vt:variant>
      <vt:variant>
        <vt:i4>5</vt:i4>
      </vt:variant>
      <vt:variant>
        <vt:lpwstr>../A7. Human resources security/ISMS13002 Email Policy.doc</vt:lpwstr>
      </vt:variant>
      <vt:variant>
        <vt:lpwstr/>
      </vt:variant>
      <vt:variant>
        <vt:i4>8192118</vt:i4>
      </vt:variant>
      <vt:variant>
        <vt:i4>108</vt:i4>
      </vt:variant>
      <vt:variant>
        <vt:i4>0</vt:i4>
      </vt:variant>
      <vt:variant>
        <vt:i4>5</vt:i4>
      </vt:variant>
      <vt:variant>
        <vt:lpwstr>../A7. Human resources security/ISMS13001 AUP and Personal Commitment Statement.doc</vt:lpwstr>
      </vt:variant>
      <vt:variant>
        <vt:lpwstr/>
      </vt:variant>
      <vt:variant>
        <vt:i4>3997728</vt:i4>
      </vt:variant>
      <vt:variant>
        <vt:i4>105</vt:i4>
      </vt:variant>
      <vt:variant>
        <vt:i4>0</vt:i4>
      </vt:variant>
      <vt:variant>
        <vt:i4>5</vt:i4>
      </vt:variant>
      <vt:variant>
        <vt:lpwstr>../A8. Asset management/ISMS14003 Information Security Labelling Procedure.doc</vt:lpwstr>
      </vt:variant>
      <vt:variant>
        <vt:lpwstr/>
      </vt:variant>
      <vt:variant>
        <vt:i4>1310750</vt:i4>
      </vt:variant>
      <vt:variant>
        <vt:i4>102</vt:i4>
      </vt:variant>
      <vt:variant>
        <vt:i4>0</vt:i4>
      </vt:variant>
      <vt:variant>
        <vt:i4>5</vt:i4>
      </vt:variant>
      <vt:variant>
        <vt:lpwstr>../A8. Asset management/ISMS14002 Information Security Classification Guidelines.doc</vt:lpwstr>
      </vt:variant>
      <vt:variant>
        <vt:lpwstr/>
      </vt:variant>
      <vt:variant>
        <vt:i4>7012384</vt:i4>
      </vt:variant>
      <vt:variant>
        <vt:i4>99</vt:i4>
      </vt:variant>
      <vt:variant>
        <vt:i4>0</vt:i4>
      </vt:variant>
      <vt:variant>
        <vt:i4>5</vt:i4>
      </vt:variant>
      <vt:variant>
        <vt:lpwstr>../06. Planning/ISMS06004 Information Security Risk Treatment Plan.doc</vt:lpwstr>
      </vt:variant>
      <vt:variant>
        <vt:lpwstr/>
      </vt:variant>
      <vt:variant>
        <vt:i4>1572914</vt:i4>
      </vt:variant>
      <vt:variant>
        <vt:i4>92</vt:i4>
      </vt:variant>
      <vt:variant>
        <vt:i4>0</vt:i4>
      </vt:variant>
      <vt:variant>
        <vt:i4>5</vt:i4>
      </vt:variant>
      <vt:variant>
        <vt:lpwstr/>
      </vt:variant>
      <vt:variant>
        <vt:lpwstr>_Toc356566193</vt:lpwstr>
      </vt:variant>
      <vt:variant>
        <vt:i4>1572914</vt:i4>
      </vt:variant>
      <vt:variant>
        <vt:i4>86</vt:i4>
      </vt:variant>
      <vt:variant>
        <vt:i4>0</vt:i4>
      </vt:variant>
      <vt:variant>
        <vt:i4>5</vt:i4>
      </vt:variant>
      <vt:variant>
        <vt:lpwstr/>
      </vt:variant>
      <vt:variant>
        <vt:lpwstr>_Toc356566192</vt:lpwstr>
      </vt:variant>
      <vt:variant>
        <vt:i4>1572914</vt:i4>
      </vt:variant>
      <vt:variant>
        <vt:i4>80</vt:i4>
      </vt:variant>
      <vt:variant>
        <vt:i4>0</vt:i4>
      </vt:variant>
      <vt:variant>
        <vt:i4>5</vt:i4>
      </vt:variant>
      <vt:variant>
        <vt:lpwstr/>
      </vt:variant>
      <vt:variant>
        <vt:lpwstr>_Toc356566191</vt:lpwstr>
      </vt:variant>
      <vt:variant>
        <vt:i4>1572914</vt:i4>
      </vt:variant>
      <vt:variant>
        <vt:i4>74</vt:i4>
      </vt:variant>
      <vt:variant>
        <vt:i4>0</vt:i4>
      </vt:variant>
      <vt:variant>
        <vt:i4>5</vt:i4>
      </vt:variant>
      <vt:variant>
        <vt:lpwstr/>
      </vt:variant>
      <vt:variant>
        <vt:lpwstr>_Toc356566190</vt:lpwstr>
      </vt:variant>
      <vt:variant>
        <vt:i4>1638450</vt:i4>
      </vt:variant>
      <vt:variant>
        <vt:i4>68</vt:i4>
      </vt:variant>
      <vt:variant>
        <vt:i4>0</vt:i4>
      </vt:variant>
      <vt:variant>
        <vt:i4>5</vt:i4>
      </vt:variant>
      <vt:variant>
        <vt:lpwstr/>
      </vt:variant>
      <vt:variant>
        <vt:lpwstr>_Toc356566189</vt:lpwstr>
      </vt:variant>
      <vt:variant>
        <vt:i4>1638450</vt:i4>
      </vt:variant>
      <vt:variant>
        <vt:i4>62</vt:i4>
      </vt:variant>
      <vt:variant>
        <vt:i4>0</vt:i4>
      </vt:variant>
      <vt:variant>
        <vt:i4>5</vt:i4>
      </vt:variant>
      <vt:variant>
        <vt:lpwstr/>
      </vt:variant>
      <vt:variant>
        <vt:lpwstr>_Toc356566188</vt:lpwstr>
      </vt:variant>
      <vt:variant>
        <vt:i4>1638450</vt:i4>
      </vt:variant>
      <vt:variant>
        <vt:i4>56</vt:i4>
      </vt:variant>
      <vt:variant>
        <vt:i4>0</vt:i4>
      </vt:variant>
      <vt:variant>
        <vt:i4>5</vt:i4>
      </vt:variant>
      <vt:variant>
        <vt:lpwstr/>
      </vt:variant>
      <vt:variant>
        <vt:lpwstr>_Toc356566187</vt:lpwstr>
      </vt:variant>
      <vt:variant>
        <vt:i4>1638450</vt:i4>
      </vt:variant>
      <vt:variant>
        <vt:i4>50</vt:i4>
      </vt:variant>
      <vt:variant>
        <vt:i4>0</vt:i4>
      </vt:variant>
      <vt:variant>
        <vt:i4>5</vt:i4>
      </vt:variant>
      <vt:variant>
        <vt:lpwstr/>
      </vt:variant>
      <vt:variant>
        <vt:lpwstr>_Toc356566186</vt:lpwstr>
      </vt:variant>
      <vt:variant>
        <vt:i4>1638450</vt:i4>
      </vt:variant>
      <vt:variant>
        <vt:i4>44</vt:i4>
      </vt:variant>
      <vt:variant>
        <vt:i4>0</vt:i4>
      </vt:variant>
      <vt:variant>
        <vt:i4>5</vt:i4>
      </vt:variant>
      <vt:variant>
        <vt:lpwstr/>
      </vt:variant>
      <vt:variant>
        <vt:lpwstr>_Toc356566185</vt:lpwstr>
      </vt:variant>
      <vt:variant>
        <vt:i4>1638450</vt:i4>
      </vt:variant>
      <vt:variant>
        <vt:i4>38</vt:i4>
      </vt:variant>
      <vt:variant>
        <vt:i4>0</vt:i4>
      </vt:variant>
      <vt:variant>
        <vt:i4>5</vt:i4>
      </vt:variant>
      <vt:variant>
        <vt:lpwstr/>
      </vt:variant>
      <vt:variant>
        <vt:lpwstr>_Toc356566184</vt:lpwstr>
      </vt:variant>
      <vt:variant>
        <vt:i4>1638450</vt:i4>
      </vt:variant>
      <vt:variant>
        <vt:i4>32</vt:i4>
      </vt:variant>
      <vt:variant>
        <vt:i4>0</vt:i4>
      </vt:variant>
      <vt:variant>
        <vt:i4>5</vt:i4>
      </vt:variant>
      <vt:variant>
        <vt:lpwstr/>
      </vt:variant>
      <vt:variant>
        <vt:lpwstr>_Toc356566183</vt:lpwstr>
      </vt:variant>
      <vt:variant>
        <vt:i4>1638450</vt:i4>
      </vt:variant>
      <vt:variant>
        <vt:i4>26</vt:i4>
      </vt:variant>
      <vt:variant>
        <vt:i4>0</vt:i4>
      </vt:variant>
      <vt:variant>
        <vt:i4>5</vt:i4>
      </vt:variant>
      <vt:variant>
        <vt:lpwstr/>
      </vt:variant>
      <vt:variant>
        <vt:lpwstr>_Toc356566182</vt:lpwstr>
      </vt:variant>
      <vt:variant>
        <vt:i4>1638450</vt:i4>
      </vt:variant>
      <vt:variant>
        <vt:i4>20</vt:i4>
      </vt:variant>
      <vt:variant>
        <vt:i4>0</vt:i4>
      </vt:variant>
      <vt:variant>
        <vt:i4>5</vt:i4>
      </vt:variant>
      <vt:variant>
        <vt:lpwstr/>
      </vt:variant>
      <vt:variant>
        <vt:lpwstr>_Toc356566181</vt:lpwstr>
      </vt:variant>
      <vt:variant>
        <vt:i4>1638450</vt:i4>
      </vt:variant>
      <vt:variant>
        <vt:i4>14</vt:i4>
      </vt:variant>
      <vt:variant>
        <vt:i4>0</vt:i4>
      </vt:variant>
      <vt:variant>
        <vt:i4>5</vt:i4>
      </vt:variant>
      <vt:variant>
        <vt:lpwstr/>
      </vt:variant>
      <vt:variant>
        <vt:lpwstr>_Toc356566180</vt:lpwstr>
      </vt:variant>
      <vt:variant>
        <vt:i4>1441842</vt:i4>
      </vt:variant>
      <vt:variant>
        <vt:i4>8</vt:i4>
      </vt:variant>
      <vt:variant>
        <vt:i4>0</vt:i4>
      </vt:variant>
      <vt:variant>
        <vt:i4>5</vt:i4>
      </vt:variant>
      <vt:variant>
        <vt:lpwstr/>
      </vt:variant>
      <vt:variant>
        <vt:lpwstr>_Toc356566179</vt:lpwstr>
      </vt:variant>
      <vt:variant>
        <vt:i4>1441842</vt:i4>
      </vt:variant>
      <vt:variant>
        <vt:i4>2</vt:i4>
      </vt:variant>
      <vt:variant>
        <vt:i4>0</vt:i4>
      </vt:variant>
      <vt:variant>
        <vt:i4>5</vt:i4>
      </vt:variant>
      <vt:variant>
        <vt:lpwstr/>
      </vt:variant>
      <vt:variant>
        <vt:lpwstr>_Toc356566178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Privacy Data</dc:title>
  <dc:subject>GDPR</dc:subject>
  <dc:creator>Defradar</dc:creator>
  <cp:keywords/>
  <dc:description/>
  <cp:lastModifiedBy>Roland Costea</cp:lastModifiedBy>
  <cp:revision>59</cp:revision>
  <cp:lastPrinted>2009-10-21T10:34:00Z</cp:lastPrinted>
  <dcterms:created xsi:type="dcterms:W3CDTF">2015-03-15T09:22:00Z</dcterms:created>
  <dcterms:modified xsi:type="dcterms:W3CDTF">2018-04-03T06:37:00Z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