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BC6" w:rsidRPr="008C223C" w:rsidRDefault="00E97BC6" w:rsidP="00E97BC6">
      <w:pPr>
        <w:pStyle w:val="loose3"/>
        <w:spacing w:before="0" w:line="240" w:lineRule="auto"/>
        <w:rPr>
          <w:rFonts w:ascii="Palatino Linotype" w:hAnsi="Palatino Linotype"/>
          <w:b/>
        </w:rPr>
      </w:pPr>
      <w:r>
        <w:rPr>
          <w:rStyle w:val="noteleft10"/>
          <w:rFonts w:ascii="Palatino Linotype" w:hAnsi="Palatino Linotype" w:cs="Arial"/>
          <w:b/>
          <w:color w:val="auto"/>
          <w:sz w:val="32"/>
          <w:szCs w:val="32"/>
          <w:specVanish w:val="0"/>
        </w:rPr>
        <w:t>Subject access request policy (GDPR compliant)</w:t>
      </w:r>
    </w:p>
    <w:p w:rsidR="00E97BC6" w:rsidRPr="008C223C" w:rsidRDefault="00E97BC6" w:rsidP="00E97BC6">
      <w:pPr>
        <w:rPr>
          <w:rFonts w:ascii="Palatino Linotype" w:hAnsi="Palatino Linotype"/>
        </w:rPr>
      </w:pPr>
    </w:p>
    <w:p w:rsidR="004D2F78" w:rsidRPr="004D2F78" w:rsidRDefault="004D2F78" w:rsidP="00E97BC6">
      <w:pPr>
        <w:rPr>
          <w:rFonts w:ascii="Palatino Linotype" w:hAnsi="Palatino Linotype"/>
          <w:b/>
          <w:sz w:val="28"/>
        </w:rPr>
      </w:pPr>
      <w:r w:rsidRPr="004D2F78">
        <w:rPr>
          <w:rFonts w:ascii="Palatino Linotype" w:hAnsi="Palatino Linotype"/>
          <w:b/>
          <w:sz w:val="28"/>
        </w:rPr>
        <w:t>Introduction</w:t>
      </w:r>
    </w:p>
    <w:p w:rsidR="00E97BC6" w:rsidRPr="008C223C" w:rsidRDefault="00E97BC6" w:rsidP="00E97BC6">
      <w:pPr>
        <w:rPr>
          <w:rFonts w:ascii="Palatino Linotype" w:hAnsi="Palatino Linotype"/>
        </w:rPr>
      </w:pPr>
      <w:r w:rsidRPr="008C223C">
        <w:rPr>
          <w:rFonts w:ascii="Palatino Linotype" w:hAnsi="Palatino Linotype"/>
        </w:rPr>
        <w:t xml:space="preserve">Under the General Data Protection Regulation (GDPR), you have a right to receive confirmation that an organisation processes your </w:t>
      </w:r>
      <w:r>
        <w:rPr>
          <w:rFonts w:ascii="Palatino Linotype" w:hAnsi="Palatino Linotype"/>
        </w:rPr>
        <w:t xml:space="preserve">personal </w:t>
      </w:r>
      <w:r w:rsidRPr="008C223C">
        <w:rPr>
          <w:rFonts w:ascii="Palatino Linotype" w:hAnsi="Palatino Linotype"/>
        </w:rPr>
        <w:t>data, and also a right to access that data</w:t>
      </w:r>
      <w:r>
        <w:rPr>
          <w:rFonts w:ascii="Palatino Linotype" w:hAnsi="Palatino Linotype"/>
        </w:rPr>
        <w:t xml:space="preserve"> so that you may be aware of it and are able to verify the lawfulness of the processing. </w:t>
      </w:r>
      <w:r w:rsidRPr="008C223C">
        <w:rPr>
          <w:rFonts w:ascii="Palatino Linotype" w:hAnsi="Palatino Linotype"/>
        </w:rPr>
        <w:t xml:space="preserve">The process for doing so is called a subject access request and this policy sets out the procedure to be undertaken when such a request is made by you regarding </w:t>
      </w:r>
      <w:r>
        <w:rPr>
          <w:rFonts w:ascii="Palatino Linotype" w:hAnsi="Palatino Linotype"/>
        </w:rPr>
        <w:t>data processed about you</w:t>
      </w:r>
      <w:r w:rsidRPr="008C223C">
        <w:rPr>
          <w:rFonts w:ascii="Palatino Linotype" w:hAnsi="Palatino Linotype"/>
        </w:rPr>
        <w:t xml:space="preserve"> by the Company.</w:t>
      </w:r>
    </w:p>
    <w:p w:rsidR="00E97BC6" w:rsidRDefault="00E97BC6" w:rsidP="00E97BC6">
      <w:pPr>
        <w:rPr>
          <w:rFonts w:ascii="Palatino Linotype" w:hAnsi="Palatino Linotype"/>
          <w:b/>
        </w:rPr>
      </w:pPr>
    </w:p>
    <w:p w:rsidR="00E97BC6" w:rsidRPr="004D2F78" w:rsidRDefault="00E97BC6" w:rsidP="00E97BC6">
      <w:pPr>
        <w:rPr>
          <w:rFonts w:ascii="Palatino Linotype" w:hAnsi="Palatino Linotype"/>
          <w:b/>
          <w:sz w:val="28"/>
        </w:rPr>
      </w:pPr>
      <w:r w:rsidRPr="00E97BC6">
        <w:rPr>
          <w:rFonts w:ascii="Palatino Linotype" w:hAnsi="Palatino Linotype"/>
          <w:b/>
          <w:sz w:val="28"/>
        </w:rPr>
        <w:t>What is personal data?</w:t>
      </w:r>
    </w:p>
    <w:p w:rsidR="00E97BC6" w:rsidRDefault="00E97BC6" w:rsidP="00E97BC6">
      <w:pPr>
        <w:rPr>
          <w:rFonts w:ascii="Palatino Linotype" w:hAnsi="Palatino Linotype"/>
        </w:rPr>
      </w:pPr>
      <w:r>
        <w:rPr>
          <w:rFonts w:ascii="Palatino Linotype" w:hAnsi="Palatino Linotype"/>
        </w:rPr>
        <w:t>“Personal data” is any information relating to an identifiable person who can be directly or indirectly identified in particular by refe</w:t>
      </w:r>
      <w:bookmarkStart w:id="0" w:name="_GoBack"/>
      <w:bookmarkEnd w:id="0"/>
      <w:r>
        <w:rPr>
          <w:rFonts w:ascii="Palatino Linotype" w:hAnsi="Palatino Linotype"/>
        </w:rPr>
        <w:t>rence to an identifier, including your name.</w:t>
      </w:r>
    </w:p>
    <w:p w:rsidR="004D2F78" w:rsidRDefault="004D2F78" w:rsidP="00E97BC6">
      <w:pPr>
        <w:rPr>
          <w:rFonts w:ascii="Palatino Linotype" w:hAnsi="Palatino Linotype"/>
        </w:rPr>
      </w:pPr>
    </w:p>
    <w:p w:rsidR="00E97BC6" w:rsidRDefault="00E97BC6" w:rsidP="00E97BC6">
      <w:pPr>
        <w:rPr>
          <w:rFonts w:ascii="Palatino Linotype" w:hAnsi="Palatino Linotype"/>
        </w:rPr>
      </w:pPr>
      <w:r>
        <w:rPr>
          <w:rFonts w:ascii="Palatino Linotype" w:hAnsi="Palatino Linotype"/>
        </w:rPr>
        <w:t xml:space="preserve">“Special categories of personal data” includes information relating to: </w:t>
      </w:r>
    </w:p>
    <w:p w:rsidR="00E97BC6" w:rsidRPr="00E05049" w:rsidRDefault="00E97BC6" w:rsidP="00E97BC6">
      <w:pPr>
        <w:rPr>
          <w:rFonts w:ascii="Palatino Linotype" w:hAnsi="Palatino Linotype"/>
        </w:rPr>
      </w:pP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race</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ethnic origin</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politics</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religion</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trade union membership</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genetics</w:t>
      </w:r>
    </w:p>
    <w:p w:rsidR="00E97BC6" w:rsidRPr="00E05049" w:rsidRDefault="00E97BC6" w:rsidP="00E97BC6">
      <w:pPr>
        <w:numPr>
          <w:ilvl w:val="0"/>
          <w:numId w:val="17"/>
        </w:numPr>
        <w:rPr>
          <w:rFonts w:ascii="Palatino Linotype" w:hAnsi="Palatino Linotype"/>
          <w:lang w:val="en"/>
        </w:rPr>
      </w:pPr>
      <w:r w:rsidRPr="00E05049">
        <w:rPr>
          <w:rFonts w:ascii="Palatino Linotype" w:hAnsi="Palatino Linotype"/>
          <w:lang w:val="en"/>
        </w:rPr>
        <w:t>biometri</w:t>
      </w:r>
      <w:r>
        <w:rPr>
          <w:rFonts w:ascii="Palatino Linotype" w:hAnsi="Palatino Linotype"/>
          <w:lang w:val="en"/>
        </w:rPr>
        <w:t>cs (where used for ID purposes)</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health</w:t>
      </w:r>
    </w:p>
    <w:p w:rsidR="00E97BC6" w:rsidRPr="00E05049" w:rsidRDefault="00E97BC6" w:rsidP="00E97BC6">
      <w:pPr>
        <w:numPr>
          <w:ilvl w:val="0"/>
          <w:numId w:val="17"/>
        </w:numPr>
        <w:rPr>
          <w:rFonts w:ascii="Palatino Linotype" w:hAnsi="Palatino Linotype"/>
          <w:lang w:val="en"/>
        </w:rPr>
      </w:pPr>
      <w:r>
        <w:rPr>
          <w:rFonts w:ascii="Palatino Linotype" w:hAnsi="Palatino Linotype"/>
          <w:lang w:val="en"/>
        </w:rPr>
        <w:t>sex life</w:t>
      </w:r>
      <w:r w:rsidRPr="00E05049">
        <w:rPr>
          <w:rFonts w:ascii="Palatino Linotype" w:hAnsi="Palatino Linotype"/>
          <w:lang w:val="en"/>
        </w:rPr>
        <w:t xml:space="preserve"> or</w:t>
      </w:r>
    </w:p>
    <w:p w:rsidR="00E97BC6" w:rsidRPr="00E05049" w:rsidRDefault="00E97BC6" w:rsidP="00E97BC6">
      <w:pPr>
        <w:numPr>
          <w:ilvl w:val="0"/>
          <w:numId w:val="17"/>
        </w:numPr>
        <w:rPr>
          <w:rFonts w:ascii="Palatino Linotype" w:hAnsi="Palatino Linotype"/>
          <w:lang w:val="en"/>
        </w:rPr>
      </w:pPr>
      <w:r w:rsidRPr="00E05049">
        <w:rPr>
          <w:rFonts w:ascii="Palatino Linotype" w:hAnsi="Palatino Linotype"/>
          <w:lang w:val="en"/>
        </w:rPr>
        <w:t>sexual orientation.</w:t>
      </w:r>
    </w:p>
    <w:p w:rsidR="00E97BC6" w:rsidRDefault="00E97BC6" w:rsidP="00E97BC6">
      <w:pPr>
        <w:rPr>
          <w:rFonts w:ascii="Palatino Linotype" w:hAnsi="Palatino Linotype"/>
          <w:b/>
        </w:rPr>
      </w:pPr>
    </w:p>
    <w:p w:rsidR="00E97BC6" w:rsidRPr="004D2F78" w:rsidRDefault="00E97BC6" w:rsidP="00E97BC6">
      <w:pPr>
        <w:rPr>
          <w:rFonts w:ascii="Palatino Linotype" w:hAnsi="Palatino Linotype"/>
          <w:b/>
          <w:sz w:val="28"/>
        </w:rPr>
      </w:pPr>
      <w:r w:rsidRPr="004D2F78">
        <w:rPr>
          <w:rFonts w:ascii="Palatino Linotype" w:hAnsi="Palatino Linotype"/>
          <w:b/>
          <w:sz w:val="28"/>
        </w:rPr>
        <w:t>Information you are entitled to</w:t>
      </w:r>
    </w:p>
    <w:p w:rsidR="00E97BC6" w:rsidRDefault="00E97BC6" w:rsidP="00E97BC6">
      <w:pPr>
        <w:rPr>
          <w:rFonts w:ascii="Palatino Linotype" w:hAnsi="Palatino Linotype"/>
        </w:rPr>
      </w:pPr>
      <w:r>
        <w:rPr>
          <w:rFonts w:ascii="Palatino Linotype" w:hAnsi="Palatino Linotype"/>
        </w:rPr>
        <w:t>When you make a subject access request, you will be informed of</w:t>
      </w:r>
      <w:r w:rsidRPr="00422373">
        <w:rPr>
          <w:rFonts w:ascii="Palatino Linotype" w:hAnsi="Palatino Linotype"/>
        </w:rPr>
        <w:t>:</w:t>
      </w:r>
    </w:p>
    <w:p w:rsidR="00E97BC6" w:rsidRPr="004D2F78" w:rsidRDefault="00E97BC6" w:rsidP="00E97BC6">
      <w:pPr>
        <w:rPr>
          <w:rFonts w:ascii="Palatino Linotype" w:hAnsi="Palatino Linotype"/>
          <w:szCs w:val="24"/>
        </w:rPr>
      </w:pP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 xml:space="preserve">whether or not your data is processed and the reasons for the processing of your data </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the categories of personal data concerning you</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where your data has been collected from if it was not collected from you</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anyone who your personal data has been disclosed to or will be disclosed to, including anyone outside of the EEA and the safeguards utilised to ensure data security</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how long your data is kept for (or how that period is decided)</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lastRenderedPageBreak/>
        <w:t>your rights in relation to data rectification, erasure, restriction of and objection to processing</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eastAsia="Times New Roman" w:hAnsi="Palatino Linotype" w:cs="Helvetica"/>
          <w:sz w:val="24"/>
          <w:szCs w:val="24"/>
          <w:lang w:eastAsia="en-GB"/>
        </w:rPr>
        <w:t>your right to complain to the Information Commissioner if you are of the opinion that your rights have been infringed</w:t>
      </w:r>
    </w:p>
    <w:p w:rsidR="00E97BC6" w:rsidRPr="004D2F78" w:rsidRDefault="00E97BC6" w:rsidP="00E97BC6">
      <w:pPr>
        <w:pStyle w:val="ListParagraph"/>
        <w:numPr>
          <w:ilvl w:val="0"/>
          <w:numId w:val="18"/>
        </w:numPr>
        <w:spacing w:after="0" w:line="240" w:lineRule="auto"/>
        <w:rPr>
          <w:rFonts w:ascii="Palatino Linotype" w:hAnsi="Palatino Linotype"/>
          <w:sz w:val="24"/>
          <w:szCs w:val="24"/>
        </w:rPr>
      </w:pPr>
      <w:r w:rsidRPr="004D2F78">
        <w:rPr>
          <w:rFonts w:ascii="Palatino Linotype" w:hAnsi="Palatino Linotype"/>
          <w:sz w:val="24"/>
          <w:szCs w:val="24"/>
        </w:rPr>
        <w:t>the reasoning behind any automated decisions taken about you.</w:t>
      </w:r>
    </w:p>
    <w:p w:rsidR="00E97BC6" w:rsidRDefault="00E97BC6" w:rsidP="00E97BC6">
      <w:pPr>
        <w:rPr>
          <w:rFonts w:ascii="Palatino Linotype" w:hAnsi="Palatino Linotype"/>
          <w:b/>
        </w:rPr>
      </w:pPr>
    </w:p>
    <w:p w:rsidR="00E97BC6" w:rsidRPr="004D2F78" w:rsidRDefault="00E97BC6" w:rsidP="00E97BC6">
      <w:pPr>
        <w:rPr>
          <w:rFonts w:ascii="Palatino Linotype" w:hAnsi="Palatino Linotype"/>
          <w:b/>
          <w:sz w:val="28"/>
        </w:rPr>
      </w:pPr>
      <w:r w:rsidRPr="004D2F78">
        <w:rPr>
          <w:rFonts w:ascii="Palatino Linotype" w:hAnsi="Palatino Linotype"/>
          <w:b/>
          <w:sz w:val="28"/>
        </w:rPr>
        <w:t>Making a subject access request</w:t>
      </w:r>
    </w:p>
    <w:p w:rsidR="00E97BC6" w:rsidRDefault="00E97BC6" w:rsidP="00E97BC6">
      <w:pPr>
        <w:rPr>
          <w:rFonts w:ascii="Palatino Linotype" w:hAnsi="Palatino Linotype"/>
        </w:rPr>
      </w:pPr>
      <w:r>
        <w:rPr>
          <w:rFonts w:ascii="Palatino Linotype" w:hAnsi="Palatino Linotype"/>
        </w:rPr>
        <w:t>Subject access requests must be made in writing and can be made in either hard copy format or electronically. Your line manager can provide you with a form for making a request though making a request in this format is not a requirement. Including specific details of the data you wish to see in your request will enable a more efficient response from the Company. We may need to contact you for further details on your request if insufficient information is contained in the original request.</w:t>
      </w:r>
    </w:p>
    <w:p w:rsidR="00E97BC6" w:rsidRDefault="00E97BC6" w:rsidP="00E97BC6">
      <w:pPr>
        <w:rPr>
          <w:rFonts w:ascii="Palatino Linotype" w:hAnsi="Palatino Linotype"/>
        </w:rPr>
      </w:pPr>
    </w:p>
    <w:p w:rsidR="00E97BC6" w:rsidRDefault="00E97BC6" w:rsidP="00E97BC6">
      <w:pPr>
        <w:rPr>
          <w:rFonts w:ascii="Palatino Linotype" w:hAnsi="Palatino Linotype"/>
        </w:rPr>
      </w:pPr>
      <w:r>
        <w:rPr>
          <w:rFonts w:ascii="Palatino Linotype" w:hAnsi="Palatino Linotype"/>
        </w:rPr>
        <w:t>Requests may be made by you personally or by a third party eg a solicitor acting on your behalf. We will request evidence that the third party is entitled to act on your behalf if this is not provided at the same time as the request is made.</w:t>
      </w:r>
    </w:p>
    <w:p w:rsidR="00E97BC6" w:rsidRDefault="00E97BC6" w:rsidP="00E97BC6">
      <w:pPr>
        <w:rPr>
          <w:rFonts w:ascii="Palatino Linotype" w:hAnsi="Palatino Linotype"/>
          <w:b/>
        </w:rPr>
      </w:pPr>
    </w:p>
    <w:p w:rsidR="00E97BC6" w:rsidRDefault="00E97BC6" w:rsidP="00E97BC6">
      <w:pPr>
        <w:rPr>
          <w:rFonts w:ascii="Palatino Linotype" w:hAnsi="Palatino Linotype"/>
        </w:rPr>
      </w:pPr>
      <w:r w:rsidRPr="004D2F78">
        <w:rPr>
          <w:rFonts w:ascii="Palatino Linotype" w:hAnsi="Palatino Linotype"/>
          <w:b/>
          <w:sz w:val="28"/>
        </w:rPr>
        <w:t>Upon receiving a</w:t>
      </w:r>
      <w:r w:rsidRPr="004D2F78">
        <w:rPr>
          <w:rFonts w:ascii="Palatino Linotype" w:hAnsi="Palatino Linotype"/>
          <w:sz w:val="28"/>
        </w:rPr>
        <w:t xml:space="preserve"> </w:t>
      </w:r>
      <w:r w:rsidRPr="004D2F78">
        <w:rPr>
          <w:rFonts w:ascii="Palatino Linotype" w:hAnsi="Palatino Linotype"/>
          <w:b/>
          <w:sz w:val="28"/>
        </w:rPr>
        <w:t>subject access request</w:t>
      </w:r>
    </w:p>
    <w:p w:rsidR="00E97BC6" w:rsidRDefault="00E97BC6" w:rsidP="00E97BC6">
      <w:pPr>
        <w:rPr>
          <w:rFonts w:ascii="Palatino Linotype" w:hAnsi="Palatino Linotype"/>
        </w:rPr>
      </w:pPr>
      <w:r>
        <w:rPr>
          <w:rFonts w:ascii="Palatino Linotype" w:hAnsi="Palatino Linotype"/>
        </w:rPr>
        <w:t>The Company</w:t>
      </w:r>
      <w:r w:rsidRPr="008C223C">
        <w:rPr>
          <w:rFonts w:ascii="Palatino Linotype" w:hAnsi="Palatino Linotype"/>
        </w:rPr>
        <w:t xml:space="preserve"> will comply with your request without delay and at the latest within one month unless one of the following applies:</w:t>
      </w:r>
    </w:p>
    <w:p w:rsidR="00E97BC6" w:rsidRPr="008C223C" w:rsidRDefault="00E97BC6" w:rsidP="00E97BC6">
      <w:pPr>
        <w:rPr>
          <w:rFonts w:ascii="Palatino Linotype" w:hAnsi="Palatino Linotype"/>
        </w:rPr>
      </w:pPr>
    </w:p>
    <w:p w:rsidR="00E97BC6" w:rsidRPr="008C223C" w:rsidRDefault="004D2F78" w:rsidP="00E97BC6">
      <w:pPr>
        <w:pStyle w:val="ListParagraph"/>
        <w:numPr>
          <w:ilvl w:val="0"/>
          <w:numId w:val="16"/>
        </w:numPr>
        <w:spacing w:after="0" w:line="240" w:lineRule="auto"/>
        <w:rPr>
          <w:rFonts w:ascii="Palatino Linotype" w:hAnsi="Palatino Linotype"/>
        </w:rPr>
      </w:pPr>
      <w:r>
        <w:rPr>
          <w:rFonts w:ascii="Palatino Linotype" w:hAnsi="Palatino Linotype"/>
        </w:rPr>
        <w:t>i</w:t>
      </w:r>
      <w:r w:rsidR="00E97BC6" w:rsidRPr="008C223C">
        <w:rPr>
          <w:rFonts w:ascii="Palatino Linotype" w:hAnsi="Palatino Linotype"/>
        </w:rPr>
        <w:t xml:space="preserve">n some cases, we will be unable to supply certain </w:t>
      </w:r>
      <w:r w:rsidR="00E97BC6">
        <w:rPr>
          <w:rFonts w:ascii="Palatino Linotype" w:hAnsi="Palatino Linotype"/>
        </w:rPr>
        <w:t>pieces of information that you</w:t>
      </w:r>
      <w:r w:rsidR="00E97BC6" w:rsidRPr="008C223C">
        <w:rPr>
          <w:rFonts w:ascii="Palatino Linotype" w:hAnsi="Palatino Linotype"/>
        </w:rPr>
        <w:t xml:space="preserve"> have requested. This may be because </w:t>
      </w:r>
      <w:r w:rsidR="00E97BC6">
        <w:rPr>
          <w:rFonts w:ascii="Palatino Linotype" w:hAnsi="Palatino Linotype"/>
        </w:rPr>
        <w:t>it is subject to legal privilege or relates to management planning. Where this is the case, the Company</w:t>
      </w:r>
      <w:r w:rsidR="00E97BC6" w:rsidRPr="008C223C">
        <w:rPr>
          <w:rFonts w:ascii="Palatino Linotype" w:hAnsi="Palatino Linotype"/>
        </w:rPr>
        <w:t xml:space="preserve"> will inform you</w:t>
      </w:r>
      <w:r w:rsidR="00E97BC6">
        <w:rPr>
          <w:rFonts w:ascii="Palatino Linotype" w:hAnsi="Palatino Linotype"/>
        </w:rPr>
        <w:t xml:space="preserve"> that your request cannot be complied with and an explanation of</w:t>
      </w:r>
      <w:r w:rsidR="00E97BC6" w:rsidRPr="008C223C">
        <w:rPr>
          <w:rFonts w:ascii="Palatino Linotype" w:hAnsi="Palatino Linotype"/>
        </w:rPr>
        <w:t xml:space="preserve"> the reason </w:t>
      </w:r>
      <w:r w:rsidR="00E97BC6">
        <w:rPr>
          <w:rFonts w:ascii="Palatino Linotype" w:hAnsi="Palatino Linotype"/>
        </w:rPr>
        <w:t>will be provided</w:t>
      </w:r>
    </w:p>
    <w:p w:rsidR="00E97BC6" w:rsidRPr="008C223C" w:rsidRDefault="004D2F78" w:rsidP="00E97BC6">
      <w:pPr>
        <w:pStyle w:val="ListParagraph"/>
        <w:numPr>
          <w:ilvl w:val="0"/>
          <w:numId w:val="16"/>
        </w:numPr>
        <w:spacing w:after="0" w:line="240" w:lineRule="auto"/>
        <w:rPr>
          <w:rFonts w:ascii="Palatino Linotype" w:hAnsi="Palatino Linotype"/>
        </w:rPr>
      </w:pPr>
      <w:r>
        <w:rPr>
          <w:rFonts w:ascii="Palatino Linotype" w:hAnsi="Palatino Linotype"/>
        </w:rPr>
        <w:t>w</w:t>
      </w:r>
      <w:r w:rsidR="00E97BC6" w:rsidRPr="008C223C">
        <w:rPr>
          <w:rFonts w:ascii="Palatino Linotype" w:hAnsi="Palatino Linotype"/>
        </w:rPr>
        <w:t>e require extra time because the requests are complex or numerous. In these circumstances, the Company will write to you within one month of receipt of your request to explain why an extension is required. Where an extension is required, information will be provided within three months of the request</w:t>
      </w:r>
      <w:r w:rsidR="00E97BC6">
        <w:rPr>
          <w:rFonts w:ascii="Palatino Linotype" w:hAnsi="Palatino Linotype"/>
        </w:rPr>
        <w:t>.</w:t>
      </w:r>
      <w:r w:rsidR="00E97BC6" w:rsidRPr="008C223C">
        <w:rPr>
          <w:rFonts w:ascii="Palatino Linotype" w:hAnsi="Palatino Linotype"/>
        </w:rPr>
        <w:t xml:space="preserve"> </w:t>
      </w:r>
    </w:p>
    <w:p w:rsidR="00E97BC6" w:rsidRDefault="00E97BC6" w:rsidP="00E97BC6">
      <w:pPr>
        <w:rPr>
          <w:rFonts w:ascii="Palatino Linotype" w:hAnsi="Palatino Linotype"/>
        </w:rPr>
      </w:pPr>
    </w:p>
    <w:p w:rsidR="00E97BC6" w:rsidRPr="00D87E6D" w:rsidRDefault="00E97BC6" w:rsidP="00E97BC6">
      <w:pPr>
        <w:rPr>
          <w:rFonts w:ascii="Palatino Linotype" w:hAnsi="Palatino Linotype"/>
        </w:rPr>
      </w:pPr>
      <w:r w:rsidRPr="00D87E6D">
        <w:rPr>
          <w:rFonts w:ascii="Palatino Linotype" w:hAnsi="Palatino Linotype"/>
        </w:rPr>
        <w:t>Before supplying the data (where appropriate) we may contact you asking for proof of identity. You must produce this evidence for your request to be complied with.</w:t>
      </w:r>
    </w:p>
    <w:p w:rsidR="00E97BC6" w:rsidRPr="00D87E6D" w:rsidRDefault="00E97BC6" w:rsidP="00E97BC6">
      <w:pPr>
        <w:rPr>
          <w:rFonts w:ascii="Palatino Linotype" w:hAnsi="Palatino Linotype"/>
        </w:rPr>
      </w:pPr>
      <w:r w:rsidRPr="00D87E6D">
        <w:rPr>
          <w:rFonts w:ascii="Palatino Linotype" w:hAnsi="Palatino Linotype"/>
        </w:rPr>
        <w:t>Your request will normally be complied with free of charge. However, we may charge a reasonable fee if the request is</w:t>
      </w:r>
      <w:r w:rsidRPr="00D87E6D">
        <w:rPr>
          <w:rFonts w:ascii="Palatino Linotype" w:hAnsi="Palatino Linotype" w:cs="Arial"/>
          <w:color w:val="000000"/>
          <w:lang w:val="en"/>
        </w:rPr>
        <w:t xml:space="preserve"> manifestly unfounded or excessive, or if it is repetitive. In addition, we may charge a reasonable fee if you request further copies of the same information. The fee charged will be based on the administrative cost of providing the information requested.</w:t>
      </w:r>
    </w:p>
    <w:p w:rsidR="00E97BC6" w:rsidRDefault="00E97BC6" w:rsidP="00E97BC6">
      <w:pPr>
        <w:rPr>
          <w:rFonts w:ascii="Palatino Linotype" w:hAnsi="Palatino Linotype"/>
          <w:b/>
        </w:rPr>
      </w:pPr>
    </w:p>
    <w:p w:rsidR="004D2F78" w:rsidRDefault="004D2F78" w:rsidP="00E97BC6">
      <w:pPr>
        <w:rPr>
          <w:rFonts w:ascii="Palatino Linotype" w:hAnsi="Palatino Linotype"/>
          <w:b/>
          <w:sz w:val="28"/>
        </w:rPr>
      </w:pPr>
    </w:p>
    <w:p w:rsidR="00E97BC6" w:rsidRPr="004D2F78" w:rsidRDefault="00E97BC6" w:rsidP="00E97BC6">
      <w:pPr>
        <w:rPr>
          <w:rFonts w:ascii="Palatino Linotype" w:hAnsi="Palatino Linotype"/>
          <w:b/>
          <w:sz w:val="28"/>
        </w:rPr>
      </w:pPr>
      <w:r w:rsidRPr="004D2F78">
        <w:rPr>
          <w:rFonts w:ascii="Palatino Linotype" w:hAnsi="Palatino Linotype"/>
          <w:b/>
          <w:sz w:val="28"/>
        </w:rPr>
        <w:lastRenderedPageBreak/>
        <w:t xml:space="preserve">Refusing a request </w:t>
      </w:r>
    </w:p>
    <w:p w:rsidR="00E97BC6" w:rsidRDefault="00E97BC6" w:rsidP="00E97BC6">
      <w:pPr>
        <w:rPr>
          <w:rFonts w:ascii="Palatino Linotype" w:hAnsi="Palatino Linotype"/>
        </w:rPr>
      </w:pPr>
      <w:r>
        <w:rPr>
          <w:rFonts w:ascii="Palatino Linotype" w:hAnsi="Palatino Linotype"/>
        </w:rPr>
        <w:t xml:space="preserve">The Company may refuse to comply with a subject access request if it </w:t>
      </w:r>
      <w:r w:rsidRPr="00D87E6D">
        <w:rPr>
          <w:rFonts w:ascii="Palatino Linotype" w:hAnsi="Palatino Linotype"/>
        </w:rPr>
        <w:t>is</w:t>
      </w:r>
      <w:r w:rsidRPr="00D87E6D">
        <w:rPr>
          <w:rFonts w:ascii="Palatino Linotype" w:hAnsi="Palatino Linotype" w:cs="Arial"/>
          <w:color w:val="000000"/>
          <w:lang w:val="en"/>
        </w:rPr>
        <w:t xml:space="preserve"> manifestly unfounded or excessive, or if it is repetitive</w:t>
      </w:r>
      <w:r>
        <w:rPr>
          <w:rFonts w:ascii="Palatino Linotype" w:hAnsi="Palatino Linotype" w:cs="Arial"/>
          <w:color w:val="000000"/>
          <w:lang w:val="en"/>
        </w:rPr>
        <w:t xml:space="preserve">. In these circumstances, we will write to you without undue delay and at the latest within one month of receipt to explain why we are unable to comply. You will be informed of the right to complain to the Information Commissioner and to a judicial remedy. </w:t>
      </w:r>
    </w:p>
    <w:p w:rsidR="00E97BC6" w:rsidRDefault="00E97BC6" w:rsidP="00E97BC6">
      <w:pPr>
        <w:rPr>
          <w:rFonts w:ascii="Palatino Linotype" w:hAnsi="Palatino Linotype"/>
        </w:rPr>
      </w:pPr>
    </w:p>
    <w:p w:rsidR="00E97BC6" w:rsidRPr="00422373" w:rsidRDefault="00E97BC6" w:rsidP="00E97BC6">
      <w:pPr>
        <w:rPr>
          <w:rFonts w:ascii="Palatino Linotype" w:hAnsi="Palatino Linotype"/>
          <w:b/>
        </w:rPr>
      </w:pPr>
      <w:r w:rsidRPr="004D2F78">
        <w:rPr>
          <w:rFonts w:ascii="Palatino Linotype" w:hAnsi="Palatino Linotype"/>
          <w:b/>
          <w:sz w:val="28"/>
        </w:rPr>
        <w:t>Enforced subject access requests</w:t>
      </w:r>
    </w:p>
    <w:p w:rsidR="00E97BC6" w:rsidRPr="008C223C" w:rsidRDefault="00E97BC6" w:rsidP="00E97BC6">
      <w:pPr>
        <w:rPr>
          <w:rFonts w:ascii="Palatino Linotype" w:hAnsi="Palatino Linotype"/>
        </w:rPr>
      </w:pPr>
      <w:r>
        <w:rPr>
          <w:rFonts w:ascii="Palatino Linotype" w:hAnsi="Palatino Linotype"/>
        </w:rPr>
        <w:t>Forcing employees to obtain information via a subject access request, usually in relation to an individual’s criminal record, is a criminal offence. No employee of the Company will be required to make a subject access request.</w:t>
      </w:r>
    </w:p>
    <w:p w:rsidR="00E97BC6" w:rsidRPr="008C223C" w:rsidRDefault="00E97BC6" w:rsidP="00E97BC6">
      <w:pPr>
        <w:rPr>
          <w:rFonts w:ascii="Palatino Linotype" w:hAnsi="Palatino Linotype"/>
        </w:rPr>
      </w:pPr>
    </w:p>
    <w:p w:rsidR="00317DC4" w:rsidRPr="007744FD" w:rsidRDefault="00317DC4" w:rsidP="007744FD">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AF2" w:rsidRDefault="00E45AF2" w:rsidP="001A043C">
      <w:r>
        <w:separator/>
      </w:r>
    </w:p>
  </w:endnote>
  <w:endnote w:type="continuationSeparator" w:id="0">
    <w:p w:rsidR="00E45AF2" w:rsidRDefault="00E45AF2"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AF2" w:rsidRDefault="00E45AF2" w:rsidP="001A043C">
      <w:r>
        <w:separator/>
      </w:r>
    </w:p>
  </w:footnote>
  <w:footnote w:type="continuationSeparator" w:id="0">
    <w:p w:rsidR="00E45AF2" w:rsidRDefault="00E45AF2"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231535" w:rsidP="00A01850">
    <w:pPr>
      <w:pStyle w:val="Header"/>
    </w:pPr>
    <w:r>
      <w:rPr>
        <w:noProof/>
      </w:rPr>
      <w:drawing>
        <wp:inline distT="0" distB="0" distL="0" distR="0">
          <wp:extent cx="944109" cy="6698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956532" cy="6786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6330D9"/>
    <w:multiLevelType w:val="multilevel"/>
    <w:tmpl w:val="6EF6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A903CA"/>
    <w:multiLevelType w:val="hybridMultilevel"/>
    <w:tmpl w:val="FA02C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6E2B18"/>
    <w:multiLevelType w:val="hybridMultilevel"/>
    <w:tmpl w:val="EFFC4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1014CD"/>
    <w:rsid w:val="001706C5"/>
    <w:rsid w:val="001A043C"/>
    <w:rsid w:val="00201C24"/>
    <w:rsid w:val="0022495D"/>
    <w:rsid w:val="00231535"/>
    <w:rsid w:val="002643C5"/>
    <w:rsid w:val="002A3E9A"/>
    <w:rsid w:val="002D38AB"/>
    <w:rsid w:val="00317DC4"/>
    <w:rsid w:val="00346EC2"/>
    <w:rsid w:val="00377DCA"/>
    <w:rsid w:val="00396C77"/>
    <w:rsid w:val="003C2A80"/>
    <w:rsid w:val="003D45B9"/>
    <w:rsid w:val="003E1EC3"/>
    <w:rsid w:val="00433C42"/>
    <w:rsid w:val="00450BEF"/>
    <w:rsid w:val="0046243E"/>
    <w:rsid w:val="004626B1"/>
    <w:rsid w:val="004A4328"/>
    <w:rsid w:val="004B74B9"/>
    <w:rsid w:val="004D2F78"/>
    <w:rsid w:val="00564642"/>
    <w:rsid w:val="00581622"/>
    <w:rsid w:val="005B0782"/>
    <w:rsid w:val="00653EFB"/>
    <w:rsid w:val="006D6073"/>
    <w:rsid w:val="006F3D29"/>
    <w:rsid w:val="006F75DE"/>
    <w:rsid w:val="007744FD"/>
    <w:rsid w:val="00796D17"/>
    <w:rsid w:val="007A283C"/>
    <w:rsid w:val="007F053D"/>
    <w:rsid w:val="007F212B"/>
    <w:rsid w:val="008200FB"/>
    <w:rsid w:val="00834004"/>
    <w:rsid w:val="008C10AA"/>
    <w:rsid w:val="0091487F"/>
    <w:rsid w:val="00926136"/>
    <w:rsid w:val="0094502A"/>
    <w:rsid w:val="009901E9"/>
    <w:rsid w:val="009B212C"/>
    <w:rsid w:val="009B3C08"/>
    <w:rsid w:val="009F2E5D"/>
    <w:rsid w:val="009F5CDA"/>
    <w:rsid w:val="00A01850"/>
    <w:rsid w:val="00A774B7"/>
    <w:rsid w:val="00AE1756"/>
    <w:rsid w:val="00B012D5"/>
    <w:rsid w:val="00B1360C"/>
    <w:rsid w:val="00B670B3"/>
    <w:rsid w:val="00B74FC4"/>
    <w:rsid w:val="00C0596B"/>
    <w:rsid w:val="00C85BE9"/>
    <w:rsid w:val="00CC2C17"/>
    <w:rsid w:val="00D015C8"/>
    <w:rsid w:val="00D071EE"/>
    <w:rsid w:val="00DA71F6"/>
    <w:rsid w:val="00E45AF2"/>
    <w:rsid w:val="00E97BC6"/>
    <w:rsid w:val="00F022C7"/>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 w:type="paragraph" w:styleId="ListParagraph">
    <w:name w:val="List Paragraph"/>
    <w:basedOn w:val="Normal"/>
    <w:uiPriority w:val="34"/>
    <w:qFormat/>
    <w:rsid w:val="00E97BC6"/>
    <w:pPr>
      <w:spacing w:after="160" w:line="259" w:lineRule="auto"/>
      <w:ind w:left="720"/>
      <w:contextualSpacing/>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93095-9041-254F-ABD6-089085EB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7</TotalTime>
  <Pages>3</Pages>
  <Words>684</Words>
  <Characters>3875</Characters>
  <Application>Microsoft Office Word</Application>
  <DocSecurity>0</DocSecurity>
  <Lines>92</Lines>
  <Paragraphs>31</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4528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5</cp:revision>
  <dcterms:created xsi:type="dcterms:W3CDTF">2018-02-08T10:47:00Z</dcterms:created>
  <dcterms:modified xsi:type="dcterms:W3CDTF">2018-04-27T10:52:00Z</dcterms:modified>
</cp:coreProperties>
</file>