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Probably we should compress a bit the motivation part.</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Maybe we should involve the audience in the motivation part asking them why it is good to mix languages (we did that actually in this workshop).</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Probably we have too many examples in the first part and we should only demonstrate the technologies that we think are most important. We have for instance mentioned that PyBind11 and Cython is the most important - then we should probably not demo SWIG and F2Py.</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We need to really use the stickers to not lose people behind.</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Instructions and terminal session in part 1 was anaconda specific but not everybody might have this environment.</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We need to always test out all material that we have online to check for typos in source code examples.</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Too much material - we need to focus on the most useful techs (IMO PyBind11 and CFFI) and only mention the other tools.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Many examples are well explained and could be left to the learners to do with one-on-one help and using stickies. It’s difficult to listen to the instructor performing various steps (creating directories and files and compiling) and typing the commands oneself</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Gender inclusiveness: “if you’re a python guy” might annoy some people</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Use syntax highlighting in terminal on laptop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