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POC: Istio Service-to-Service</w:t>
        <w:br/>
        <w:t>mTLS and Workload Authorization</w:t>
      </w:r>
    </w:p>
    <w:p>
      <w:pPr>
        <w:jc w:val="center"/>
      </w:pPr>
      <w:r>
        <w:rPr>
          <w:i/>
        </w:rPr>
        <w:t>Service A → Spring Boot | Kubernetes ServiceAccount identity | Istio 1.31</w:t>
      </w:r>
    </w:p>
    <w:p>
      <w:pPr>
        <w:pStyle w:val="Heading1"/>
      </w:pPr>
      <w:r>
        <w:t>1. Purpose and Context</w:t>
      </w:r>
    </w:p>
    <w:p>
      <w:r>
        <w:t>This part of the POC demonstrates internal service-to-service security independently of the existing Keycloak/OIDC browser and bearer-token flows. The goal is to prove that an internal Kubernetes workload can call Spring Boot using Istio mTLS, that Istio authenticates the workload from its Kubernetes ServiceAccount identity, and that an AuthorizationPolicy can allow one workload identity while rejecting another.</w:t>
      </w:r>
    </w:p>
    <w:p>
      <w:r>
        <w:t>This is deliberately different from end-user authentication. Keycloak is not required for this first internal flow: mTLS establishes workload identity, while Istio AuthorizationPolicy decides whether that identity may access the endpoint.</w:t>
      </w:r>
    </w:p>
    <w:p>
      <w:pPr>
        <w:pStyle w:val="Heading1"/>
      </w:pPr>
      <w:r>
        <w:t>2. Target Architecture</w:t>
      </w:r>
    </w:p>
    <w:p>
      <w:pPr>
        <w:jc w:val="center"/>
        <w:shd w:fill="EAF2F8"/>
      </w:pPr>
      <w:r>
        <w:rPr>
          <w:rFonts w:ascii="Liberation Mono" w:hAnsi="Liberation Mono"/>
          <w:b/>
          <w:sz w:val="18"/>
        </w:rPr>
        <w:t>External user/API flow</w:t>
        <w:br/>
        <w:t>User → Keycloak/OIDC → JWT → Istio Ingress → JWT Authorization → Spring Boot</w:t>
        <w:br/>
        <w:br/>
        <w:t>Internal workload flow</w:t>
        <w:br/>
        <w:t>Service A application → Service A Envoy ══ mTLS ══&gt; Spring Envoy → AuthorizationPolicy → Spring Boot</w:t>
        <w:br/>
        <w:t xml:space="preserve">                         identity: service-a/service-a                    /api/internal</w:t>
      </w:r>
    </w:p>
    <w:p>
      <w:r>
        <w:t>The two flows demonstrate two different identity domains: Keycloak JWTs represent user/application OAuth identities, while Istio mTLS represents Kubernetes workload identity.</w:t>
      </w:r>
    </w:p>
    <w:p>
      <w:pPr>
        <w:pStyle w:val="Heading1"/>
      </w:pPr>
      <w:r>
        <w:t>3. Setup / Changes Made</w:t>
      </w:r>
    </w:p>
    <w:p>
      <w:pPr>
        <w:pStyle w:val="Heading2"/>
      </w:pPr>
      <w:r>
        <w:t>3.1 Istio upgrade</w:t>
      </w:r>
    </w:p>
    <w:p>
      <w:r>
        <w:t>The original POC used an older global istioctl (1.24.2). The environment was upgraded to Istio 1.31 so that the POC uses the current setup and the AuthorizationPolicy schema expected by the lab.</w:t>
      </w:r>
    </w:p>
    <w:p>
      <w:pPr>
        <w:pStyle w:val="CodeBlock"/>
        <w:shd w:fill="F3F5F7"/>
      </w:pPr>
      <w:r>
        <w:t>which istioctl</w:t>
        <w:br/>
        <w:t>istioctl version --remote=false</w:t>
      </w:r>
    </w:p>
    <w:p>
      <w:r>
        <w:t>The old CLI was found at ~/.istioctl/bin/istioctl and reported 1.24.2. After upgrading and recreating the Kind environment, the POC uses Istio 1.31.</w:t>
      </w:r>
    </w:p>
    <w:p>
      <w:pPr>
        <w:pStyle w:val="Heading2"/>
      </w:pPr>
      <w:r>
        <w:t>3.2 Service A namespace and workload identity</w:t>
      </w:r>
    </w:p>
    <w:p>
      <w:r>
        <w:t>Service A is placed in its own namespace with Istio sidecar injection enabled. A dedicated ServiceAccount is used instead of the namespace's default ServiceAccount. This gives Service A an explicit workload identity.</w:t>
      </w:r>
    </w:p>
    <w:p>
      <w:pPr>
        <w:pStyle w:val="CodeBlock"/>
        <w:shd w:fill="F3F5F7"/>
      </w:pPr>
      <w:r>
        <w:t>apiVersion: v1</w:t>
        <w:br/>
        <w:t>kind: Namespace</w:t>
        <w:br/>
        <w:t>metadata:</w:t>
        <w:br/>
        <w:t xml:space="preserve">  name: service-a</w:t>
        <w:br/>
        <w:t xml:space="preserve">  labels:</w:t>
        <w:br/>
        <w:t xml:space="preserve">    istio-injection: enabled</w:t>
        <w:br/>
        <w:t>---</w:t>
        <w:br/>
        <w:t>apiVersion: v1</w:t>
        <w:br/>
        <w:t>kind: ServiceAccount</w:t>
        <w:br/>
        <w:t>metadata:</w:t>
        <w:br/>
        <w:t xml:space="preserve">  name: service-a</w:t>
        <w:br/>
        <w:t xml:space="preserve">  namespace: service-a</w:t>
      </w:r>
    </w:p>
    <w:p>
      <w:r>
        <w:t>The resulting SPIFFE-style workload identity is:</w:t>
      </w:r>
    </w:p>
    <w:p>
      <w:pPr>
        <w:pStyle w:val="CodeBlock"/>
        <w:shd w:fill="F3F5F7"/>
      </w:pPr>
      <w:r>
        <w:t>cluster.local/ns/service-a/sa/service-a</w:t>
      </w:r>
    </w:p>
    <w:p>
      <w:r>
        <w:t>The Service A deployment sets serviceAccountName: service-a. The container is a simple curl-based workload used to generate internal requests.</w:t>
      </w:r>
    </w:p>
    <w:p>
      <w:pPr>
        <w:pStyle w:val="Heading2"/>
      </w:pPr>
      <w:r>
        <w:t>3.3 Spring internal endpoint</w:t>
      </w:r>
    </w:p>
    <w:p>
      <w:r>
        <w:t>A dedicated endpoint was added to Spring Boot for the service-to-service experiment:</w:t>
      </w:r>
    </w:p>
    <w:p>
      <w:pPr>
        <w:pStyle w:val="CodeBlock"/>
        <w:shd w:fill="F3F5F7"/>
      </w:pPr>
      <w:r>
        <w:t>@GetMapping("/api/internal")</w:t>
        <w:br/>
        <w:t>public Map&lt;String, Object&gt; internal() {</w:t>
        <w:br/>
        <w:t xml:space="preserve">    return Map.of(</w:t>
        <w:br/>
        <w:t xml:space="preserve">        "message", "internal service endpoint reached",</w:t>
        <w:br/>
        <w:t xml:space="preserve">        "time", Instant.now().toString()</w:t>
        <w:br/>
        <w:t xml:space="preserve">    );</w:t>
        <w:br/>
        <w:t>}</w:t>
      </w:r>
    </w:p>
    <w:p>
      <w:pPr>
        <w:pStyle w:val="Heading2"/>
      </w:pPr>
      <w:r>
        <w:t>3.4 Strict mTLS on Spring</w:t>
      </w:r>
    </w:p>
    <w:p>
      <w:r>
        <w:t>Spring is the destination workload, so PeerAuthentication is applied in the demo namespace to require mTLS for inbound mesh traffic.</w:t>
      </w:r>
    </w:p>
    <w:p>
      <w:pPr>
        <w:pStyle w:val="CodeBlock"/>
        <w:shd w:fill="F3F5F7"/>
      </w:pPr>
      <w:r>
        <w:t>apiVersion: security.istio.io/v1</w:t>
        <w:br/>
        <w:t>kind: PeerAuthentication</w:t>
        <w:br/>
        <w:t>metadata:</w:t>
        <w:br/>
        <w:t xml:space="preserve">  name: demo-strict-mtls</w:t>
        <w:br/>
        <w:t xml:space="preserve">  namespace: demo</w:t>
        <w:br/>
        <w:t>spec:</w:t>
        <w:br/>
        <w:t xml:space="preserve">  mtls:</w:t>
        <w:br/>
        <w:t xml:space="preserve">    mode: STRICT</w:t>
      </w:r>
    </w:p>
    <w:p>
      <w:pPr>
        <w:pStyle w:val="Heading2"/>
      </w:pPr>
      <w:r>
        <w:t>3.5 Workload AuthorizationPolicy</w:t>
      </w:r>
    </w:p>
    <w:p>
      <w:r>
        <w:t>The Spring workload has an ALLOW AuthorizationPolicy. For /api/internal, the intended source is the dedicated ServiceAccount service-a/service-a. The existing ingress path must also remain explicitly allowed because once an ALLOW policy applies to a workload, requests that match no ALLOW rule are denied.</w:t>
      </w:r>
    </w:p>
    <w:p>
      <w:pPr>
        <w:pStyle w:val="CodeBlock"/>
        <w:shd w:fill="F3F5F7"/>
      </w:pPr>
      <w:r>
        <w:t>apiVersion: security.istio.io/v1</w:t>
        <w:br/>
        <w:t>kind: AuthorizationPolicy</w:t>
        <w:br/>
        <w:t>metadata:</w:t>
        <w:br/>
        <w:t xml:space="preserve">  name: spring-workload-authorization</w:t>
        <w:br/>
        <w:t xml:space="preserve">  namespace: demo</w:t>
        <w:br/>
        <w:t>spec:</w:t>
        <w:br/>
        <w:t xml:space="preserve">  selector:</w:t>
        <w:br/>
        <w:t xml:space="preserve">    matchLabels:</w:t>
        <w:br/>
        <w:t xml:space="preserve">      app: spring-app</w:t>
        <w:br/>
        <w:t xml:space="preserve">  action: ALLOW</w:t>
        <w:br/>
        <w:t xml:space="preserve">  rules:</w:t>
        <w:br/>
        <w:t xml:space="preserve">  - from:</w:t>
        <w:br/>
        <w:t xml:space="preserve">    - source:</w:t>
        <w:br/>
        <w:t xml:space="preserve">        serviceAccounts:</w:t>
        <w:br/>
        <w:t xml:space="preserve">        - "service-a/service-a"</w:t>
        <w:br/>
        <w:t xml:space="preserve">    to:</w:t>
        <w:br/>
        <w:t xml:space="preserve">    - operation:</w:t>
        <w:br/>
        <w:t xml:space="preserve">        methods: ["GET"]</w:t>
        <w:br/>
        <w:t xml:space="preserve">        paths: ["/api/internal"]</w:t>
        <w:br/>
        <w:br/>
        <w:t xml:space="preserve">  # A second rule is used in the POC to preserve the existing</w:t>
        <w:br/>
        <w:t xml:space="preserve">  # Istio ingress → Spring endpoints.</w:t>
      </w:r>
    </w:p>
    <w:p>
      <w:r>
        <w:t>The exact second ingress rule should match the deployed POC manifest. Its purpose is to preserve the existing external /api/public, /api/user, /api/whoami, /api/headers, /api/admin and health flows.</w:t>
      </w:r>
    </w:p>
    <w:p>
      <w:pPr>
        <w:pStyle w:val="Heading1"/>
      </w:pPr>
      <w:r>
        <w:t>4. Verification Commands</w:t>
      </w:r>
    </w:p>
    <w:p>
      <w:pPr>
        <w:pStyle w:val="Heading2"/>
      </w:pPr>
      <w:r>
        <w:t>4.1 Confirm sidecars and ServiceAccount</w:t>
      </w:r>
    </w:p>
    <w:p>
      <w:pPr>
        <w:pStyle w:val="CodeBlock"/>
        <w:shd w:fill="F3F5F7"/>
      </w:pPr>
      <w:r>
        <w:t>kubectl get pods -n service-a</w:t>
        <w:br/>
        <w:t>kubectl get pods -n demo</w:t>
        <w:br/>
        <w:br/>
        <w:t>kubectl get pod -n service-a -l app=service-a \</w:t>
        <w:br/>
        <w:t xml:space="preserve">  -o jsonpath='{.items[0].spec.serviceAccountName}{"\n"}'</w:t>
      </w:r>
    </w:p>
    <w:p>
      <w:r>
        <w:t>Expected Service A ServiceAccount: service-a. Mesh-enabled application pods should normally show two containers: application + istio-proxy.</w:t>
      </w:r>
    </w:p>
    <w:p>
      <w:pPr>
        <w:pStyle w:val="Heading2"/>
      </w:pPr>
      <w:r>
        <w:t>4.2 Inspect Spring's effective Istio security</w:t>
      </w:r>
    </w:p>
    <w:p>
      <w:pPr>
        <w:pStyle w:val="CodeBlock"/>
        <w:shd w:fill="F3F5F7"/>
      </w:pPr>
      <w:r>
        <w:t>SPRING_POD=$(kubectl get pod -n demo \</w:t>
        <w:br/>
        <w:t xml:space="preserve">  -l app=spring-app \</w:t>
        <w:br/>
        <w:t xml:space="preserve">  -o jsonpath='{.items[0].metadata.name}')</w:t>
        <w:br/>
        <w:br/>
        <w:t>istioctl x describe pod "$SPRING_POD" -n demo</w:t>
      </w:r>
    </w:p>
    <w:p>
      <w:r>
        <w:t>Observed output in the POC:</w:t>
      </w:r>
    </w:p>
    <w:p>
      <w:pPr>
        <w:pStyle w:val="CodeBlock"/>
        <w:shd w:fill="F3F5F7"/>
      </w:pPr>
      <w:r>
        <w:t>Pod: spring-app-64dd556f97-tthts</w:t>
        <w:br/>
        <w:t>Pod Ports: 8080 (app), 15090 (istio-proxy)</w:t>
        <w:br/>
        <w:br/>
        <w:t>Service: spring-app</w:t>
        <w:br/>
        <w:t>Port: http 8080/HTTP targets pod port 8080</w:t>
        <w:br/>
        <w:br/>
        <w:t>RBAC policies:</w:t>
        <w:br/>
        <w:t xml:space="preserve">  ns[demo]-policy[spring-workload-authorization]-rule[0]</w:t>
        <w:br/>
        <w:t xml:space="preserve">  ns[demo]-policy[spring-workload-authorization]-rule[1]</w:t>
        <w:br/>
        <w:br/>
        <w:t>Effective PeerAuthentication:</w:t>
        <w:br/>
        <w:t xml:space="preserve">  Workload mTLS mode: STRICT</w:t>
        <w:br/>
        <w:br/>
        <w:t>Applied PeerAuthentication:</w:t>
        <w:br/>
        <w:t xml:space="preserve">  demo-strict-mtls.demo</w:t>
        <w:br/>
        <w:br/>
        <w:t>VirtualService: api.iam</w:t>
      </w:r>
    </w:p>
    <w:p>
      <w:r>
        <w:t>This confirms that Spring is selected by the Service, the workload authorization policy is attached, and inbound workload traffic is in STRICT mTLS mode.</w:t>
      </w:r>
    </w:p>
    <w:p>
      <w:pPr>
        <w:pStyle w:val="Heading2"/>
      </w:pPr>
      <w:r>
        <w:t>4.3 Positive test: Service A → Spring</w:t>
      </w:r>
    </w:p>
    <w:p>
      <w:pPr>
        <w:pStyle w:val="CodeBlock"/>
        <w:shd w:fill="F3F5F7"/>
      </w:pPr>
      <w:r>
        <w:t>kubectl exec -n service-a deploy/service-a -c service-a -- \</w:t>
        <w:br/>
        <w:t xml:space="preserve">  curl -i \</w:t>
        <w:br/>
        <w:t xml:space="preserve">  http://spring-app.demo.svc.cluster.local:8080/api/internal</w:t>
      </w:r>
    </w:p>
    <w:p>
      <w:r>
        <w:t>Observed result:</w:t>
      </w:r>
    </w:p>
    <w:p>
      <w:pPr>
        <w:pStyle w:val="CodeBlock"/>
        <w:shd w:fill="F3F5F7"/>
      </w:pPr>
      <w:r>
        <w:t>HTTP/1.1 200 OK</w:t>
        <w:br/>
        <w:t>content-type: application/json</w:t>
        <w:br/>
        <w:t>server: envoy</w:t>
        <w:br/>
        <w:br/>
        <w:t>{"time":"2026-09-19T06:40:15.007900451Z",</w:t>
        <w:br/>
        <w:t xml:space="preserve"> "message":"internal service endpoint reached"}</w:t>
      </w:r>
    </w:p>
    <w:p>
      <w:r>
        <w:t>The 200 response proves that Service A can reach the protected Spring endpoint. The server: envoy header shows Envoy is in the request path. Together with Spring's effective STRICT PeerAuthentication, the successful mesh connection is accepted as mTLS traffic.</w:t>
      </w:r>
    </w:p>
    <w:p>
      <w:pPr>
        <w:pStyle w:val="Heading2"/>
      </w:pPr>
      <w:r>
        <w:t>4.4 Negative authorization test</w:t>
      </w:r>
    </w:p>
    <w:p>
      <w:r>
        <w:t>A positive 200 alone does not prove that ServiceAccount authorization is selective. Create a second mesh workload in the same namespace using the default ServiceAccount.</w:t>
      </w:r>
    </w:p>
    <w:p>
      <w:pPr>
        <w:pStyle w:val="CodeBlock"/>
        <w:shd w:fill="F3F5F7"/>
      </w:pPr>
      <w:r>
        <w:t>kubectl run bad-client \</w:t>
        <w:br/>
        <w:t xml:space="preserve">  -n service-a \</w:t>
        <w:br/>
        <w:t xml:space="preserve">  --image=curlimages/curl:8.12.1 \</w:t>
        <w:br/>
        <w:t xml:space="preserve">  --restart=Never \</w:t>
        <w:br/>
        <w:t xml:space="preserve">  --command -- sleep 3600</w:t>
        <w:br/>
        <w:br/>
        <w:t>kubectl get pod bad-client -n service-a</w:t>
        <w:br/>
        <w:br/>
        <w:t>kubectl get pod bad-client -n service-a \</w:t>
        <w:br/>
        <w:t xml:space="preserve">  -o jsonpath='{.spec.serviceAccountName}{"\n"}'</w:t>
      </w:r>
    </w:p>
    <w:p>
      <w:r>
        <w:t>Expected identity: service-a/default. Once the pod is 2/2 Running, call the same endpoint:</w:t>
      </w:r>
    </w:p>
    <w:p>
      <w:pPr>
        <w:pStyle w:val="CodeBlock"/>
        <w:shd w:fill="F3F5F7"/>
      </w:pPr>
      <w:r>
        <w:t>kubectl exec -n service-a bad-client -c bad-client -- \</w:t>
        <w:br/>
        <w:t xml:space="preserve">  curl -i \</w:t>
        <w:br/>
        <w:t xml:space="preserve">  http://spring-app.demo.svc.cluster.local:8080/api/internal</w:t>
      </w:r>
    </w:p>
    <w:p>
      <w:r>
        <w:t>Expected result:</w:t>
      </w:r>
    </w:p>
    <w:p>
      <w:pPr>
        <w:pStyle w:val="CodeBlock"/>
        <w:shd w:fill="F3F5F7"/>
      </w:pPr>
      <w:r>
        <w:t>HTTP/1.1 403 Forbidden</w:t>
        <w:br/>
        <w:br/>
        <w:t>RBAC: access denied</w:t>
      </w:r>
    </w:p>
    <w:p>
      <w:r>
        <w:t>Clean up:</w:t>
      </w:r>
    </w:p>
    <w:p>
      <w:pPr>
        <w:pStyle w:val="CodeBlock"/>
        <w:shd w:fill="F3F5F7"/>
      </w:pPr>
      <w:r>
        <w:t>kubectl delete pod bad-client -n service-a</w:t>
      </w:r>
    </w:p>
    <w:p>
      <w:pPr>
        <w:pStyle w:val="Heading1"/>
      </w:pPr>
      <w:r>
        <w:t>5. Test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Caller</w:t>
            </w:r>
          </w:p>
        </w:tc>
        <w:tc>
          <w:tcPr>
            <w:tcW w:type="dxa" w:w="2016"/>
          </w:tcPr>
          <w:p>
            <w:r>
              <w:t>Identity</w:t>
            </w:r>
          </w:p>
        </w:tc>
        <w:tc>
          <w:tcPr>
            <w:tcW w:type="dxa" w:w="2016"/>
          </w:tcPr>
          <w:p>
            <w:r>
              <w:t>Transport</w:t>
            </w:r>
          </w:p>
        </w:tc>
        <w:tc>
          <w:tcPr>
            <w:tcW w:type="dxa" w:w="2016"/>
          </w:tcPr>
          <w:p>
            <w:r>
              <w:t>Endpoint</w:t>
            </w:r>
          </w:p>
        </w:tc>
        <w:tc>
          <w:tcPr>
            <w:tcW w:type="dxa" w:w="2016"/>
          </w:tcPr>
          <w:p>
            <w:r>
              <w:t>Expected</w:t>
            </w:r>
          </w:p>
        </w:tc>
      </w:tr>
      <w:tr>
        <w:tc>
          <w:tcPr>
            <w:tcW w:type="dxa" w:w="2016"/>
            <w:vAlign w:val="center"/>
          </w:tcPr>
          <w:p>
            <w:r>
              <w:t>Service A</w:t>
            </w:r>
          </w:p>
        </w:tc>
        <w:tc>
          <w:tcPr>
            <w:tcW w:type="dxa" w:w="2016"/>
            <w:vAlign w:val="center"/>
          </w:tcPr>
          <w:p>
            <w:r>
              <w:t>service-a/service-a</w:t>
            </w:r>
          </w:p>
        </w:tc>
        <w:tc>
          <w:tcPr>
            <w:tcW w:type="dxa" w:w="2016"/>
            <w:vAlign w:val="center"/>
          </w:tcPr>
          <w:p>
            <w:r>
              <w:t>Istio mTLS</w:t>
            </w:r>
          </w:p>
        </w:tc>
        <w:tc>
          <w:tcPr>
            <w:tcW w:type="dxa" w:w="2016"/>
            <w:vAlign w:val="center"/>
          </w:tcPr>
          <w:p>
            <w:r>
              <w:t>GET /api/internal</w:t>
            </w:r>
          </w:p>
        </w:tc>
        <w:tc>
          <w:tcPr>
            <w:tcW w:type="dxa" w:w="2016"/>
            <w:vAlign w:val="center"/>
          </w:tcPr>
          <w:p>
            <w:r>
              <w:t>200</w:t>
            </w:r>
          </w:p>
        </w:tc>
      </w:tr>
      <w:tr>
        <w:tc>
          <w:tcPr>
            <w:tcW w:type="dxa" w:w="2016"/>
            <w:vAlign w:val="center"/>
          </w:tcPr>
          <w:p>
            <w:r>
              <w:t>bad-client</w:t>
            </w:r>
          </w:p>
        </w:tc>
        <w:tc>
          <w:tcPr>
            <w:tcW w:type="dxa" w:w="2016"/>
            <w:vAlign w:val="center"/>
          </w:tcPr>
          <w:p>
            <w:r>
              <w:t>service-a/default</w:t>
            </w:r>
          </w:p>
        </w:tc>
        <w:tc>
          <w:tcPr>
            <w:tcW w:type="dxa" w:w="2016"/>
            <w:vAlign w:val="center"/>
          </w:tcPr>
          <w:p>
            <w:r>
              <w:t>Istio mTLS</w:t>
            </w:r>
          </w:p>
        </w:tc>
        <w:tc>
          <w:tcPr>
            <w:tcW w:type="dxa" w:w="2016"/>
            <w:vAlign w:val="center"/>
          </w:tcPr>
          <w:p>
            <w:r>
              <w:t>GET /api/internal</w:t>
            </w:r>
          </w:p>
        </w:tc>
        <w:tc>
          <w:tcPr>
            <w:tcW w:type="dxa" w:w="2016"/>
            <w:vAlign w:val="center"/>
          </w:tcPr>
          <w:p>
            <w:r>
              <w:t>403</w:t>
            </w:r>
          </w:p>
        </w:tc>
      </w:tr>
    </w:tbl>
    <w:p>
      <w:pPr>
        <w:pStyle w:val="Heading1"/>
      </w:pPr>
      <w:r>
        <w:t>6. Security Flow</w:t>
      </w:r>
    </w:p>
    <w:p>
      <w:pPr>
        <w:jc w:val="center"/>
        <w:shd w:fill="EAF2F8"/>
      </w:pPr>
      <w:r>
        <w:rPr>
          <w:rFonts w:ascii="Liberation Mono" w:hAnsi="Liberation Mono"/>
          <w:b/>
          <w:sz w:val="18"/>
        </w:rPr>
        <w:t>1. Service A sends HTTP request to spring-app.demo.svc.cluster.local</w:t>
        <w:br/>
        <w:t xml:space="preserve">                         ↓</w:t>
        <w:br/>
        <w:t>2. Service A sidecar intercepts outbound request</w:t>
        <w:br/>
        <w:t xml:space="preserve">                         ↓</w:t>
        <w:br/>
        <w:t>3. Istio establishes sidecar-to-sidecar mTLS</w:t>
        <w:br/>
        <w:t xml:space="preserve">                         ↓</w:t>
        <w:br/>
        <w:t>4. Spring Envoy authenticates peer workload identity</w:t>
        <w:br/>
        <w:t xml:space="preserve">   cluster.local/ns/service-a/sa/service-a</w:t>
        <w:br/>
        <w:t xml:space="preserve">                         ↓</w:t>
        <w:br/>
        <w:t>5. PeerAuthentication requires mTLS (STRICT)</w:t>
        <w:br/>
        <w:t xml:space="preserve">                         ↓</w:t>
        <w:br/>
        <w:t>6. AuthorizationPolicy checks source ServiceAccount + path/method</w:t>
        <w:br/>
        <w:t xml:space="preserve">                         ↓</w:t>
        <w:br/>
        <w:t>7a. service-a/service-a + GET /api/internal → ALLOW → Spring → 200</w:t>
        <w:br/>
        <w:t>7b. service-a/default   + GET /api/internal → no ALLOW match → 403</w:t>
      </w:r>
    </w:p>
    <w:p>
      <w:pPr>
        <w:pStyle w:val="Heading1"/>
      </w:pPr>
      <w:r>
        <w:t>7. What This POC Demonstrates</w:t>
      </w:r>
    </w:p>
    <w:p>
      <w:pPr>
        <w:pStyle w:val="ListBullet"/>
      </w:pPr>
      <w:r>
        <w:t>Encryption and authentication are separate from authorization. mTLS protects the connection and authenticates the peer; AuthorizationPolicy decides what that peer may access.</w:t>
      </w:r>
    </w:p>
    <w:p>
      <w:pPr>
        <w:pStyle w:val="ListBullet"/>
      </w:pPr>
      <w:r>
        <w:t>A Kubernetes ServiceAccount becomes a meaningful workload identity in the Istio mesh. The application does not need to implement certificate validation itself.</w:t>
      </w:r>
    </w:p>
    <w:p>
      <w:pPr>
        <w:pStyle w:val="ListBullet"/>
      </w:pPr>
      <w:r>
        <w:t>The same namespace does not imply the same authorization. Two pods in service-a can receive different outcomes because they use different ServiceAccounts.</w:t>
      </w:r>
    </w:p>
    <w:p>
      <w:pPr>
        <w:pStyle w:val="ListBullet"/>
      </w:pPr>
      <w:r>
        <w:t>Keycloak is not required for this workload-to-workload identity test. This is useful for distinguishing infrastructure/workload authorization from OAuth/OIDC user or application authorization.</w:t>
      </w:r>
    </w:p>
    <w:p>
      <w:pPr>
        <w:pStyle w:val="ListBullet"/>
      </w:pPr>
      <w:r>
        <w:t>The Spring application remains focused on business logic while Envoy/Istio handles network/workload-level authentication and authorization.</w:t>
      </w:r>
    </w:p>
    <w:p>
      <w:pPr>
        <w:pStyle w:val="Heading1"/>
      </w:pPr>
      <w:r>
        <w:t>8. Key Conclusion for the Presentation</w:t>
      </w:r>
    </w:p>
    <w:p>
      <w:pPr>
        <w:shd w:fill="EAF2F8"/>
      </w:pPr>
      <w:r>
        <w:rPr>
          <w:b/>
        </w:rPr>
        <w:t>Istio mTLS answers: “Which workload is calling me?” AuthorizationPolicy answers: “May that workload access this endpoint?” Keycloak/JWT answers a different question: “Which user or OAuth client is making or authorizing the request?”</w:t>
      </w:r>
    </w:p>
    <w:p>
      <w:r>
        <w:t>For this internal flow, Service A can therefore access /api/internal without a Keycloak token because its authenticated Istio workload identity is sufficient for the policy. A different ServiceAccount should receive 403 even though it is also inside the mesh.</w:t>
      </w:r>
    </w:p>
    <w:p>
      <w:pPr>
        <w:pStyle w:val="Heading1"/>
      </w:pPr>
      <w:r>
        <w:t>9. Next POC Step</w:t>
      </w:r>
    </w:p>
    <w:p>
      <w:r>
        <w:t>After the 200-versus-403 workload identity test is confirmed, extend Service A with a Keycloak confidential client and the OAuth 2.0 Client Credentials grant. This will allow the POC to compare two identities carried by one service-to-service call:</w:t>
      </w:r>
    </w:p>
    <w:p>
      <w:pPr>
        <w:jc w:val="center"/>
        <w:shd w:fill="EAF2F8"/>
      </w:pPr>
      <w:r>
        <w:rPr>
          <w:rFonts w:ascii="Liberation Mono" w:hAnsi="Liberation Mono"/>
          <w:b/>
          <w:sz w:val="18"/>
        </w:rPr>
        <w:t>Istio mTLS identity</w:t>
        <w:br/>
        <w:t>cluster.local/ns/service-a/sa/service-a</w:t>
        <w:br/>
        <w:t xml:space="preserve">        → identifies the Kubernetes workload</w:t>
        <w:br/>
        <w:br/>
        <w:t>Keycloak access token</w:t>
        <w:br/>
        <w:t>client/service-account roles and claims</w:t>
        <w:br/>
        <w:t xml:space="preserve">        → identifies the OAuth client/application</w:t>
        <w:br/>
        <w:br/>
        <w:t>Optional advanced policy:</w:t>
        <w:br/>
        <w:t>Require BOTH trusted workload identity AND trusted JWT claims.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Keycloak + Istio Authorization POC | Service-to-Service Security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259" w:right="115"/>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